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6B2E8C"/>
          <w:sz w:val="56"/>
        </w:rPr>
        <w:t>PSYCHIATRIE</w:t>
      </w:r>
    </w:p>
    <w:p>
      <w:pPr>
        <w:jc w:val="center"/>
      </w:pPr>
      <w:r>
        <w:rPr>
          <w:rFonts w:ascii="Calibri" w:hAnsi="Calibri"/>
          <w:b/>
          <w:i w:val="0"/>
          <w:color w:val="808080"/>
          <w:sz w:val="40"/>
        </w:rPr>
        <w:t>&amp;</w:t>
      </w:r>
    </w:p>
    <w:p>
      <w:pPr>
        <w:spacing w:after="120"/>
        <w:jc w:val="center"/>
      </w:pPr>
      <w:r>
        <w:rPr>
          <w:rFonts w:ascii="Calibri" w:hAnsi="Calibri"/>
          <w:b/>
          <w:i w:val="0"/>
          <w:color w:val="8B0000"/>
          <w:sz w:val="52"/>
        </w:rPr>
        <w:t>PSYCHOTROPES</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X</w:t>
      </w:r>
    </w:p>
    <w:p>
      <w:pPr>
        <w:jc w:val="center"/>
      </w:pPr>
      <w:r>
        <w:rPr>
          <w:rFonts w:ascii="Calibri" w:hAnsi="Calibri"/>
          <w:b w:val="0"/>
          <w:i/>
          <w:color w:val="606060"/>
          <w:sz w:val="28"/>
        </w:rPr>
        <w:t>Psychiatrie et Psychotropes</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57 DCI traitées  •  600+ spécialités commerciales  •  7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CRAT • HAS • WFSBP • NICE • APA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 : Psychiatrie et Psychotropes</w:t>
      </w:r>
    </w:p>
    <w:p>
      <w:pPr>
        <w:pStyle w:val="Heading2"/>
      </w:pPr>
      <w:r>
        <w:t>Avant-propos et méthodologie du Fascicule X</w:t>
      </w:r>
    </w:p>
    <w:p>
      <w:pPr>
        <w:pStyle w:val="Heading3"/>
      </w:pPr>
      <w:r>
        <w:t>1. Objet du fascicule</w:t>
      </w:r>
    </w:p>
    <w:p>
      <w:r>
        <w:t>Le présent fascicule constitue le dixième volet du traité technique de pharmacologie clinique destiné aux étudiants en pharmacie d'officine et aux praticiens exerçant sur le territoire algérien. Il poursuit la démarche engagée dans les Fascicules I-IX en traitant de manière exhaustive les classes thérapeutiques psychiatriques et psychotropes enregistrées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pPr>
        <w:pStyle w:val="Heading4"/>
      </w:pPr>
      <w:r>
        <w:t>2.1 Santé mentale en Algérie</w:t>
      </w:r>
    </w:p>
    <w:p>
      <w:pPr>
        <w:pStyle w:val="ListBullet"/>
      </w:pPr>
      <w:r/>
      <w:r>
        <w:rPr>
          <w:b/>
        </w:rPr>
        <w:t>Prévalence des troubles mentaux</w:t>
      </w:r>
      <w:r>
        <w:t xml:space="preserve"> : ~15-20 % de la population algérienne concernée</w:t>
      </w:r>
    </w:p>
    <w:p>
      <w:pPr>
        <w:pStyle w:val="ListBullet"/>
      </w:pPr>
      <w:r/>
      <w:r>
        <w:rPr>
          <w:b/>
        </w:rPr>
        <w:t>Dépression</w:t>
      </w:r>
      <w:r>
        <w:t xml:space="preserve"> : 5-10 % prévalence vie entière, sous-diagnostiquée</w:t>
      </w:r>
    </w:p>
    <w:p>
      <w:pPr>
        <w:pStyle w:val="ListBullet"/>
      </w:pPr>
      <w:r/>
      <w:r>
        <w:rPr>
          <w:b/>
        </w:rPr>
        <w:t>Troubles anxieux</w:t>
      </w:r>
      <w:r>
        <w:t xml:space="preserve"> : 10-15 % prévalence</w:t>
      </w:r>
    </w:p>
    <w:p>
      <w:pPr>
        <w:pStyle w:val="ListBullet"/>
      </w:pPr>
      <w:r/>
      <w:r>
        <w:rPr>
          <w:b/>
        </w:rPr>
        <w:t>Schizophrénie</w:t>
      </w:r>
      <w:r>
        <w:t xml:space="preserve"> : ~1 % de la population</w:t>
      </w:r>
    </w:p>
    <w:p>
      <w:pPr>
        <w:pStyle w:val="ListBullet"/>
      </w:pPr>
      <w:r/>
      <w:r>
        <w:rPr>
          <w:b/>
        </w:rPr>
        <w:t>Trouble bipolaire</w:t>
      </w:r>
      <w:r>
        <w:t xml:space="preserve"> : 1-2 % prévalence</w:t>
      </w:r>
    </w:p>
    <w:p>
      <w:pPr>
        <w:pStyle w:val="ListBullet"/>
      </w:pPr>
      <w:r/>
      <w:r>
        <w:rPr>
          <w:b/>
        </w:rPr>
        <w:t>Démences (Alzheimer)</w:t>
      </w:r>
      <w:r>
        <w:t xml:space="preserve"> : prévalence croissante avec vieillissement (~5 % &gt; 65 ans)</w:t>
      </w:r>
    </w:p>
    <w:p>
      <w:pPr>
        <w:pStyle w:val="ListBullet"/>
      </w:pPr>
      <w:r/>
      <w:r>
        <w:rPr>
          <w:b/>
        </w:rPr>
        <w:t>TDAH</w:t>
      </w:r>
      <w:r>
        <w:t xml:space="preserve"> : 3-5 % enfants en âge scolaire</w:t>
      </w:r>
    </w:p>
    <w:p>
      <w:pPr>
        <w:pStyle w:val="ListBullet"/>
      </w:pPr>
      <w:r/>
      <w:r>
        <w:rPr>
          <w:b/>
        </w:rPr>
        <w:t>Addictions</w:t>
      </w:r>
      <w:r>
        <w:t xml:space="preserve"> : tabac (30 % hommes), cannabis, benzodiazépines (abus)</w:t>
      </w:r>
    </w:p>
    <w:p>
      <w:pPr>
        <w:pStyle w:val="Heading4"/>
      </w:pPr>
      <w:r>
        <w:t>2.2 Spécificités du marché algérien</w:t>
      </w:r>
    </w:p>
    <w:p>
      <w:pPr>
        <w:pStyle w:val="ListBullet"/>
      </w:pPr>
      <w:r/>
      <w:r>
        <w:rPr>
          <w:b/>
        </w:rPr>
        <w:t>Large disponibilité des antidépresseurs IRS</w:t>
      </w:r>
      <w:r>
        <w:t xml:space="preserve"> (fluoxétine 19+ marques, paroxétine 15+)</w:t>
      </w:r>
    </w:p>
    <w:p>
      <w:pPr>
        <w:pStyle w:val="ListBullet"/>
      </w:pPr>
      <w:r/>
      <w:r>
        <w:rPr>
          <w:b/>
        </w:rPr>
        <w:t>Antipsychotiques atypiques largement disponibles</w:t>
      </w:r>
      <w:r>
        <w:t xml:space="preserve"> (olanzapine 28+ marques, rispéridone 22+)</w:t>
      </w:r>
    </w:p>
    <w:p>
      <w:pPr>
        <w:pStyle w:val="ListBullet"/>
      </w:pPr>
      <w:r/>
      <w:r>
        <w:rPr>
          <w:b/>
        </w:rPr>
        <w:t>Benzodiazépines nombreuses</w:t>
      </w:r>
      <w:r>
        <w:t xml:space="preserve"> (diazépam, lorazépam, bromazépam, etc.)</w:t>
      </w:r>
    </w:p>
    <w:p>
      <w:pPr>
        <w:pStyle w:val="ListBullet"/>
      </w:pPr>
      <w:r/>
      <w:r>
        <w:rPr>
          <w:b/>
        </w:rPr>
        <w:t>Zolpidem disponible</w:t>
      </w:r>
      <w:r>
        <w:t xml:space="preserve"> (3 marques) ; zopiclone absente</w:t>
      </w:r>
    </w:p>
    <w:p>
      <w:pPr>
        <w:pStyle w:val="ListBullet"/>
      </w:pPr>
      <w:r/>
      <w:r>
        <w:rPr>
          <w:b/>
        </w:rPr>
        <w:t>Lithium carbonate RETIRÉ du marché</w:t>
      </w:r>
      <w:r>
        <w:t xml:space="preserve"> algérien (alternative à discuter)</w:t>
      </w:r>
    </w:p>
    <w:p>
      <w:pPr>
        <w:pStyle w:val="ListBullet"/>
      </w:pPr>
      <w:r/>
      <w:r>
        <w:rPr>
          <w:b/>
        </w:rPr>
        <w:t>Varénicline NON_RENOUVELABLE</w:t>
      </w:r>
      <w:r>
        <w:t xml:space="preserve"> (sevrage tabagique limité)</w:t>
      </w:r>
    </w:p>
    <w:p>
      <w:pPr>
        <w:pStyle w:val="ListBullet"/>
      </w:pPr>
      <w:r/>
      <w:r>
        <w:rPr>
          <w:b/>
        </w:rPr>
        <w:t>Méthylphénidate NON disponible</w:t>
      </w:r>
      <w:r>
        <w:t xml:space="preserve"> en Algérie (TDAH restreint à atomoxétine)</w:t>
      </w:r>
    </w:p>
    <w:p>
      <w:pPr>
        <w:pStyle w:val="Heading3"/>
      </w:pPr>
      <w:r>
        <w:t>3. Sources académiques mobilisées</w:t>
      </w:r>
    </w:p>
    <w:p>
      <w:pPr>
        <w:pStyle w:val="ListBullet"/>
      </w:pPr>
      <w:r/>
      <w:r>
        <w:rPr>
          <w:b/>
        </w:rPr>
        <w:t>VIDAL</w:t>
      </w:r>
      <w:r>
        <w:t xml:space="preserve"> : AMM, RCP, interactions</w:t>
      </w:r>
    </w:p>
    <w:p>
      <w:pPr>
        <w:pStyle w:val="ListBullet"/>
      </w:pPr>
      <w:r/>
      <w:r>
        <w:rPr>
          <w:b/>
        </w:rPr>
        <w:t>ANSM</w:t>
      </w:r>
      <w:r>
        <w:t xml:space="preserve"> : recommandations, mises en garde (notamment sur valproate grossesse, clozapine NFS, hydroxyzine QT)</w:t>
      </w:r>
    </w:p>
    <w:p>
      <w:pPr>
        <w:pStyle w:val="ListBullet"/>
      </w:pPr>
      <w:r/>
      <w:r>
        <w:rPr>
          <w:b/>
        </w:rPr>
        <w:t>Thériaque</w:t>
      </w:r>
      <w:r>
        <w:t xml:space="preserve"> : banque de données pharmaceutiques (CNHIM)</w:t>
      </w:r>
    </w:p>
    <w:p>
      <w:pPr>
        <w:pStyle w:val="ListBullet"/>
      </w:pPr>
      <w:r/>
      <w:r>
        <w:rPr>
          <w:b/>
        </w:rPr>
        <w:t>CRAT</w:t>
      </w:r>
      <w:r>
        <w:t xml:space="preserve"> : données grossesse et allaitement (essentiel pour psychotropes)</w:t>
      </w:r>
    </w:p>
    <w:p>
      <w:pPr>
        <w:pStyle w:val="ListBullet"/>
      </w:pPr>
      <w:r/>
      <w:r>
        <w:rPr>
          <w:b/>
        </w:rPr>
        <w:t>HAS</w:t>
      </w:r>
      <w:r>
        <w:t xml:space="preserve"> : recommandations troubles bipolaires, schizophrénie, dépression</w:t>
      </w:r>
    </w:p>
    <w:p>
      <w:pPr>
        <w:pStyle w:val="ListBullet"/>
      </w:pPr>
      <w:r/>
      <w:r>
        <w:rPr>
          <w:b/>
        </w:rPr>
        <w:t>WFSBP</w:t>
      </w:r>
      <w:r>
        <w:t xml:space="preserve"> (World Federation of Societies of Biological Psychiatry) : guidelines</w:t>
      </w:r>
    </w:p>
    <w:p>
      <w:pPr>
        <w:pStyle w:val="ListBullet"/>
      </w:pPr>
      <w:r/>
      <w:r>
        <w:rPr>
          <w:b/>
        </w:rPr>
        <w:t>NICE</w:t>
      </w:r>
      <w:r>
        <w:t xml:space="preserve"> : guidelines britanniques troubles mentaux</w:t>
      </w:r>
    </w:p>
    <w:p>
      <w:pPr>
        <w:pStyle w:val="ListBullet"/>
      </w:pPr>
      <w:r/>
      <w:r>
        <w:rPr>
          <w:b/>
        </w:rPr>
        <w:t>APA</w:t>
      </w:r>
      <w:r>
        <w:t xml:space="preserve"> (American Psychiatric Association) : guidelines</w:t>
      </w:r>
    </w:p>
    <w:p>
      <w:pPr>
        <w:pStyle w:val="ListBullet"/>
      </w:pPr>
      <w:r/>
      <w:r>
        <w:rPr>
          <w:b/>
        </w:rPr>
        <w:t>EANM</w:t>
      </w:r>
      <w:r>
        <w:t xml:space="preserve"> (European Academy of Neurology) : guidelines Parkinson</w:t>
      </w:r>
    </w:p>
    <w:p>
      <w:pPr>
        <w:pStyle w:val="ListBullet"/>
      </w:pPr>
      <w:r/>
      <w:r>
        <w:rPr>
          <w:b/>
        </w:rPr>
        <w:t>UpToDate, Micromedex, BMJ Best Practice</w:t>
      </w:r>
      <w:r>
        <w:t xml:space="preserve"> : référentiels internationaux</w:t>
      </w:r>
    </w:p>
    <w:p>
      <w:pPr>
        <w:pStyle w:val="Heading3"/>
      </w:pPr>
      <w:r>
        <w:t>4. Périmètre de ce fascicule</w:t>
      </w:r>
    </w:p>
    <w:p>
      <w:r>
        <w:t>Ce fascicule couvre les classes psychiatriques suivantes :</w:t>
      </w:r>
    </w:p>
    <w:p>
      <w:pPr>
        <w:pStyle w:val="Heading4"/>
      </w:pPr>
      <w:r>
        <w:t>Antidépresseurs (14 DCI)</w:t>
      </w:r>
    </w:p>
    <w:p>
      <w:pPr>
        <w:pStyle w:val="ListNumber"/>
      </w:pPr>
      <w:r>
        <w:t>IRS (6) : fluoxétine, sertraline, paroxétine, citalopram, escitalopram, fluvoxamine</w:t>
      </w:r>
    </w:p>
    <w:p>
      <w:pPr>
        <w:pStyle w:val="ListNumber"/>
      </w:pPr>
      <w:r>
        <w:t>IRSN (2) : venlafaxine, duloxétine</w:t>
      </w:r>
    </w:p>
    <w:p>
      <w:pPr>
        <w:pStyle w:val="ListNumber"/>
      </w:pPr>
      <w:r>
        <w:t>Tricycliques ATC (3) : amitriptyline, clomipramine, trimipramine</w:t>
      </w:r>
    </w:p>
    <w:p>
      <w:pPr>
        <w:pStyle w:val="ListNumber"/>
      </w:pPr>
      <w:r>
        <w:t>Tétracycliques (2) : maprotiline, miansérine</w:t>
      </w:r>
    </w:p>
    <w:p>
      <w:pPr>
        <w:pStyle w:val="ListNumber"/>
      </w:pPr>
      <w:r>
        <w:t>NaSSA (1) : mirtazapine</w:t>
      </w:r>
    </w:p>
    <w:p>
      <w:pPr>
        <w:pStyle w:val="Heading4"/>
      </w:pPr>
      <w:r>
        <w:t>Anxiolytiques et hypnotiques (13 DCI)</w:t>
      </w:r>
    </w:p>
    <w:p>
      <w:pPr>
        <w:pStyle w:val="ListNumber"/>
      </w:pPr>
      <w:r>
        <w:t>BZD anxiolytiques (6+1+1) : diazépam, lorazépam, bromazépam, prazépam, clorazépate, chlordiazépoxide, clonazépam</w:t>
      </w:r>
    </w:p>
    <w:p>
      <w:pPr>
        <w:pStyle w:val="ListNumber"/>
      </w:pPr>
      <w:r>
        <w:t>Non-BZD (1) : étifoxine</w:t>
      </w:r>
    </w:p>
    <w:p>
      <w:pPr>
        <w:pStyle w:val="ListNumber"/>
      </w:pPr>
      <w:r>
        <w:t>Carbamates (1) : méprobamate</w:t>
      </w:r>
    </w:p>
    <w:p>
      <w:pPr>
        <w:pStyle w:val="ListNumber"/>
      </w:pPr>
      <w:r>
        <w:t>BZD hypnotiques (2) : flunitrazépam, nitrazépam</w:t>
      </w:r>
    </w:p>
    <w:p>
      <w:pPr>
        <w:pStyle w:val="ListNumber"/>
      </w:pPr>
      <w:r>
        <w:t>Agonistes ω1 non-BZD (1) : zolpidem</w:t>
      </w:r>
    </w:p>
    <w:p>
      <w:pPr>
        <w:pStyle w:val="Heading4"/>
      </w:pPr>
      <w:r>
        <w:t>Antipsychotiques typiques (8 DCI)</w:t>
      </w:r>
    </w:p>
    <w:p>
      <w:pPr>
        <w:pStyle w:val="ListNumber"/>
      </w:pPr>
      <w:r>
        <w:t>Butyrophénones (1) : halopéridol</w:t>
      </w:r>
    </w:p>
    <w:p>
      <w:pPr>
        <w:pStyle w:val="ListNumber"/>
      </w:pPr>
      <w:r>
        <w:t>Phénothiazines aliphatiques (2) : chlorpromazine, lévomépromazine</w:t>
      </w:r>
    </w:p>
    <w:p>
      <w:pPr>
        <w:pStyle w:val="ListNumber"/>
      </w:pPr>
      <w:r>
        <w:t>Phénothiazines pipérazinées (2) : fluphénazine, trifluopérazine</w:t>
      </w:r>
    </w:p>
    <w:p>
      <w:pPr>
        <w:pStyle w:val="ListNumber"/>
      </w:pPr>
      <w:r>
        <w:t>Phénothiazines pipéridinées (1) : thioridazine</w:t>
      </w:r>
    </w:p>
    <w:p>
      <w:pPr>
        <w:pStyle w:val="ListNumber"/>
      </w:pPr>
      <w:r>
        <w:t>Benzamides (2) : sulpiride, amisulpride</w:t>
      </w:r>
    </w:p>
    <w:p>
      <w:pPr>
        <w:pStyle w:val="Heading4"/>
      </w:pPr>
      <w:r>
        <w:t>Antipsychotiques atypiques (8 DCI)</w:t>
      </w:r>
    </w:p>
    <w:p>
      <w:pPr>
        <w:pStyle w:val="ListNumber"/>
      </w:pPr>
      <w:r>
        <w:t>Atypiques 2G (6) : clozapine, rispéridone, olanzapine, quétiapine, ziprasidone, lurasidone</w:t>
      </w:r>
    </w:p>
    <w:p>
      <w:pPr>
        <w:pStyle w:val="ListNumber"/>
      </w:pPr>
      <w:r>
        <w:t>Atypiques 3G (1) : aripiprazole</w:t>
      </w:r>
    </w:p>
    <w:p>
      <w:pPr>
        <w:pStyle w:val="ListNumber"/>
      </w:pPr>
      <w:r>
        <w:t>Métabolite rispéridone (1) : palipéridone</w:t>
      </w:r>
    </w:p>
    <w:p>
      <w:pPr>
        <w:pStyle w:val="Heading4"/>
      </w:pPr>
      <w:r>
        <w:t>Thymorégulateurs (4 DCI)</w:t>
      </w:r>
    </w:p>
    <w:p>
      <w:pPr>
        <w:pStyle w:val="ListNumber"/>
      </w:pPr>
      <w:r>
        <w:t>Sels de lithium (1) : lithium carbonate (RETRAIT)</w:t>
      </w:r>
    </w:p>
    <w:p>
      <w:pPr>
        <w:pStyle w:val="ListNumber"/>
      </w:pPr>
      <w:r>
        <w:t>Antiépileptiques (3) : valproate, carbamazépine, lamotrigine</w:t>
      </w:r>
    </w:p>
    <w:p>
      <w:pPr>
        <w:pStyle w:val="Heading4"/>
      </w:pPr>
      <w:r>
        <w:t>TDAH, antidémences, antiaddiction (6 DCI)</w:t>
      </w:r>
    </w:p>
    <w:p>
      <w:pPr>
        <w:pStyle w:val="ListNumber"/>
      </w:pPr>
      <w:r>
        <w:t>TDAH (1) : atomoxétine (méthylphénidate non disponible)</w:t>
      </w:r>
    </w:p>
    <w:p>
      <w:pPr>
        <w:pStyle w:val="ListNumber"/>
      </w:pPr>
      <w:r>
        <w:t>Promoteurs éveil (1) : modafinil</w:t>
      </w:r>
    </w:p>
    <w:p>
      <w:pPr>
        <w:pStyle w:val="ListNumber"/>
      </w:pPr>
      <w:r>
        <w:t>Antidémences IChE (2) : donépézil, rivastigmine</w:t>
      </w:r>
    </w:p>
    <w:p>
      <w:pPr>
        <w:pStyle w:val="ListNumber"/>
      </w:pPr>
      <w:r>
        <w:t>Antidémences NMDA (1) : mémantine</w:t>
      </w:r>
    </w:p>
    <w:p>
      <w:pPr>
        <w:pStyle w:val="ListNumber"/>
      </w:pPr>
      <w:r>
        <w:t>Antiaddiction (1) : varénicline (NON_RENOUVELABLE)</w:t>
      </w:r>
    </w:p>
    <w:p>
      <w:pPr>
        <w:pStyle w:val="Heading4"/>
      </w:pPr>
      <w:r>
        <w:t>Maladie de Parkinson (3 DCI)</w:t>
      </w:r>
    </w:p>
    <w:p>
      <w:pPr>
        <w:pStyle w:val="ListNumber"/>
      </w:pPr>
      <w:r>
        <w:t>Lévodopa + IDDC (1) : lévodopa + carbidopa/bensérazide</w:t>
      </w:r>
    </w:p>
    <w:p>
      <w:pPr>
        <w:pStyle w:val="ListNumber"/>
      </w:pPr>
      <w:r>
        <w:t>Agonistes dopaminergiques non ergotés (1) : ropinirole</w:t>
      </w:r>
    </w:p>
    <w:p>
      <w:pPr>
        <w:pStyle w:val="ListNumber"/>
      </w:pPr>
      <w:r>
        <w:t>Inhibiteurs COMT (1) : entacapone</w:t>
      </w:r>
    </w:p>
    <w:p>
      <w:r/>
      <w:r>
        <w:rPr>
          <w:b/>
        </w:rPr>
        <w:t>Total : 57 DCI canoniques</w:t>
      </w:r>
      <w:r>
        <w:t xml:space="preserve"> traitées individuellement, représentant plus de </w:t>
      </w:r>
      <w:r>
        <w:rPr>
          <w:b/>
        </w:rPr>
        <w:t>600 spécialités commerciales</w:t>
      </w:r>
      <w:r>
        <w:t>.</w:t>
      </w:r>
    </w:p>
    <w:p>
      <w:pPr>
        <w:pStyle w:val="Heading2"/>
      </w:pPr>
      <w:r>
        <w:t>Sommaire général du Fascicule X</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81</w:t>
            </w:r>
          </w:p>
        </w:tc>
        <w:tc>
          <w:tcPr>
            <w:tcW w:type="dxa" w:w="3118"/>
          </w:tcPr>
          <w:p>
            <w:r>
              <w:rPr>
                <w:sz w:val="20"/>
              </w:rPr>
              <w:t>Antidépresseurs (IRS, IRSN, ATC, Tétracycliques, NaSSA)</w:t>
            </w:r>
          </w:p>
        </w:tc>
        <w:tc>
          <w:tcPr>
            <w:tcW w:type="dxa" w:w="3118"/>
          </w:tcPr>
          <w:p>
            <w:r>
              <w:rPr>
                <w:sz w:val="20"/>
              </w:rPr>
              <w:t>14</w:t>
            </w:r>
          </w:p>
        </w:tc>
      </w:tr>
      <w:tr>
        <w:tc>
          <w:tcPr>
            <w:tcW w:type="dxa" w:w="3118"/>
          </w:tcPr>
          <w:p>
            <w:r>
              <w:rPr>
                <w:sz w:val="20"/>
              </w:rPr>
              <w:t>82</w:t>
            </w:r>
          </w:p>
        </w:tc>
        <w:tc>
          <w:tcPr>
            <w:tcW w:type="dxa" w:w="3118"/>
          </w:tcPr>
          <w:p>
            <w:r>
              <w:rPr>
                <w:sz w:val="20"/>
              </w:rPr>
              <w:t>Anxiolytiques et hypnotiques (BZD, non-BZD, hypnotiques)</w:t>
            </w:r>
          </w:p>
        </w:tc>
        <w:tc>
          <w:tcPr>
            <w:tcW w:type="dxa" w:w="3118"/>
          </w:tcPr>
          <w:p>
            <w:r>
              <w:rPr>
                <w:sz w:val="20"/>
              </w:rPr>
              <w:t>13</w:t>
            </w:r>
          </w:p>
        </w:tc>
      </w:tr>
      <w:tr>
        <w:tc>
          <w:tcPr>
            <w:tcW w:type="dxa" w:w="3118"/>
          </w:tcPr>
          <w:p>
            <w:r>
              <w:rPr>
                <w:sz w:val="20"/>
              </w:rPr>
              <w:t>83</w:t>
            </w:r>
          </w:p>
        </w:tc>
        <w:tc>
          <w:tcPr>
            <w:tcW w:type="dxa" w:w="3118"/>
          </w:tcPr>
          <w:p>
            <w:r>
              <w:rPr>
                <w:sz w:val="20"/>
              </w:rPr>
              <w:t>Antipsychotiques typiques (1re génération)</w:t>
            </w:r>
          </w:p>
        </w:tc>
        <w:tc>
          <w:tcPr>
            <w:tcW w:type="dxa" w:w="3118"/>
          </w:tcPr>
          <w:p>
            <w:r>
              <w:rPr>
                <w:sz w:val="20"/>
              </w:rPr>
              <w:t>8</w:t>
            </w:r>
          </w:p>
        </w:tc>
      </w:tr>
      <w:tr>
        <w:tc>
          <w:tcPr>
            <w:tcW w:type="dxa" w:w="3118"/>
          </w:tcPr>
          <w:p>
            <w:r>
              <w:rPr>
                <w:sz w:val="20"/>
              </w:rPr>
              <w:t>84</w:t>
            </w:r>
          </w:p>
        </w:tc>
        <w:tc>
          <w:tcPr>
            <w:tcW w:type="dxa" w:w="3118"/>
          </w:tcPr>
          <w:p>
            <w:r>
              <w:rPr>
                <w:sz w:val="20"/>
              </w:rPr>
              <w:t>Antipsychotiques atypiques (2e/3e génération)</w:t>
            </w:r>
          </w:p>
        </w:tc>
        <w:tc>
          <w:tcPr>
            <w:tcW w:type="dxa" w:w="3118"/>
          </w:tcPr>
          <w:p>
            <w:r>
              <w:rPr>
                <w:sz w:val="20"/>
              </w:rPr>
              <w:t>8</w:t>
            </w:r>
          </w:p>
        </w:tc>
      </w:tr>
      <w:tr>
        <w:tc>
          <w:tcPr>
            <w:tcW w:type="dxa" w:w="3118"/>
          </w:tcPr>
          <w:p>
            <w:r>
              <w:rPr>
                <w:sz w:val="20"/>
              </w:rPr>
              <w:t>85</w:t>
            </w:r>
          </w:p>
        </w:tc>
        <w:tc>
          <w:tcPr>
            <w:tcW w:type="dxa" w:w="3118"/>
          </w:tcPr>
          <w:p>
            <w:r>
              <w:rPr>
                <w:sz w:val="20"/>
              </w:rPr>
              <w:t>Thymorégulateurs (lithium, antiépileptiques)</w:t>
            </w:r>
          </w:p>
        </w:tc>
        <w:tc>
          <w:tcPr>
            <w:tcW w:type="dxa" w:w="3118"/>
          </w:tcPr>
          <w:p>
            <w:r>
              <w:rPr>
                <w:sz w:val="20"/>
              </w:rPr>
              <w:t>4</w:t>
            </w:r>
          </w:p>
        </w:tc>
      </w:tr>
      <w:tr>
        <w:tc>
          <w:tcPr>
            <w:tcW w:type="dxa" w:w="3118"/>
          </w:tcPr>
          <w:p>
            <w:r>
              <w:rPr>
                <w:sz w:val="20"/>
              </w:rPr>
              <w:t>86</w:t>
            </w:r>
          </w:p>
        </w:tc>
        <w:tc>
          <w:tcPr>
            <w:tcW w:type="dxa" w:w="3118"/>
          </w:tcPr>
          <w:p>
            <w:r>
              <w:rPr>
                <w:sz w:val="20"/>
              </w:rPr>
              <w:t>TDAH, antidémences, antiaddiction</w:t>
            </w:r>
          </w:p>
        </w:tc>
        <w:tc>
          <w:tcPr>
            <w:tcW w:type="dxa" w:w="3118"/>
          </w:tcPr>
          <w:p>
            <w:r>
              <w:rPr>
                <w:sz w:val="20"/>
              </w:rPr>
              <w:t>6</w:t>
            </w:r>
          </w:p>
        </w:tc>
      </w:tr>
      <w:tr>
        <w:tc>
          <w:tcPr>
            <w:tcW w:type="dxa" w:w="3118"/>
          </w:tcPr>
          <w:p>
            <w:r>
              <w:rPr>
                <w:sz w:val="20"/>
              </w:rPr>
              <w:t>87</w:t>
            </w:r>
          </w:p>
        </w:tc>
        <w:tc>
          <w:tcPr>
            <w:tcW w:type="dxa" w:w="3118"/>
          </w:tcPr>
          <w:p>
            <w:r>
              <w:rPr>
                <w:sz w:val="20"/>
              </w:rPr>
              <w:t>Maladie de Parkinson</w:t>
            </w:r>
          </w:p>
        </w:tc>
        <w:tc>
          <w:tcPr>
            <w:tcW w:type="dxa" w:w="3118"/>
          </w:tcPr>
          <w:p>
            <w:r>
              <w:rPr>
                <w:sz w:val="20"/>
              </w:rPr>
              <w:t>3</w:t>
            </w:r>
          </w:p>
        </w:tc>
      </w:tr>
      <w:tr>
        <w:tc>
          <w:tcPr>
            <w:tcW w:type="dxa" w:w="3118"/>
          </w:tcPr>
          <w:p>
            <w:r>
              <w:rPr>
                <w:sz w:val="20"/>
              </w:rPr>
              <w:t>**Total**</w:t>
            </w:r>
          </w:p>
        </w:tc>
        <w:tc>
          <w:tcPr>
            <w:tcW w:type="dxa" w:w="3118"/>
          </w:tcPr>
          <w:p>
            <w:r>
              <w:rPr>
                <w:sz w:val="20"/>
              </w:rPr>
            </w:r>
          </w:p>
        </w:tc>
        <w:tc>
          <w:tcPr>
            <w:tcW w:type="dxa" w:w="3118"/>
          </w:tcPr>
          <w:p>
            <w:r>
              <w:rPr>
                <w:sz w:val="20"/>
              </w:rPr>
              <w:t>**57**</w:t>
            </w:r>
          </w:p>
        </w:tc>
      </w:tr>
    </w:tbl>
    <w:p/>
    <w:p>
      <w:pPr>
        <w:pStyle w:val="Heading1"/>
      </w:pPr>
      <w:r>
        <w:t>CHAPITRE 81 — ANTIDÉPRESSEURS</w:t>
      </w:r>
    </w:p>
    <w:p>
      <w:pPr>
        <w:pStyle w:val="Heading2"/>
      </w:pPr>
      <w:r>
        <w:t>Fascicule X — Psychiatrie / Psychotropes</w:t>
      </w:r>
    </w:p>
    <w:p>
      <w:pPr>
        <w:pStyle w:val="Heading2"/>
      </w:pPr>
      <w:r>
        <w:t>INTRODUCTION GÉNÉRALE DU CHAPITRE</w:t>
      </w:r>
    </w:p>
    <w:p>
      <w:r>
        <w:t>Les antidépresseurs constituent l'une des classes thérapeutiques les plus prescrites au monde et représentent un pilier de la prise en charge pharmacologique des troubles de l'humeur, des troubles anxieux, des troubles obsessionnels-compulsifs (TOC), de la douleur neuropathique et de certaines manifestations psychosomatiques. En Algérie, où la prévalence des troubles dépressifs et anxieux est en augmentation constante (vie urbaine, stress socio-économique, contextes post-traumatiques), la dispensation de ces molécules représente une activité de comptoir particulièrement fréquente et engage fortement la responsabilité professionnelle du pharmacien d'officine.</w:t>
      </w:r>
    </w:p>
    <w:p>
      <w:r>
        <w:t xml:space="preserve">Ce premier chapitre du Fascicule X (Psychiatrie / Psychotropes) regroupe </w:t>
      </w:r>
      <w:r>
        <w:rPr>
          <w:b/>
        </w:rPr>
        <w:t>14 DCI</w:t>
      </w:r>
      <w:r>
        <w:t xml:space="preserve"> réparties en six sous-classes pharmacologiques :</w:t>
      </w:r>
    </w:p>
    <w:p>
      <w:pPr>
        <w:pStyle w:val="ListNumber"/>
      </w:pPr>
      <w:r/>
      <w:r>
        <w:rPr>
          <w:b/>
        </w:rPr>
        <w:t>Inhibiteurs de la Recapture de la Sérotonine (IRS)</w:t>
      </w:r>
      <w:r>
        <w:t xml:space="preserve"> — six molécules : Fluoxétine, Sertraline, Paroxétine, Citalopram, Escitalopram, Fluvoxamine. Cette sous-classe constitue le traitement de première intention de la dépression modérée à sévère et de la plupart des troubles anxieux en raison de leur meilleure tolérance comparativement aux tricycliques ;</w:t>
      </w:r>
    </w:p>
    <w:p>
      <w:pPr>
        <w:pStyle w:val="ListNumber"/>
      </w:pPr>
      <w:r/>
      <w:r>
        <w:rPr>
          <w:b/>
        </w:rPr>
        <w:t>Inhibiteurs de la Recapture de la Sérotonine et de la Noradrénaline (IRSN)</w:t>
      </w:r>
      <w:r>
        <w:t xml:space="preserve"> — deux molécules : Venlafaxine et Duloxétine. Leur double action monoaminergique en fait une alternative dans les dépressions résistantes et un relais thérapeutique utile ;</w:t>
      </w:r>
    </w:p>
    <w:p>
      <w:pPr>
        <w:pStyle w:val="ListNumber"/>
      </w:pPr>
      <w:r/>
      <w:r>
        <w:rPr>
          <w:b/>
        </w:rPr>
        <w:t>Antidépresseurs Tricycliques (ATC)</w:t>
      </w:r>
      <w:r>
        <w:t xml:space="preserve"> — trois molécules : Amitriptyline, Clomipramine, Trimipramine. Plus anciens, ils restent irremplaçables dans certaines indications (douleurs neuropathiques, TOC sévère, dépressions mélancoliques), malgré un index thérapeutique étroit ;</w:t>
      </w:r>
    </w:p>
    <w:p>
      <w:pPr>
        <w:pStyle w:val="ListNumber"/>
      </w:pPr>
      <w:r/>
      <w:r>
        <w:rPr>
          <w:b/>
        </w:rPr>
        <w:t>Antidépresseurs Tétracycliques</w:t>
      </w:r>
      <w:r>
        <w:t xml:space="preserve"> — une molécule : Maprotiline, tétracyclique classique noradrénergique ;</w:t>
      </w:r>
    </w:p>
    <w:p>
      <w:pPr>
        <w:pStyle w:val="ListNumber"/>
      </w:pPr>
      <w:r/>
      <w:r>
        <w:rPr>
          <w:b/>
        </w:rPr>
        <w:t>Antidépresseurs Tétracycliques atypiques</w:t>
      </w:r>
      <w:r>
        <w:t xml:space="preserve"> — une molécule : Miansérine, tétracyclique atypique antagoniste des récepteurs ;</w:t>
      </w:r>
    </w:p>
    <w:p>
      <w:pPr>
        <w:pStyle w:val="ListNumber"/>
      </w:pPr>
      <w:r/>
      <w:r>
        <w:rPr>
          <w:b/>
        </w:rPr>
        <w:t>Noradrénergiques et Spécifiques Sérotoninergiques (NaSSA)</w:t>
      </w:r>
      <w:r>
        <w:t xml:space="preserve"> — une molécule : Mirtazapine, dont le profil sédatif et orexigène la distingue très nettement des IRS.</w:t>
      </w:r>
    </w:p>
    <w:p>
      <w:r>
        <w:t xml:space="preserve">L'enseignement de cette classe est rendu critique par plusieurs particularités pharmacologiques : le </w:t>
      </w:r>
      <w:r>
        <w:rPr>
          <w:b/>
        </w:rPr>
        <w:t>délai d'action différé</w:t>
      </w:r>
      <w:r>
        <w:t xml:space="preserve"> de 2 à 4 semaines (qui doit être expliqué au patient dès la délivrance), le risque de </w:t>
      </w:r>
      <w:r>
        <w:rPr>
          <w:b/>
        </w:rPr>
        <w:t>syndrome sérotoninergique</w:t>
      </w:r>
      <w:r>
        <w:t xml:space="preserve"> en cas d'association à un IMAO ou à un autre agent sérotoninergique (morphine, tramadol, triptans), le risque d'</w:t>
      </w:r>
      <w:r>
        <w:rPr>
          <w:b/>
        </w:rPr>
        <w:t>hyponatrémie</w:t>
      </w:r>
      <w:r>
        <w:t xml:space="preserve"> surtout chez le sujet âgé, le </w:t>
      </w:r>
      <w:r>
        <w:rPr>
          <w:b/>
        </w:rPr>
        <w:t>syndrome de sevrage</w:t>
      </w:r>
      <w:r>
        <w:t xml:space="preserve"> à l'arrêt brutal (particulièrement marqué pour la paroxétine et la venlafaxine du fait de leurs demi-vies courtes), l'</w:t>
      </w:r>
      <w:r>
        <w:rPr>
          <w:b/>
        </w:rPr>
        <w:t>index thérapeutique étroit</w:t>
      </w:r>
      <w:r>
        <w:t xml:space="preserve"> des tricycliques (surdosage mortel par cardiotoxicité), et le risque suicidaire paradoxal transitoire en début de traitement chez l'adolescent et le jeune adulte.</w:t>
      </w:r>
    </w:p>
    <w:p>
      <w:r>
        <w:t>Sur le plan nomenclatural algérien, ce chapitre couvre un éventail de 130 références commerciales (formes, dosages et conditionnements confondus) incluant les génériques locaux (Biopharm, Saidal, Hikma, Lek, GenMed, etc.), les spécialités sous licence internationale (Eli Lilly, GlaxoSmithKline, Lundbeck, Novartis, Sanofi-Aventis, Organon, Roche) et de nombreuses spécialités retirées ou non renouvelables qui subsistent néanmoins dans les officines tant que les stocks persistent et que la traçabilité le permet.</w:t>
      </w:r>
    </w:p>
    <w:p>
      <w:r>
        <w:t>La rédaction qui suit, fidèle à l'esprit des Fascicules I-IX déjà publiés, adopte une structure fiche-par-DCI systématique : présentation des marques disponibles en Algérie (avec statut administratif), sous-classe et mécanisme d'action moléculaire précis, profil pharmacologique (indications, contre-indications, effets indésirables), mesures préventives et conduite à tenir, interactions médicamenteuses majeures, données de grossesse et allaitement (référencées selon le CRAT), posologie et mode d'administration, arbitrage des formes galéniques, conseils au comptoir, et enfin pièges pratiques à connaître.</w:t>
      </w:r>
    </w:p>
    <w:p>
      <w:pPr>
        <w:pStyle w:val="Heading2"/>
      </w:pPr>
      <w:r>
        <w:t>SOUS-CLASSE 1 — INHIBITEURS DE LA RECAPTURE DE LA SÉROTONINE (IRS)</w:t>
      </w:r>
    </w:p>
    <w:p>
      <w:pPr>
        <w:pStyle w:val="Heading3"/>
      </w:pPr>
      <w:r>
        <w:t>Introduction de la sous-classe</w:t>
      </w:r>
    </w:p>
    <w:p>
      <w:r>
        <w:t>Les Inhibiteurs de la Recapture de la Sérotonine (IRS), encore appelés ISRS (Inhibiteurs Spécififs de la Recapture de la Sérotonine), représentent la classe de référence du traitement antidépresseur moderne. Apparus en France dès 1983 avec l'indalpine (retirée) puis 1989 avec la fluoxétine (Prozac®), ils ont profondément modifié la prise en charge ambulatoire de la dépression en raison de leur sécurité d'emploi supérieure à celle des tricycliques et de leur meilleure tolérance globale.</w:t>
      </w:r>
    </w:p>
    <w:p>
      <w:r/>
      <w:r>
        <w:rPr>
          <w:b/>
        </w:rPr>
        <w:t>Cible moléculaire</w:t>
      </w:r>
      <w:r>
        <w:t xml:space="preserve"> : les IRS inhibent de façon sélective et puissante le transporteur de recapture présynaptique de la sérotonine (SERT, </w:t>
      </w:r>
      <w:r>
        <w:rPr>
          <w:i/>
        </w:rPr>
        <w:t>Serotonin Transporter</w:t>
      </w:r>
      <w:r>
        <w:t xml:space="preserve">, gène </w:t>
      </w:r>
      <w:r>
        <w:rPr>
          <w:i/>
        </w:rPr>
        <w:t>SLC6A4</w:t>
      </w:r>
      <w:r>
        <w:t>), appartenant à la superfamille des transporteurs NSS (</w:t>
      </w:r>
      <w:r>
        <w:rPr>
          <w:i/>
        </w:rPr>
        <w:t>Neurotransmitter:Sodium Symporter</w:t>
      </w:r>
      <w:r>
        <w:t>). Cette inhibition élève la concentration synaptique en 5-hydroxytryptamine (5-HT) dans la fente synaptique, prolongeant le signal postsynaptique au niveau des récepteurs 5-HT1A, 5-HT2A/2C, 5-HT3, 5-HT4 et 5-HT7. L'effet antidépresseur, différant de plusieurs semaines de l'augmentation aiguë de 5-HT, s'explique par une cascade adaptative : down-régulation des autorécepteurs 5-HT1A présynaptiques, neurogenèse hippocampique, augmentation de l'expression du BDNF (</w:t>
      </w:r>
      <w:r>
        <w:rPr>
          <w:i/>
        </w:rPr>
        <w:t>Brain-Derived Neurotrophic Factor</w:t>
      </w:r>
      <w:r>
        <w:t>), et restauration de la plasticité synaptique.</w:t>
      </w:r>
    </w:p>
    <w:p>
      <w:r/>
      <w:r>
        <w:rPr>
          <w:b/>
        </w:rPr>
        <w:t>Sélectivité</w:t>
      </w:r>
      <w:r>
        <w:t xml:space="preserve"> : la sélectivité pour SERT versus DAT (dopamine) et NET (noradrénaline) varie selon les molécules — la paroxétine est la plus puissante et la plus sélective pour SERT (Ki ≈ 0,1 nM), suivie de l'escitalopram (Ki ≈ 2 nM), le citalopram, la sertraline, la fluvoxamine et la fluoxétine. Cette sélectivité explique l'absence relative d'effets anticholinergiques, adrénergiques et histaminergiques comparativement aux ATC, mais aussi l'existence d'effets indésirables propres (digestifs, sexuels, métaboliques).</w:t>
      </w:r>
    </w:p>
    <w:p>
      <w:r/>
      <w:r>
        <w:rPr>
          <w:b/>
        </w:rPr>
        <w:t>Spectre d'activité clinique</w:t>
      </w:r>
      <w:r>
        <w:t xml:space="preserve"> : dépression majeure, troubles anxieux généralisés (TAG), trouble panique, phobie sociale, TOC, état de stress post-traumatique (ESPT), boulimie (fluoxétine), trouble dysphorique prémenstruel (fluoxétine, sertraline), ejaculation précoce (paroxétine, sertraline off-label).</w:t>
      </w:r>
    </w:p>
    <w:p>
      <w:r/>
      <w:r>
        <w:rPr>
          <w:b/>
        </w:rPr>
        <w:t>Profil de tolérance</w:t>
      </w:r>
      <w:r>
        <w:t xml:space="preserve"> : nausées et troubles digestifs (20-30% des cas, transitoires), insomnie ou asthénie, céphalées, dysfonction sexuelle (anorgasmie, baisse de libido : 30-50% des patients, sous-diagnostiquée), hyponatrémie (SIADH — surtout sujet âgé), risque hémorragique (inhibition de la recapture plaquettaire de sérotonine), syndrome de sevrage à l'arrêt brutal (notamment paroxétine, venlafaxine). Le syndrome sérotoninergique (triade clinique : hyperréflexie, clonus, hyperthermie, agitation, tremblements, diarrhée) constitue la complication la plus redoutée, classiquement observée en cas d'association IRS + IMAO ou IRS + tramadol/fentanyl/péthidine/triptans.</w:t>
      </w:r>
    </w:p>
    <w:p>
      <w:r/>
      <w:r>
        <w:rPr>
          <w:b/>
        </w:rPr>
        <w:t>Règle d'or du washout</w:t>
      </w:r>
      <w:r>
        <w:t xml:space="preserve"> : deux semaines (14 jours) minimum entre l'arrêt d'un IMAO et le début d'un IRS, et inversement cinq demi-vies de l'IRS (soit jusqu'à 5 semaines pour la fluoxétine en raison de la longue demi-vie du métabolite actif norfluoxétine).</w:t>
      </w:r>
    </w:p>
    <w:p>
      <w:pPr>
        <w:pStyle w:val="Heading3"/>
      </w:pPr>
      <w:r>
        <w:t>1. DCI : Fluoxétine (Seule)</w:t>
      </w:r>
    </w:p>
    <w:p>
      <w:r/>
      <w:r>
        <w:rPr>
          <w:b/>
        </w:rPr>
        <w:t>Liste des Catégories :</w:t>
      </w:r>
      <w:r>
        <w:t xml:space="preserve"> Antidépresseurs — Inhibiteurs Recapture Sérotonine (IRS) ; Liste I.</w:t>
      </w:r>
    </w:p>
    <w:p>
      <w:r>
        <w:t xml:space="preserve">La fluoxétine est l'IRS historique, premier de la classe à avoir été commercialisé (Prozac®, Eli Lilly, 1986 en France, 1988 aux États-Unis). Sa caractéristique pharmacocinétique majeure est sa </w:t>
      </w:r>
      <w:r>
        <w:rPr>
          <w:b/>
        </w:rPr>
        <w:t>très longue demi-vie d'élimination</w:t>
      </w:r>
      <w:r>
        <w:t xml:space="preserve"> : 1 à 4 jours pour la molécule mère, mais surtout </w:t>
      </w:r>
      <w:r>
        <w:rPr>
          <w:b/>
        </w:rPr>
        <w:t>7 à 15 jours pour son métabolite actif, la norfluoxétine</w:t>
      </w:r>
      <w:r>
        <w:t xml:space="preserve">, qui présente une activité inhibitrice de la recapture de la sérotonine équivalente. Cette particularité explique l'absence quasi-totale de syndrome de sevrage à l'arrêt (le métabolite s'élimine spontanément et progressivement) mais impose un washout prolongé de 5 semaines avant l'introduction d'un IMAO. La fluoxétine est également le seul IRS à avoir obtenu une AMM dans la </w:t>
      </w:r>
      <w:r>
        <w:rPr>
          <w:b/>
        </w:rPr>
        <w:t>boulimie</w:t>
      </w:r>
      <w:r>
        <w:t xml:space="preserve"> et dans la composante dépressive du trouble bipolaire (en association).</w:t>
      </w:r>
    </w:p>
    <w:p>
      <w:r/>
      <w:r>
        <w:rPr>
          <w:b/>
        </w:rPr>
        <w:t>Médicaments disponibles en Algérie (Marques, Laboratoires, Formes et Dosages) :</w:t>
      </w:r>
      <w:r/>
    </w:p>
    <w:p>
      <w:pPr>
        <w:pStyle w:val="ListBullet"/>
      </w:pPr>
      <w:r/>
      <w:r>
        <w:rPr>
          <w:b/>
        </w:rPr>
        <w:t>DINALEXIN</w:t>
      </w:r>
      <w:r>
        <w:t xml:space="preserve"> (PHARMIDAL NS)</w:t>
      </w:r>
    </w:p>
    <w:p>
      <w:pPr>
        <w:pStyle w:val="ListBullet"/>
      </w:pPr>
      <w:r>
        <w:t>Formes et Dosages : Gélule 20 mg, boîte de 14</w:t>
      </w:r>
    </w:p>
    <w:p>
      <w:pPr>
        <w:pStyle w:val="ListBullet"/>
      </w:pPr>
      <w:r>
        <w:t>Statut : Actif</w:t>
      </w:r>
    </w:p>
    <w:p>
      <w:pPr>
        <w:pStyle w:val="ListBullet"/>
      </w:pPr>
      <w:r/>
      <w:r>
        <w:rPr>
          <w:b/>
        </w:rPr>
        <w:t>FLUOXETINE MERINAL</w:t>
      </w:r>
      <w:r>
        <w:t xml:space="preserve"> (LABORATOIRES MERINAL)</w:t>
      </w:r>
    </w:p>
    <w:p>
      <w:pPr>
        <w:pStyle w:val="ListBullet"/>
      </w:pPr>
      <w:r>
        <w:t>Formes et Dosages : Gélules 20 mg/gélule, boîte de 30</w:t>
      </w:r>
    </w:p>
    <w:p>
      <w:pPr>
        <w:pStyle w:val="ListBullet"/>
      </w:pPr>
      <w:r>
        <w:t>Statut : Actif</w:t>
      </w:r>
    </w:p>
    <w:p>
      <w:pPr>
        <w:pStyle w:val="ListBullet"/>
      </w:pPr>
      <w:r/>
      <w:r>
        <w:rPr>
          <w:b/>
        </w:rPr>
        <w:t>NEOXETINE</w:t>
      </w:r>
      <w:r>
        <w:t xml:space="preserve"> (NEOMEDIC)</w:t>
      </w:r>
    </w:p>
    <w:p>
      <w:pPr>
        <w:pStyle w:val="ListBullet"/>
      </w:pPr>
      <w:r>
        <w:t>Formes et Dosages : Gélule 20 mg, boîte de 20</w:t>
      </w:r>
    </w:p>
    <w:p>
      <w:pPr>
        <w:pStyle w:val="ListBullet"/>
      </w:pPr>
      <w:r>
        <w:t>Statut : Actif</w:t>
      </w:r>
    </w:p>
    <w:p>
      <w:pPr>
        <w:pStyle w:val="ListBullet"/>
      </w:pPr>
      <w:r/>
      <w:r>
        <w:rPr>
          <w:b/>
        </w:rPr>
        <w:t>ROSAL</w:t>
      </w:r>
      <w:r>
        <w:t xml:space="preserve"> (INPHA-MEDIS)</w:t>
      </w:r>
    </w:p>
    <w:p>
      <w:pPr>
        <w:pStyle w:val="ListBullet"/>
      </w:pPr>
      <w:r>
        <w:t>Formes et Dosages : Gélule 20 mg, boîte de 30</w:t>
      </w:r>
    </w:p>
    <w:p>
      <w:pPr>
        <w:pStyle w:val="ListBullet"/>
      </w:pPr>
      <w:r>
        <w:t>Statut : Actif</w:t>
      </w:r>
    </w:p>
    <w:p>
      <w:pPr>
        <w:pStyle w:val="ListBullet"/>
      </w:pPr>
      <w:r/>
      <w:r>
        <w:rPr>
          <w:b/>
        </w:rPr>
        <w:t>FLUOXETINE UPC</w:t>
      </w:r>
      <w:r>
        <w:t xml:space="preserve"> (SPA UNION PHARMACEUTIQUE CONSTANTINOISE PRODUCTION)</w:t>
      </w:r>
    </w:p>
    <w:p>
      <w:pPr>
        <w:pStyle w:val="ListBullet"/>
      </w:pPr>
      <w:r>
        <w:t>Formes et Dosages : Solution buvable 20 mg/5 ml, flacon de 70 ml avec pipette graduée</w:t>
      </w:r>
    </w:p>
    <w:p>
      <w:pPr>
        <w:pStyle w:val="ListBullet"/>
      </w:pPr>
      <w:r>
        <w:t>Statut : Actif</w:t>
      </w:r>
    </w:p>
    <w:p>
      <w:pPr>
        <w:pStyle w:val="ListBullet"/>
      </w:pPr>
      <w:r/>
      <w:r>
        <w:rPr>
          <w:b/>
        </w:rPr>
        <w:t>FLUZAC</w:t>
      </w:r>
      <w:r>
        <w:t xml:space="preserve"> (PHARMALLIANCE)</w:t>
      </w:r>
    </w:p>
    <w:p>
      <w:pPr>
        <w:pStyle w:val="ListBullet"/>
      </w:pPr>
      <w:r>
        <w:t>Formes et Dosages : Gélules 20 mg, boîte de 12</w:t>
      </w:r>
    </w:p>
    <w:p>
      <w:pPr>
        <w:pStyle w:val="ListBullet"/>
      </w:pPr>
      <w:r>
        <w:t>Statut : Retiré (R)</w:t>
      </w:r>
    </w:p>
    <w:p>
      <w:pPr>
        <w:pStyle w:val="ListBullet"/>
      </w:pPr>
      <w:r/>
      <w:r>
        <w:rPr>
          <w:b/>
        </w:rPr>
        <w:t>IZONEX</w:t>
      </w:r>
      <w:r>
        <w:t xml:space="preserve"> (CHIMIE PHARMACIE COMMERCE MULTIPLE SARL — CPCM)</w:t>
      </w:r>
    </w:p>
    <w:p>
      <w:pPr>
        <w:pStyle w:val="ListBullet"/>
      </w:pPr>
      <w:r>
        <w:t>Formes et Dosages : Gélules 20 mg, boîte de 14</w:t>
      </w:r>
    </w:p>
    <w:p>
      <w:pPr>
        <w:pStyle w:val="ListBullet"/>
      </w:pPr>
      <w:r>
        <w:t>Statut : Retiré (R)</w:t>
      </w:r>
    </w:p>
    <w:p>
      <w:pPr>
        <w:pStyle w:val="ListBullet"/>
      </w:pPr>
      <w:r/>
      <w:r>
        <w:rPr>
          <w:b/>
        </w:rPr>
        <w:t>OXETINE</w:t>
      </w:r>
      <w:r>
        <w:t xml:space="preserve"> (JORDANIAN PHARMACEUTICAL MANUFACTURING)</w:t>
      </w:r>
    </w:p>
    <w:p>
      <w:pPr>
        <w:pStyle w:val="ListBullet"/>
      </w:pPr>
      <w:r>
        <w:t>Formes et Dosages : Comprimés 20 mg, boîte de 20</w:t>
      </w:r>
    </w:p>
    <w:p>
      <w:pPr>
        <w:pStyle w:val="ListBullet"/>
      </w:pPr>
      <w:r>
        <w:t>Statut : Retiré (R)</w:t>
      </w:r>
    </w:p>
    <w:p>
      <w:pPr>
        <w:pStyle w:val="ListBullet"/>
      </w:pPr>
      <w:r/>
      <w:r>
        <w:rPr>
          <w:b/>
        </w:rPr>
        <w:t>ANXETIN</w:t>
      </w:r>
      <w:r>
        <w:t xml:space="preserve"> (DAR AL DAWA)</w:t>
      </w:r>
    </w:p>
    <w:p>
      <w:pPr>
        <w:pStyle w:val="ListBullet"/>
      </w:pPr>
      <w:r>
        <w:t>Formes et Dosages : Gélules 20 mg, boîte de 10</w:t>
      </w:r>
    </w:p>
    <w:p>
      <w:pPr>
        <w:pStyle w:val="ListBullet"/>
      </w:pPr>
      <w:r>
        <w:t>Statut : Retiré (R)</w:t>
      </w:r>
    </w:p>
    <w:p>
      <w:pPr>
        <w:pStyle w:val="ListBullet"/>
      </w:pPr>
      <w:r/>
      <w:r>
        <w:rPr>
          <w:b/>
        </w:rPr>
        <w:t>DEPREKS</w:t>
      </w:r>
      <w:r>
        <w:t xml:space="preserve"> (ABDI IBRAHIM)</w:t>
      </w:r>
    </w:p>
    <w:p>
      <w:pPr>
        <w:pStyle w:val="ListBullet"/>
      </w:pPr>
      <w:r>
        <w:t>Formes et Dosages : Gélules 20 mg, boîte de 16</w:t>
      </w:r>
    </w:p>
    <w:p>
      <w:pPr>
        <w:pStyle w:val="ListBullet"/>
      </w:pPr>
      <w:r>
        <w:t>Statut : Retiré (R)</w:t>
      </w:r>
    </w:p>
    <w:p>
      <w:pPr>
        <w:pStyle w:val="ListBullet"/>
      </w:pPr>
      <w:r/>
      <w:r>
        <w:rPr>
          <w:b/>
        </w:rPr>
        <w:t>FLUOXETINE UPC</w:t>
      </w:r>
      <w:r>
        <w:t xml:space="preserve"> (UNION PHARMACEUTIQUE CONSTANTINOISE — UPC)</w:t>
      </w:r>
    </w:p>
    <w:p>
      <w:pPr>
        <w:pStyle w:val="ListBullet"/>
      </w:pPr>
      <w:r>
        <w:t>Formes et Dosages : Gélules 20 mg, boîte de 14</w:t>
      </w:r>
    </w:p>
    <w:p>
      <w:pPr>
        <w:pStyle w:val="ListBullet"/>
      </w:pPr>
      <w:r>
        <w:t>Statut : Retiré (R)</w:t>
      </w:r>
    </w:p>
    <w:p>
      <w:pPr>
        <w:pStyle w:val="ListBullet"/>
      </w:pPr>
      <w:r/>
      <w:r>
        <w:rPr>
          <w:b/>
        </w:rPr>
        <w:t>MAGRILAN</w:t>
      </w:r>
      <w:r>
        <w:t xml:space="preserve"> (MEDOCHEMIE LTD)</w:t>
      </w:r>
    </w:p>
    <w:p>
      <w:pPr>
        <w:pStyle w:val="ListBullet"/>
      </w:pPr>
      <w:r>
        <w:t>Formes et Dosages : Gélules 20 mg, boîte de 30</w:t>
      </w:r>
    </w:p>
    <w:p>
      <w:pPr>
        <w:pStyle w:val="ListBullet"/>
      </w:pPr>
      <w:r>
        <w:t>Statut : Retiré (R)</w:t>
      </w:r>
    </w:p>
    <w:p>
      <w:pPr>
        <w:pStyle w:val="ListBullet"/>
      </w:pPr>
      <w:r/>
      <w:r>
        <w:rPr>
          <w:b/>
        </w:rPr>
        <w:t>NUZAC</w:t>
      </w:r>
      <w:r>
        <w:t xml:space="preserve"> (CIPLA LIMITED)</w:t>
      </w:r>
    </w:p>
    <w:p>
      <w:pPr>
        <w:pStyle w:val="ListBullet"/>
      </w:pPr>
      <w:r>
        <w:t>Formes et Dosages : Gélules 20 mg, boîtes de 14 et de 20</w:t>
      </w:r>
    </w:p>
    <w:p>
      <w:pPr>
        <w:pStyle w:val="ListBullet"/>
      </w:pPr>
      <w:r>
        <w:t>Statut : Retiré (R)</w:t>
      </w:r>
    </w:p>
    <w:p>
      <w:pPr>
        <w:pStyle w:val="ListBullet"/>
      </w:pPr>
      <w:r/>
      <w:r>
        <w:rPr>
          <w:b/>
        </w:rPr>
        <w:t>PROXETINE</w:t>
      </w:r>
      <w:r>
        <w:t xml:space="preserve"> (HAYAT PHARMACEUTICAL INDUSTRIES Co LTD)</w:t>
      </w:r>
    </w:p>
    <w:p>
      <w:pPr>
        <w:pStyle w:val="ListBullet"/>
      </w:pPr>
      <w:r>
        <w:t>Formes et Dosages : Gélules 20 mg, boîte de 14</w:t>
      </w:r>
    </w:p>
    <w:p>
      <w:pPr>
        <w:pStyle w:val="ListBullet"/>
      </w:pPr>
      <w:r>
        <w:t>Statut : Retiré (R)</w:t>
      </w:r>
    </w:p>
    <w:p>
      <w:pPr>
        <w:pStyle w:val="ListBullet"/>
      </w:pPr>
      <w:r/>
      <w:r>
        <w:rPr>
          <w:b/>
        </w:rPr>
        <w:t>PROZAC</w:t>
      </w:r>
      <w:r>
        <w:t xml:space="preserve"> (ELI-LILLY)</w:t>
      </w:r>
    </w:p>
    <w:p>
      <w:pPr>
        <w:pStyle w:val="ListBullet"/>
      </w:pPr>
      <w:r>
        <w:t>Formes et Dosages : Gélules 20 mg, boîte de 14</w:t>
      </w:r>
    </w:p>
    <w:p>
      <w:pPr>
        <w:pStyle w:val="ListBullet"/>
      </w:pPr>
      <w:r>
        <w:t>Statut : Retiré (R)</w:t>
      </w:r>
    </w:p>
    <w:p>
      <w:pPr>
        <w:pStyle w:val="ListBullet"/>
      </w:pPr>
      <w:r/>
      <w:r>
        <w:rPr>
          <w:b/>
        </w:rPr>
        <w:t>SERONIL</w:t>
      </w:r>
      <w:r>
        <w:t xml:space="preserve"> (SANDOZ SPA)</w:t>
      </w:r>
    </w:p>
    <w:p>
      <w:pPr>
        <w:pStyle w:val="ListBullet"/>
      </w:pPr>
      <w:r>
        <w:t>Formes et Dosages : Gélules 20 mg, boîte de 30</w:t>
      </w:r>
    </w:p>
    <w:p>
      <w:pPr>
        <w:pStyle w:val="ListBullet"/>
      </w:pPr>
      <w:r>
        <w:t>Statut : Retiré (R)</w:t>
      </w:r>
    </w:p>
    <w:p>
      <w:pPr>
        <w:pStyle w:val="ListBullet"/>
      </w:pPr>
      <w:r/>
      <w:r>
        <w:rPr>
          <w:b/>
        </w:rPr>
        <w:t>FLOXETINA — HISPAL</w:t>
      </w:r>
      <w:r>
        <w:t xml:space="preserve"> (HISPAL PHARMA SPA)</w:t>
      </w:r>
    </w:p>
    <w:p>
      <w:pPr>
        <w:pStyle w:val="ListBullet"/>
      </w:pPr>
      <w:r>
        <w:t>Formes et Dosages : Gélules 20 mg, boîte de 20</w:t>
      </w:r>
    </w:p>
    <w:p>
      <w:pPr>
        <w:pStyle w:val="ListBullet"/>
      </w:pPr>
      <w:r>
        <w:t>Statut : Retiré (R)</w:t>
      </w:r>
    </w:p>
    <w:p>
      <w:pPr>
        <w:pStyle w:val="ListBullet"/>
      </w:pPr>
      <w:r/>
      <w:r>
        <w:rPr>
          <w:b/>
        </w:rPr>
        <w:t>SALIPAX 20</w:t>
      </w:r>
      <w:r>
        <w:t xml:space="preserve"> (MEPHA PHARMA L.T.D.)</w:t>
      </w:r>
    </w:p>
    <w:p>
      <w:pPr>
        <w:pStyle w:val="ListBullet"/>
      </w:pPr>
      <w:r>
        <w:t>Formes et Dosages : Gélules 20 mg, boîte de 20</w:t>
      </w:r>
    </w:p>
    <w:p>
      <w:pPr>
        <w:pStyle w:val="ListBullet"/>
      </w:pPr>
      <w:r>
        <w:t>Statut : Retiré (R)</w:t>
      </w:r>
    </w:p>
    <w:p>
      <w:pPr>
        <w:pStyle w:val="ListBullet"/>
      </w:pPr>
      <w:r/>
      <w:r>
        <w:rPr>
          <w:b/>
        </w:rPr>
        <w:t>FLUOXONE</w:t>
      </w:r>
      <w:r>
        <w:t xml:space="preserve"> (SMB LABORATOIRES)</w:t>
      </w:r>
    </w:p>
    <w:p>
      <w:pPr>
        <w:pStyle w:val="ListBullet"/>
      </w:pPr>
      <w:r>
        <w:t>Formes et Dosages : Comprimé enrobé 20 mg, boîte de 20</w:t>
      </w:r>
    </w:p>
    <w:p>
      <w:pPr>
        <w:pStyle w:val="ListBullet"/>
      </w:pPr>
      <w:r>
        <w:t>Statut : Retiré (R)</w:t>
      </w:r>
    </w:p>
    <w:p>
      <w:pPr>
        <w:pStyle w:val="ListBullet"/>
      </w:pPr>
      <w:r/>
      <w:r>
        <w:rPr>
          <w:b/>
        </w:rPr>
        <w:t>FLUOXETINE BIOGARAN</w:t>
      </w:r>
      <w:r>
        <w:t xml:space="preserve"> (BIOGARAN)</w:t>
      </w:r>
    </w:p>
    <w:p>
      <w:pPr>
        <w:pStyle w:val="ListBullet"/>
      </w:pPr>
      <w:r>
        <w:t>Formes et Dosages : Gélules 20 mg, boîte de 14</w:t>
      </w:r>
    </w:p>
    <w:p>
      <w:pPr>
        <w:pStyle w:val="ListBullet"/>
      </w:pPr>
      <w:r>
        <w:t>Statut : Retiré (R)</w:t>
      </w:r>
    </w:p>
    <w:p>
      <w:pPr>
        <w:pStyle w:val="ListBullet"/>
      </w:pPr>
      <w:r/>
      <w:r>
        <w:rPr>
          <w:b/>
        </w:rPr>
        <w:t>PROZAC</w:t>
      </w:r>
      <w:r>
        <w:t xml:space="preserve"> (ELI LILLY)</w:t>
      </w:r>
    </w:p>
    <w:p>
      <w:pPr>
        <w:pStyle w:val="ListBullet"/>
      </w:pPr>
      <w:r>
        <w:t>Formes et Dosages : Solution buvable 20 mg/5 ml, flacon de 70 ml avec mesurette graduée</w:t>
      </w:r>
    </w:p>
    <w:p>
      <w:pPr>
        <w:pStyle w:val="ListBullet"/>
      </w:pPr>
      <w:r>
        <w:t>Statut : Retiré (R)</w:t>
      </w:r>
    </w:p>
    <w:p>
      <w:r/>
      <w:r>
        <w:rPr>
          <w:b/>
        </w:rPr>
        <w:t>Sous-classe et Mécanisme d'action :</w:t>
      </w:r>
      <w:r/>
    </w:p>
    <w:p>
      <w:pPr>
        <w:pStyle w:val="ListBullet"/>
      </w:pPr>
      <w:r>
        <w:t>Sous-classe : Inhibiteur Spécifique de la Recapture de la Sérotonine (IRS), chef de file historique de la classe, métabolisé en norfluoxétine active.</w:t>
      </w:r>
    </w:p>
    <w:p>
      <w:pPr>
        <w:pStyle w:val="ListBullet"/>
      </w:pPr>
      <w:r>
        <w:t>Mécanisme d'action : inhibition puissante et sélective du transporteur présynaptique SERT (Ki ≈ 6 nM pour la 5-HT versus &gt;1000 nM pour la NA), entraînant une augmentation prolongée de la concentration synaptique de sérotonine au niveau des synapses des noyaux du raphé et de leurs projections cortico-limbiques. L'adaptation thérapeutique (down-régulation des autorécepteurs 5-HT1A somatodendritiques) explique le délai d'action de 2 à 4 semaines. La fluoxétine conserve une légère activité inhibitrice sur le CYP2D6 à doses thérapeutiques, modérée sur le CYP2C19.</w:t>
      </w:r>
    </w:p>
    <w:p>
      <w:r/>
      <w:r>
        <w:rPr>
          <w:b/>
        </w:rPr>
        <w:t>Profil Pharmacologique :</w:t>
      </w:r>
      <w:r/>
    </w:p>
    <w:p>
      <w:pPr>
        <w:pStyle w:val="ListBullet"/>
      </w:pPr>
      <w:r>
        <w:t>Indications : épisode dépressif majeur (adulte et enfant &gt;8 ans), trouble obsessionnel-compulsif (enfant &gt;8 ans et adulte), boulimie (en complément d'une prise en charge psychothérapique), trouble dysphorique prémenstruel, trouble panique (off-label en Algérie). Composante dépressive du trouble bipolaire en association avec un thymorégulateur.</w:t>
      </w:r>
    </w:p>
    <w:p>
      <w:pPr>
        <w:pStyle w:val="ListBullet"/>
      </w:pPr>
      <w:r>
        <w:t>Contre-indications : hypersensibilité à la fluoxétine, association aux IMAO non sélectifs (iproniazide) et sélectifs A (moclobémide, toloxatone) — washout obligatoire de 14 jours après IMAO et de 5 semaines avant IMAO ; manie non contrôlée ; instauration concomitante avec linézolide (IMAO réversible) ; précautions : sujet âgé, insuffisance hépatique (réduire dose de moitié), insuffisance rénale sévère, antécédents suicidaires, épilepsie non équilibrée, glaucome à angle fermé (légère composante mydriatique).</w:t>
      </w:r>
    </w:p>
    <w:p>
      <w:pPr>
        <w:pStyle w:val="ListBullet"/>
      </w:pPr>
      <w:r>
        <w:t>Effets Indésirables : nausées (très fréquent, 20-25%), céphalées, insomnie ou somnolence paradoxale, anxiété transitoire d'augmentation en début de traitement, tremblements, sudation, dysfonction sexuelle (anorgasmie, baisse de libido — 30-40%, parfois non réversible à l'arrêt), hyponatrémie par SIADH (sujet âgé — surveiller natrémie), allongement du QTc (modéré, à surveiller en association), saignements (inhibition de la recapture plaquettaire de sérotonine), perte de poids initiale (3-5% du poids corporel dans les 3 premiers mois), rash, exceptionnellement syndrome sérotoninergique.</w:t>
      </w:r>
    </w:p>
    <w:p>
      <w:r/>
      <w:r>
        <w:rPr>
          <w:b/>
        </w:rPr>
        <w:t>Prévention et Gestion des Effets Indésirables :</w:t>
      </w:r>
      <w:r/>
    </w:p>
    <w:p>
      <w:pPr>
        <w:pStyle w:val="ListBullet"/>
      </w:pPr>
      <w:r>
        <w:t>Mesures Préventives : démarrer à dose faible (10-20 mg le matin) chez le sujet âgé, naïf ou anxieux ; surveillance de l'état psychique en début de traitement (risque suicidaire transitoire chez le sujet &lt;25 ans — recommandation HAS/ANSM de consultation rapprochée les 2-4 premières semaines) ; vérification de la natrémie à l'instauration chez le sujet &gt;65 ans et à chaque modification de traitement associé (diurétiques, IEC) ; évaluation ECG avant instauration chez patient cardiaque ou en cas d'association à un allongeur de QT ; surveillance de l'INR sous antivitamines K (modification de l'hémostase primaire par baisse de la sérotonine plaquettaire).</w:t>
      </w:r>
    </w:p>
    <w:p>
      <w:pPr>
        <w:pStyle w:val="ListBullet"/>
      </w:pPr>
      <w:r>
        <w:t>Conduite à Tenir : en cas de syndrome sérotoninergique (triade agitation + hyperréflexie + hyperthermie), arrêt immédiat de la fluoxétine et prise en charge médicale urgente (réanimation, cyproheptadine en deuxième intention) ; en cas d'hyponatrémie &lt;130 mmol/L, arrêt et bilan étiologique ; l'arrêt du traitement doit être progressif (paliers de 10 mg par semaine) bien que la longue demi-vie rende le syndrome de sevrage rare ; en cas de dysfonction sexuelle invalidante, discussion d'un switch vers la mirtazapine ou la bupropion (non disponible en Algérie).</w:t>
      </w:r>
    </w:p>
    <w:p>
      <w:r/>
      <w:r>
        <w:rPr>
          <w:b/>
        </w:rPr>
        <w:t>Interactions Importantes :</w:t>
      </w:r>
      <w:r/>
    </w:p>
    <w:p>
      <w:pPr>
        <w:pStyle w:val="ListBullet"/>
      </w:pPr>
      <w:r/>
      <w:r>
        <w:rPr>
          <w:b/>
        </w:rPr>
        <w:t>Fluoxétine + IMAO</w:t>
      </w:r>
      <w:r>
        <w:t xml:space="preserve"> : CI ABSOLUE — syndrome sérotoninergique mortel. Washout de 5 semaines (et non 2 semaines) entre fluoxétine et IMAO en raison de la longue demi-vie de la norfluoxétine. Particularité de la fluoxétine par rapport aux autres IRS.</w:t>
      </w:r>
    </w:p>
    <w:p>
      <w:pPr>
        <w:pStyle w:val="ListBullet"/>
      </w:pPr>
      <w:r/>
      <w:r>
        <w:rPr>
          <w:b/>
        </w:rPr>
        <w:t>Fluoxétine + Tramadol / Péthidine / Fentanyl / Dextrométhorphane</w:t>
      </w:r>
      <w:r>
        <w:t xml:space="preserve"> : risque majeur de syndrome sérotoninergique (potentialisation sérotoninergique). À éviter ; préférer la codéine ou la morphine pure comme antalgique opioïde.</w:t>
      </w:r>
    </w:p>
    <w:p>
      <w:pPr>
        <w:pStyle w:val="ListBullet"/>
      </w:pPr>
      <w:r/>
      <w:r>
        <w:rPr>
          <w:b/>
        </w:rPr>
        <w:t>Fluoxétine + Triptans (sumatriptan, zolmitriptan)</w:t>
      </w:r>
      <w:r>
        <w:t xml:space="preserve"> : risque de syndrome sérotoninergique. Surveillance clinique renforcée.</w:t>
      </w:r>
    </w:p>
    <w:p>
      <w:pPr>
        <w:pStyle w:val="ListBullet"/>
      </w:pPr>
      <w:r/>
      <w:r>
        <w:rPr>
          <w:b/>
        </w:rPr>
        <w:t>Fluoxétine + Antivitamines K (warfarine, acénocoumarol)</w:t>
      </w:r>
      <w:r>
        <w:t xml:space="preserve"> : majoration du risque hémorragique (double mécanisme : inhibition CYP2C9 + baisse de la sérotonine plaquettaire). Surveillance INR rapprochée.</w:t>
      </w:r>
    </w:p>
    <w:p>
      <w:pPr>
        <w:pStyle w:val="ListBullet"/>
      </w:pPr>
      <w:r/>
      <w:r>
        <w:rPr>
          <w:b/>
        </w:rPr>
        <w:t>Fluoxétine + Médicaments métabolisés par CYP2D6</w:t>
      </w:r>
      <w:r>
        <w:t xml:space="preserve"> (codéine — perte d'efficacité par inhibition de la conversion en morphine ; atomoxétine, carbamazépine, phénytoïne, tamoxifène, clozapine) : inhibition enzymatique — adapter les doses.</w:t>
      </w:r>
    </w:p>
    <w:p>
      <w:pPr>
        <w:pStyle w:val="ListBullet"/>
      </w:pPr>
      <w:r/>
      <w:r>
        <w:rPr>
          <w:b/>
        </w:rPr>
        <w:t>Fluoxétine + AINS / Aspirine</w:t>
      </w:r>
      <w:r>
        <w:t xml:space="preserve"> : majoration du risque hémorragique (baisse de l'agrégation plaquettaire).</w:t>
      </w:r>
    </w:p>
    <w:p>
      <w:r/>
      <w:r>
        <w:rPr>
          <w:b/>
        </w:rPr>
        <w:t>Grossesse et Allaitement :</w:t>
      </w:r>
      <w:r/>
    </w:p>
    <w:p>
      <w:pPr>
        <w:pStyle w:val="ListBullet"/>
      </w:pPr>
      <w:r>
        <w:t xml:space="preserve">Grossesse : selon CRAT, la fluoxétine est l'un des IRS pour lequel le recul est le plus important (plusieurs dizaines de milliers de grossesses exposées documentées). Pas de tératogénicité prouvée à ce jour (pas d'augmentation du risque de malformations majeures). Cependant, passage transplacentaire et risque de </w:t>
      </w:r>
      <w:r>
        <w:rPr>
          <w:b/>
        </w:rPr>
        <w:t>syndrome d'adaptation néonatale</w:t>
      </w:r>
      <w:r>
        <w:t xml:space="preserve"> (irritabilité, hypertonie, trémulations, troubles de la succion, détresse respiratoire) si exposition au 3e trimestre (incidence 30%). En pratique, privilégier la sertraline en première intention en cours de grossesse ; la fluoxétine reste utilisable si déjà instaurée et bien tolérée avant la grossesse.</w:t>
      </w:r>
    </w:p>
    <w:p>
      <w:pPr>
        <w:pStyle w:val="ListBullet"/>
      </w:pPr>
      <w:r>
        <w:t xml:space="preserve">Allaitement : selon CRAT, la fluoxétine est </w:t>
      </w:r>
      <w:r>
        <w:rPr>
          <w:b/>
        </w:rPr>
        <w:t>à éviter en cours d'allaitement</w:t>
      </w:r>
      <w:r>
        <w:t xml:space="preserve"> en raison de la longue demi-vie de la norfluoxétine et de l'accumulation possible chez le nourrisson (concentrations sériques détectables, cas publiés de coliques, d'irritabilité et de perte de poids). Si traitement indispensable, privilégier sertraline ou paroxétine. Si fluoxétine maintenue, surveiller poids et comportement du nourrisson.</w:t>
      </w:r>
    </w:p>
    <w:p>
      <w:pPr>
        <w:pStyle w:val="ListBullet"/>
      </w:pPr>
      <w:r>
        <w:t>Précisions : les données récentes suggèrent une légère augmentation du risque d'hypertension artérielle pulmonaire persistante du nouveau-né (HTAPN) avec les IRS en fin de grossesse (odds-ratio ~2, risque absolu 3/1000 vs 1/1000) — non spécifique à la fluoxétine.</w:t>
      </w:r>
    </w:p>
    <w:p>
      <w:r/>
      <w:r>
        <w:rPr>
          <w:b/>
        </w:rPr>
        <w:t>Posologie et Mode d'administration (Standard) :</w:t>
      </w:r>
      <w:r/>
    </w:p>
    <w:p>
      <w:pPr>
        <w:pStyle w:val="ListBullet"/>
      </w:pPr>
      <w:r>
        <w:t>Adulte : dépression — dose initiale 20 mg/jour le matin, en une prise unique ; en cas de réponse insuffisante à 3-4 semaines, augmentation à 20 mg matin + 20 mg midi (40 mg/j maximum dans la dépression). TOC : 20-60 mg/j. Boulimie : 60 mg/j (paliers progressifs).</w:t>
      </w:r>
    </w:p>
    <w:p>
      <w:pPr>
        <w:pStyle w:val="ListBullet"/>
      </w:pPr>
      <w:r>
        <w:t>Sujet âgé : dose initiale réduite à 10 mg/jour (5 mg en cas d'insuffisance hépatique), augmentation par paliers de 5-10 mg toutes les 2 semaines, dose maximale 40 mg/j.</w:t>
      </w:r>
    </w:p>
    <w:p>
      <w:pPr>
        <w:pStyle w:val="ListBullet"/>
      </w:pPr>
      <w:r>
        <w:t>Enfant &gt;8 ans et adolescent (TOC, dépression) : initialement 10 mg/jour, augmentation possible à 20 mg/jour après 2 semaines.</w:t>
      </w:r>
    </w:p>
    <w:p>
      <w:pPr>
        <w:pStyle w:val="ListBullet"/>
      </w:pPr>
      <w:r>
        <w:t>Durée : traitement de l'épisode dépressif caractérisé : 6 mois minimum après rémission complète ; prévention des récidives : au long cours (au moins 2 ans après 2-3 épisodes). En Algérie, suivi psychiatrique obligatoire pour renouvellement au-delà de 12 mois.</w:t>
      </w:r>
    </w:p>
    <w:p>
      <w:pPr>
        <w:pStyle w:val="ListBullet"/>
      </w:pPr>
      <w:r>
        <w:t>Moment de la prise : le matin (en raison du risque d'insomnie) ; prise indépendante des repas mais de préférence au cours du petit-déjeuner en cas de nausées.</w:t>
      </w:r>
    </w:p>
    <w:p>
      <w:r/>
      <w:r>
        <w:rPr>
          <w:b/>
        </w:rPr>
        <w:t>Arbitrage et Bénéfices des Formes Galéniques :</w:t>
      </w:r>
      <w:r/>
    </w:p>
    <w:p>
      <w:pPr>
        <w:pStyle w:val="ListBullet"/>
      </w:pPr>
      <w:r/>
      <w:r>
        <w:rPr>
          <w:b/>
        </w:rPr>
        <w:t>Gélules 20 mg</w:t>
      </w:r>
      <w:r>
        <w:t xml:space="preserve"> : forme standard, facilement sécable pour adapter à 10 mg par ouverture (bien que non officielle, la pratique est tolérée). Avantage : facilité d'observance, délivrance simple.</w:t>
      </w:r>
    </w:p>
    <w:p>
      <w:pPr>
        <w:pStyle w:val="ListBullet"/>
      </w:pPr>
      <w:r/>
      <w:r>
        <w:rPr>
          <w:b/>
        </w:rPr>
        <w:t>Solution buvable 20 mg/5 ml (Fluoxétine UPC, Prozac®)</w:t>
      </w:r>
      <w:r>
        <w:t xml:space="preserve"> : indiquée pour les patients ayant des difficultés de déglutition (sujet âgé, dysphagie), pour les posologies pédiatriques (5 mg = 1,25 ml), et pour les paliers de sevrage très progressifs. Permet une titration fine par paliers de 1 mg. Inconvénient : conservation limitée à 1 mois après ouverture, nécessité d'une pipette graduée et d'une formation à l'administration.</w:t>
      </w:r>
    </w:p>
    <w:p>
      <w:pPr>
        <w:pStyle w:val="ListBullet"/>
      </w:pPr>
      <w:r/>
      <w:r>
        <w:rPr>
          <w:b/>
        </w:rPr>
        <w:t>Formes retirées (Prozac®, Salipax®, Nuzac®)</w:t>
      </w:r>
      <w:r>
        <w:t xml:space="preserve"> : historiquement marques de référence, encore retrouvées dans les stocks et officines ; le pharmacien doit veiller à ne pas délivrer une forme retirée si une alternative active équivalente est disponible, et informer le patient de la substitution.</w:t>
      </w:r>
    </w:p>
    <w:p>
      <w:r/>
      <w:r>
        <w:rPr>
          <w:b/>
        </w:rPr>
        <w:t>Instructions et Conseils au Patient :</w:t>
      </w:r>
      <w:r/>
    </w:p>
    <w:p>
      <w:pPr>
        <w:pStyle w:val="ListBullet"/>
      </w:pPr>
      <w:r>
        <w:t xml:space="preserve">Communication au comptoir : « Ce médicament est un antidépresseur qui met 2 à 4 semaines à faire effet. Les premiers jours, vous pouvez ressentir des nausées, des maux de tête, voire une augmentation transitoire de l'anxiété : c'est normal et cela va s'estomper. Prenez-le le matin, avec ou sans nourriture. </w:t>
      </w:r>
      <w:r>
        <w:rPr>
          <w:b/>
        </w:rPr>
        <w:t>Ne l'arrêtez jamais seul</w:t>
      </w:r>
      <w:r>
        <w:t>, même si vous allez mieux : il faut suivre votre médecin pour un arrêt progressif. Si vous ressentez une agitation intense, de la fièvre, des tremblements, contactez immédiatement un service d'urgence. Évitez l'alcool, ne prenez pas d'automédication (surtout pas de sirop pour la toux au dextrométhorphane ou d'antidouleurs puissants sans avis). »</w:t>
      </w:r>
    </w:p>
    <w:p>
      <w:pPr>
        <w:pStyle w:val="ListBullet"/>
      </w:pPr>
      <w:r>
        <w:t>Mode d'utilisation pratique : prise matinale stricte ; en cas d'oubli, ne pas doubler la prise ; tenir un agenda de l'humeur ; consultation psychiatrique de contrôle à 2 semaines, 4 semaines puis mensuelle ; prévenir dentistes et autres médecins consultés de la prise de fluoxétine ; surveillance du poids et de l'humeur.</w:t>
      </w:r>
    </w:p>
    <w:p>
      <w:r/>
      <w:r>
        <w:rPr>
          <w:b/>
        </w:rPr>
        <w:t>Notes, Règles d'Or &amp; Pièges au Comptoir :</w:t>
      </w:r>
      <w:r/>
    </w:p>
    <w:p>
      <w:pPr>
        <w:pStyle w:val="ListBullet"/>
      </w:pPr>
      <w:r>
        <w:t xml:space="preserve">Piège classique : la fluoxétine est l'IRS le plus long à éliminer. </w:t>
      </w:r>
      <w:r>
        <w:rPr>
          <w:b/>
        </w:rPr>
        <w:t>Toujours demander si le patient a pris un IMAO dans les 5 dernières semaines avant de délivrer</w:t>
      </w:r>
      <w:r>
        <w:t>. Inversement, lors d'un switch de la fluoxétine vers un autre antidépresseur ou IMAO, imposer un washout d'au moins 5 semaines (et non 2 semaines comme pour les autres IRS).</w:t>
      </w:r>
    </w:p>
    <w:p>
      <w:pPr>
        <w:pStyle w:val="ListBullet"/>
      </w:pPr>
      <w:r>
        <w:t>Règle de prise : matin, à heure fixe, ne pas déplacer la prise au soir (risque d'insomnie).</w:t>
      </w:r>
    </w:p>
    <w:p>
      <w:pPr>
        <w:pStyle w:val="ListBullet"/>
      </w:pPr>
      <w:r>
        <w:t>Préparation et Conservation : gélules et solution buvable à conserver à température &lt;25°C, à l'abri de l'humidité et de la lumière ; solution buvable à utiliser dans le mois qui suit l'ouverture.</w:t>
      </w:r>
    </w:p>
    <w:p>
      <w:pPr>
        <w:pStyle w:val="ListBullet"/>
      </w:pPr>
      <w:r>
        <w:t>Piège du surdosage / Substitution : la fluoxétine est l'IRS le moins toxique en surdosage aigu (large index thérapeutique, longue demi-vie atténuant les pics) ; néanmoins, surveiller allongement QTc en cas de co-ingestion. Lors d'une substitution de marque (Prozac® retiré vers Fluoxétine Merinal, Neoxétine ou Rosal), bien expliquer au patient l'équivalence stricte de dosage et la nécessité de poursuivre le même schéma thérapeutique.</w:t>
      </w:r>
    </w:p>
    <w:p>
      <w:pPr>
        <w:pStyle w:val="Heading3"/>
      </w:pPr>
      <w:r>
        <w:t>2. DCI : Sertraline (Seule)</w:t>
      </w:r>
    </w:p>
    <w:p>
      <w:r/>
      <w:r>
        <w:rPr>
          <w:b/>
        </w:rPr>
        <w:t>Liste des Catégories :</w:t>
      </w:r>
      <w:r>
        <w:t xml:space="preserve"> Antidépresseurs — Inhibiteurs Recapture Sérotonine (IRS) ; Liste I.</w:t>
      </w:r>
    </w:p>
    <w:p>
      <w:r>
        <w:t xml:space="preserve">La sertraline est l'IRS de référence chez la </w:t>
      </w:r>
      <w:r>
        <w:rPr>
          <w:b/>
        </w:rPr>
        <w:t>femme enceinte qui allaite</w:t>
      </w:r>
      <w:r>
        <w:t xml:space="preserve"> (selon le CRAT) en raison de son passage transplacentaire et dans le lait maternel particulièrement faible. Sa puissance inhibitrice de SERT est intermédiaire (Ki ≈ 0,2-0,5 nM), et son métabolisme hépatique par CYP2B6, CYP2C19, CYP2D6 et CYP3A4 aboutit à un métabolite inactif, la desmethylsertraline. Sa demi-vie d'élimination est de 22 à 36 heures, autorisant une seule prise quotidienne. La sertraline est l'IRS possédant le profil d'interactions médicamenteuses le plus favorable (peu d'inhibition des cytochromes), ce qui en fait un choix privilégié chez le patient polymédicamenté (sujet âgé, transplanté, sous AVK, sous antirétroviraux).</w:t>
      </w:r>
    </w:p>
    <w:p>
      <w:r/>
      <w:r>
        <w:rPr>
          <w:b/>
        </w:rPr>
        <w:t>Médicaments disponibles en Algérie (Marques, Laboratoires, Formes et Dosages) :</w:t>
      </w:r>
      <w:r/>
    </w:p>
    <w:p>
      <w:pPr>
        <w:pStyle w:val="ListBullet"/>
      </w:pPr>
      <w:r/>
      <w:r>
        <w:rPr>
          <w:b/>
        </w:rPr>
        <w:t>SERLOFT</w:t>
      </w:r>
      <w:r>
        <w:t xml:space="preserve"> (FRATER-RAZES FORME SECHE)</w:t>
      </w:r>
    </w:p>
    <w:p>
      <w:pPr>
        <w:pStyle w:val="ListBullet"/>
      </w:pPr>
      <w:r>
        <w:t>Formes et Dosages : Gélule 50 mg, boîte de 30</w:t>
      </w:r>
    </w:p>
    <w:p>
      <w:pPr>
        <w:pStyle w:val="ListBullet"/>
      </w:pPr>
      <w:r>
        <w:t>Statut : Actif</w:t>
      </w:r>
    </w:p>
    <w:p>
      <w:pPr>
        <w:pStyle w:val="ListBullet"/>
      </w:pPr>
      <w:r/>
      <w:r>
        <w:rPr>
          <w:b/>
        </w:rPr>
        <w:t>SERVAL</w:t>
      </w:r>
      <w:r>
        <w:t xml:space="preserve"> (INPHA-MEDIS)</w:t>
      </w:r>
    </w:p>
    <w:p>
      <w:pPr>
        <w:pStyle w:val="ListBullet"/>
      </w:pPr>
      <w:r>
        <w:t>Formes et Dosages : Gélule 50 mg et Gélule 25 mg, boîte de 30</w:t>
      </w:r>
    </w:p>
    <w:p>
      <w:pPr>
        <w:pStyle w:val="ListBullet"/>
      </w:pPr>
      <w:r>
        <w:t>Statut : Actif</w:t>
      </w:r>
    </w:p>
    <w:p>
      <w:pPr>
        <w:pStyle w:val="ListBullet"/>
      </w:pPr>
      <w:r/>
      <w:r>
        <w:rPr>
          <w:b/>
        </w:rPr>
        <w:t>SOLOTIK</w:t>
      </w:r>
      <w:r>
        <w:t xml:space="preserve"> (HIKMA PHARMA ALGERIA)</w:t>
      </w:r>
    </w:p>
    <w:p>
      <w:pPr>
        <w:pStyle w:val="ListBullet"/>
      </w:pPr>
      <w:r>
        <w:t>Formes et Dosages : Comprimé pelliculé sécable 50 mg, boîte de 15 ; Comprimé pelliculé sécable 100 mg, pilulier de 15</w:t>
      </w:r>
    </w:p>
    <w:p>
      <w:pPr>
        <w:pStyle w:val="ListBullet"/>
      </w:pPr>
      <w:r>
        <w:t>Statut : Actif</w:t>
      </w:r>
    </w:p>
    <w:p>
      <w:pPr>
        <w:pStyle w:val="ListBullet"/>
      </w:pPr>
      <w:r/>
      <w:r>
        <w:rPr>
          <w:b/>
        </w:rPr>
        <w:t>ZOTRALINE</w:t>
      </w:r>
      <w:r>
        <w:t xml:space="preserve"> (TABET PHARM)</w:t>
      </w:r>
    </w:p>
    <w:p>
      <w:pPr>
        <w:pStyle w:val="ListBullet"/>
      </w:pPr>
      <w:r>
        <w:t>Formes et Dosages : Gélule 50 mg, boîte de 30</w:t>
      </w:r>
    </w:p>
    <w:p>
      <w:pPr>
        <w:pStyle w:val="ListBullet"/>
      </w:pPr>
      <w:r>
        <w:t>Statut : Actif</w:t>
      </w:r>
    </w:p>
    <w:p>
      <w:pPr>
        <w:pStyle w:val="ListBullet"/>
      </w:pPr>
      <w:r/>
      <w:r>
        <w:rPr>
          <w:b/>
        </w:rPr>
        <w:t>ZOLOFT</w:t>
      </w:r>
      <w:r>
        <w:t xml:space="preserve"> (UPJOHN SAIDAL PHARMA)</w:t>
      </w:r>
    </w:p>
    <w:p>
      <w:pPr>
        <w:pStyle w:val="ListBullet"/>
      </w:pPr>
      <w:r>
        <w:t>Formes et Dosages : Gélule 50 mg, boîtes de 14 et de 28</w:t>
      </w:r>
    </w:p>
    <w:p>
      <w:pPr>
        <w:pStyle w:val="ListBullet"/>
      </w:pPr>
      <w:r>
        <w:t>Statut : Actif</w:t>
      </w:r>
    </w:p>
    <w:p>
      <w:pPr>
        <w:pStyle w:val="ListBullet"/>
      </w:pPr>
      <w:r/>
      <w:r>
        <w:rPr>
          <w:b/>
        </w:rPr>
        <w:t>ZEXIL</w:t>
      </w:r>
      <w:r>
        <w:t xml:space="preserve"> (PHARMALLIANCE)</w:t>
      </w:r>
    </w:p>
    <w:p>
      <w:pPr>
        <w:pStyle w:val="ListBullet"/>
      </w:pPr>
      <w:r>
        <w:t>Formes et Dosages : Gélules 50 mg, boîte de 30</w:t>
      </w:r>
    </w:p>
    <w:p>
      <w:pPr>
        <w:pStyle w:val="ListBullet"/>
      </w:pPr>
      <w:r>
        <w:t>Statut : Non Renouvelable</w:t>
      </w:r>
    </w:p>
    <w:p>
      <w:pPr>
        <w:pStyle w:val="ListBullet"/>
      </w:pPr>
      <w:r/>
      <w:r>
        <w:rPr>
          <w:b/>
        </w:rPr>
        <w:t>ZOTROP</w:t>
      </w:r>
      <w:r>
        <w:t xml:space="preserve"> (GROUPE SAIDAL)</w:t>
      </w:r>
    </w:p>
    <w:p>
      <w:pPr>
        <w:pStyle w:val="ListBullet"/>
      </w:pPr>
      <w:r>
        <w:t>Formes et Dosages : Gélules 50 mg, boîte de 30</w:t>
      </w:r>
    </w:p>
    <w:p>
      <w:pPr>
        <w:pStyle w:val="ListBullet"/>
      </w:pPr>
      <w:r>
        <w:t>Statut : Non Renouvelable</w:t>
      </w:r>
    </w:p>
    <w:p>
      <w:pPr>
        <w:pStyle w:val="ListBullet"/>
      </w:pPr>
      <w:r/>
      <w:r>
        <w:rPr>
          <w:b/>
        </w:rPr>
        <w:t>SERT</w:t>
      </w:r>
      <w:r>
        <w:t xml:space="preserve"> (GROUPE SANTE)</w:t>
      </w:r>
    </w:p>
    <w:p>
      <w:pPr>
        <w:pStyle w:val="ListBullet"/>
      </w:pPr>
      <w:r>
        <w:t>Formes et Dosages : Comprimés 50 mg**, boîte de 30</w:t>
      </w:r>
    </w:p>
    <w:p>
      <w:pPr>
        <w:pStyle w:val="ListBullet"/>
      </w:pPr>
      <w:r>
        <w:t>Statut : Retiré (R)</w:t>
      </w:r>
    </w:p>
    <w:p>
      <w:pPr>
        <w:pStyle w:val="ListBullet"/>
      </w:pPr>
      <w:r/>
      <w:r>
        <w:rPr>
          <w:b/>
        </w:rPr>
        <w:t>SETRAL</w:t>
      </w:r>
      <w:r>
        <w:t xml:space="preserve"> (JORDANIAN PHARMACEUTICAL MANUFACTURING — JPM)</w:t>
      </w:r>
    </w:p>
    <w:p>
      <w:pPr>
        <w:pStyle w:val="ListBullet"/>
      </w:pPr>
      <w:r>
        <w:t>Formes et Dosages : Comprimés 50 mg, boîte de 10 ; Comprimés 100 mg, boîte de 10</w:t>
      </w:r>
    </w:p>
    <w:p>
      <w:pPr>
        <w:pStyle w:val="ListBullet"/>
      </w:pPr>
      <w:r>
        <w:t>Statut : Retiré (R)</w:t>
      </w:r>
    </w:p>
    <w:p>
      <w:r/>
      <w:r>
        <w:rPr>
          <w:b/>
        </w:rPr>
        <w:t>Sous-classe et Mécanisme d'action :</w:t>
      </w:r>
      <w:r/>
    </w:p>
    <w:p>
      <w:pPr>
        <w:pStyle w:val="ListBullet"/>
      </w:pPr>
      <w:r>
        <w:t>Sous-classe : IRS, classe des dérivés de la tamétaline (naphtylamine), positionné en première intention dans la dépression et les troubles anxieux.</w:t>
      </w:r>
    </w:p>
    <w:p>
      <w:pPr>
        <w:pStyle w:val="ListBullet"/>
      </w:pPr>
      <w:r>
        <w:t>Mécanisme d'action : inhibition sélective et puissante du transporteur SERT, sans affinité significative pour les récepteurs α1, α2, β, H1, muscariniques, dopaminergiques, sérotoninergiques 5-HT1A/2A/2C, ce qui explique son excellent profil de tolérance. Augmentation dose-dépendante de la transmission sérotoninergique, avec down-régulation adaptative des autorécepteurs 5-HT1A et neurogenèse hippocampique après 2-4 semaines.</w:t>
      </w:r>
    </w:p>
    <w:p>
      <w:r/>
      <w:r>
        <w:rPr>
          <w:b/>
        </w:rPr>
        <w:t>Profil Pharmacologique :</w:t>
      </w:r>
      <w:r/>
    </w:p>
    <w:p>
      <w:pPr>
        <w:pStyle w:val="ListBullet"/>
      </w:pPr>
      <w:r>
        <w:t>Indications : épisode dépressif majeur (adulte et enfant &gt;6 ans), prévention des récidives dépressives, trouble panique, trouble anxieux généralisé, phobie sociale, TOC (adulte et enfant), état de stress post-traumatique (ESPT). En Algérie, AMM essentiellement dépression, TOC, trouble panique et ESPT.</w:t>
      </w:r>
    </w:p>
    <w:p>
      <w:pPr>
        <w:pStyle w:val="ListBullet"/>
      </w:pPr>
      <w:r>
        <w:t>Contre-indications : hypersensibilité, association aux IMAO (washout 14 jours), instauration simultanée avec linézolide ou péthidine, manie non contrôlée. Précautions : insuffisance hépatique (réduire la dose de moitié), épilepsie, antécédents de manie/hypomanie, sujet âgé (risque d'hyponatrémie), saignement actif ou ulcère gastro-duodénal.</w:t>
      </w:r>
    </w:p>
    <w:p>
      <w:pPr>
        <w:pStyle w:val="ListBullet"/>
      </w:pPr>
      <w:r>
        <w:t>Effets Indésirables : nausées (très fréquents, 25-30%, dose-dépendants, transitoires en 1-2 semaines), diarrhée, insomnie ou somnolence, céphalées, dysfonction sexuelle (anorgasmie 30-50%), hypersudation, sécheresse buccale modérée, hyponatrémie par SIADH (sujet âgé — surveillance), allongement modéré du QTc (dose-dépendant, surveillance si &gt;200 mg/j ou association), saignements (epistaxis, ecchymoses), perte de poids modérée, syndrome de sevrage à l'arrêt brutal (vertiges, paresthésies, nausées, anxiété rebond — plus marqué que pour la fluoxétine).</w:t>
      </w:r>
    </w:p>
    <w:p>
      <w:r/>
      <w:r>
        <w:rPr>
          <w:b/>
        </w:rPr>
        <w:t>Prévention et Gestion des Effets Indésirables :</w:t>
      </w:r>
      <w:r/>
    </w:p>
    <w:p>
      <w:pPr>
        <w:pStyle w:val="ListBullet"/>
      </w:pPr>
      <w:r>
        <w:t>Mesures Préventives : initiation à 25 mg/jour (demi-gélule de 50 mg) pendant 4-7 jours puis augmentation à 50 mg pour minimiser l'anxiété transitoire d'augmentation et les nausées initiales ; prise au cours d'un repas pour réduire l'intolérance digestive ; surveillance natrémie chez le sujet &gt;65 ans à 2 semaines et 1 mois ; bilan ECG si dose &gt;200 mg/j ou patient cardiaque ; information transparente sur le risque de dysfonction sexuelle (fréquent, mais souvent amendable par switch vers bupropion ou adjonction de buspirone — non disponibles en Algérie) ; consultation rapprochée chez l'adolescent et le jeune adulte &lt;25 ans (risque suicidaire transitoire).</w:t>
      </w:r>
    </w:p>
    <w:p>
      <w:pPr>
        <w:pStyle w:val="ListBullet"/>
      </w:pPr>
      <w:r>
        <w:t>Conduite à Tenir : en cas de syndrome sérotoninergique, arrêt immédiat, urgence médicale ; en cas d'hyponatrémie, arrêt et correction prudente (≤10 mmol/L/24 h pour éviter la myélinolyse pontique) ; arrêt progressif par paliers de 25 mg par semaine minimum sur 4 semaines (syndrome de sevrage) ; en cas de dysfonction sexuelle persistante, discussion d'un switch vers mirtazapine.</w:t>
      </w:r>
    </w:p>
    <w:p>
      <w:r/>
      <w:r>
        <w:rPr>
          <w:b/>
        </w:rPr>
        <w:t>Interactions Importantes :</w:t>
      </w:r>
      <w:r/>
    </w:p>
    <w:p>
      <w:pPr>
        <w:pStyle w:val="ListBullet"/>
      </w:pPr>
      <w:r/>
      <w:r>
        <w:rPr>
          <w:b/>
        </w:rPr>
        <w:t>Sertraline + IMAO</w:t>
      </w:r>
      <w:r>
        <w:t xml:space="preserve"> : CI ABSOLUE — syndrome sérotoninergique. Washout 14 jours.</w:t>
      </w:r>
    </w:p>
    <w:p>
      <w:pPr>
        <w:pStyle w:val="ListBullet"/>
      </w:pPr>
      <w:r/>
      <w:r>
        <w:rPr>
          <w:b/>
        </w:rPr>
        <w:t>Sertraline + Tramadol / Péthidine / Fentanyl / Dextrométhorphane</w:t>
      </w:r>
      <w:r>
        <w:t xml:space="preserve"> : risque de syndrome sérotoninergique. Surveillance.</w:t>
      </w:r>
    </w:p>
    <w:p>
      <w:pPr>
        <w:pStyle w:val="ListBullet"/>
      </w:pPr>
      <w:r/>
      <w:r>
        <w:rPr>
          <w:b/>
        </w:rPr>
        <w:t>Sertraline + Triptans</w:t>
      </w:r>
      <w:r>
        <w:t xml:space="preserve"> : surveillance clinique renforcée, cas publiés de syndrome sérotoninergique.</w:t>
      </w:r>
    </w:p>
    <w:p>
      <w:pPr>
        <w:pStyle w:val="ListBullet"/>
      </w:pPr>
      <w:r/>
      <w:r>
        <w:rPr>
          <w:b/>
        </w:rPr>
        <w:t>Sertraline + AINS / Aspirine / Anticoagulants oraux</w:t>
      </w:r>
      <w:r>
        <w:t xml:space="preserve"> : majoration du risque hémorragique (baisse de la sérotonine plaquettaire). Surveillance clinique et biologique (INR sous AVK).</w:t>
      </w:r>
    </w:p>
    <w:p>
      <w:pPr>
        <w:pStyle w:val="ListBullet"/>
      </w:pPr>
      <w:r/>
      <w:r>
        <w:rPr>
          <w:b/>
        </w:rPr>
        <w:t>Sertraline + Phénytoïne / Warfarine / Digoxine</w:t>
      </w:r>
      <w:r>
        <w:t xml:space="preserve"> : la sertraline est l'IRS qui inhibe le moins les cytochromes ; néanmoins, surveillance de l'INR (légère inhibition CYP2C9) et de la digoxinémie à l'instauration et au sevrage.</w:t>
      </w:r>
    </w:p>
    <w:p>
      <w:pPr>
        <w:pStyle w:val="ListBullet"/>
      </w:pPr>
      <w:r/>
      <w:r>
        <w:rPr>
          <w:b/>
        </w:rPr>
        <w:t>Sertraline + Médicaments allongeant le QT</w:t>
      </w:r>
      <w:r>
        <w:t xml:space="preserve"> (antiarythmiques classe Ia et III, certains antipsychotiques, macrolides) : majoration du risque d'allongement du QTc. ECG de contrôle.</w:t>
      </w:r>
    </w:p>
    <w:p>
      <w:r/>
      <w:r>
        <w:rPr>
          <w:b/>
        </w:rPr>
        <w:t>Grossesse et Allaitement :</w:t>
      </w:r>
      <w:r/>
    </w:p>
    <w:p>
      <w:pPr>
        <w:pStyle w:val="ListBullet"/>
      </w:pPr>
      <w:r>
        <w:t xml:space="preserve">Grossesse : la sertraline est </w:t>
      </w:r>
      <w:r>
        <w:rPr>
          <w:b/>
        </w:rPr>
        <w:t>l'IRS de choix chez la femme enceinte</w:t>
      </w:r>
      <w:r>
        <w:t xml:space="preserve"> selon le CRAT en raison du faible passage transplacentaire et du recul important. Pas de tératogénicité prouvée. Risque d'adaptation néonatale au 3e trimestre (30% des cas, bénin et transitoire). Légère augmentation du risque d'HTAPN (3/1000 vs 1/1000). Préférer la sertraline à toute autre molécule si initiation d'un antidépresseur en cours de grossesse.</w:t>
      </w:r>
    </w:p>
    <w:p>
      <w:pPr>
        <w:pStyle w:val="ListBullet"/>
      </w:pPr>
      <w:r>
        <w:t xml:space="preserve">Allaitement : la sertraline est </w:t>
      </w:r>
      <w:r>
        <w:rPr>
          <w:b/>
        </w:rPr>
        <w:t>l'IRS de référence pendant l'allaitement</w:t>
      </w:r>
      <w:r>
        <w:t xml:space="preserve"> (CRAT). Passage très faible dans le lait maternel (rapport lait/plasma ≈ 0,5-1 mais concentrations faibles), absence d'effets indésirables rapportés chez le nourrisson dans les séries publiées. Surveillance clinique de l'enfant (poids, sommeil, comportement) sans bilan biologique systématique. Dose à prendre juste après une tétée pour minimiser l'exposition.</w:t>
      </w:r>
    </w:p>
    <w:p>
      <w:pPr>
        <w:pStyle w:val="ListBullet"/>
      </w:pPr>
      <w:r>
        <w:t>Précisions : si un autre IRS était instauré avant la grossesse et bien toléré, le maintien est possible ; en revanche, en cas d'initiation en cours de grossesse ou d'allaitement, la sertraline doit être privilégiée.</w:t>
      </w:r>
    </w:p>
    <w:p>
      <w:r/>
      <w:r>
        <w:rPr>
          <w:b/>
        </w:rPr>
        <w:t>Posologie et Mode d'administration (Standard) :</w:t>
      </w:r>
      <w:r/>
    </w:p>
    <w:p>
      <w:pPr>
        <w:pStyle w:val="ListBullet"/>
      </w:pPr>
      <w:r>
        <w:t>Adulte : dépression — initialement 50 mg/jour le matin, en une prise unique ; augmentation par paliers de 25-50 mg chaque semaine selon réponse et tolérance, jusqu'à 200 mg/jour maximum (dose usuelle efficace : 50-100 mg/j). TOC : 50 mg/j initial, jusqu'à 200 mg/j. Trouble panique et ESPT : initialement 25 mg/jour pendant 4-7 jours puis 50 mg (réduction de l'activation anxiogène initiale).</w:t>
      </w:r>
    </w:p>
    <w:p>
      <w:pPr>
        <w:pStyle w:val="ListBullet"/>
      </w:pPr>
      <w:r>
        <w:t>Sujet âgé : dose initiale réduite à 25 mg/jour, augmentation très progressive par paliers de 25 mg, dose maximale 200 mg/j mais souvent plafonnée à 100-150 mg en pratique gériatrique.</w:t>
      </w:r>
    </w:p>
    <w:p>
      <w:pPr>
        <w:pStyle w:val="ListBullet"/>
      </w:pPr>
      <w:r>
        <w:t>Enfant et adolescent : TOC : 6-12 ans : initialement 25 mg/jour ; 12-17 ans : initialement 50 mg/jour ; augmentation par paliers hebdomadaires jusqu'à 200 mg/j.</w:t>
      </w:r>
    </w:p>
    <w:p>
      <w:pPr>
        <w:pStyle w:val="ListBullet"/>
      </w:pPr>
      <w:r>
        <w:t>Durée : traitement de l'épisode dépressif : 6 mois minimum après rémission complète ; trouble panique et TOC : 12 mois minimum ; prévention des récidives dépressives : au long cours (2-5 ans après 2-3 épisodes).</w:t>
      </w:r>
    </w:p>
    <w:p>
      <w:pPr>
        <w:pStyle w:val="ListBullet"/>
      </w:pPr>
      <w:r>
        <w:t>Moment de la prise : le matin, avec ou sans nourriture (préférentiellement au petit-déjeuner en cas de nausées).</w:t>
      </w:r>
    </w:p>
    <w:p>
      <w:r/>
      <w:r>
        <w:rPr>
          <w:b/>
        </w:rPr>
        <w:t>Arbitrage et Bénéfices des Formes Galéniques :</w:t>
      </w:r>
      <w:r/>
    </w:p>
    <w:p>
      <w:pPr>
        <w:pStyle w:val="ListBullet"/>
      </w:pPr>
      <w:r/>
      <w:r>
        <w:rPr>
          <w:b/>
        </w:rPr>
        <w:t>Gélules 50 mg</w:t>
      </w:r>
      <w:r>
        <w:t xml:space="preserve"> (Zoloft®, Zotraline, Serloft, Serval) : forme standard, non sécable à proprement parler — pour adapter à 25 mg, ouverture de gélule et dispersion dans l'eau (technique officinale). Utilisation pratique pour les paliers de sevrage.</w:t>
      </w:r>
    </w:p>
    <w:p>
      <w:pPr>
        <w:pStyle w:val="ListBullet"/>
      </w:pPr>
      <w:r/>
      <w:r>
        <w:rPr>
          <w:b/>
        </w:rPr>
        <w:t>Comprimés pelliculés sécables 50 mg et 100 mg</w:t>
      </w:r>
      <w:r>
        <w:t xml:space="preserve"> (Solotik — Hikma) : véritable sécabilité, avantage pour la titration (25, 50, 100 mg) et les paliers de sevrage progressif. Conditionnement en pilulier de 15 (unité) — approprié pour les traitements d'initiation.</w:t>
      </w:r>
    </w:p>
    <w:p>
      <w:pPr>
        <w:pStyle w:val="ListBullet"/>
      </w:pPr>
      <w:r/>
      <w:r>
        <w:rPr>
          <w:b/>
        </w:rPr>
        <w:t>Gélule 25 mg (Serval)</w:t>
      </w:r>
      <w:r>
        <w:t xml:space="preserve"> : dosage intermédiaire utile pour initiation à dose réduite (sujet âgé, trouble panique).</w:t>
      </w:r>
    </w:p>
    <w:p>
      <w:pPr>
        <w:pStyle w:val="ListBullet"/>
      </w:pPr>
      <w:r>
        <w:t>Arbitrage : la forme comprimé sécable est à privilégier chez le sujet âgé et chez le patient nécessitant une titration très progressive ; la gélule 50 mg est la forme standard de maintenance.</w:t>
      </w:r>
    </w:p>
    <w:p>
      <w:r/>
      <w:r>
        <w:rPr>
          <w:b/>
        </w:rPr>
        <w:t>Instructions et Conseils au Patient :</w:t>
      </w:r>
      <w:r/>
    </w:p>
    <w:p>
      <w:pPr>
        <w:pStyle w:val="ListBullet"/>
      </w:pPr>
      <w:r>
        <w:t>Communication au comptoir : « Ce médicament est un antidépresseur qui met 2 à 4 semaines pour faire effet. Prenez-le le matin. En début de traitement, des nausées ou une augmentation transitoire de l'anxiété peuvent survenir : c'est normal, cela passe en 1 à 2 semaines. Ne l'arrêtez pas seul, le sevrage doit être progressif. Évitez l'alcool et ne prenez pas d'automédication sans avis médical. Si vous êtes enceinte ou allaitez, ce médicament est compatible, mais prévenez votre médecin et votre pharmacien. En cas de fièvre, tremblements, agitation intense, contactez un service d'urgence. »</w:t>
      </w:r>
    </w:p>
    <w:p>
      <w:pPr>
        <w:pStyle w:val="ListBullet"/>
      </w:pPr>
      <w:r>
        <w:t>Mode d'utilisation pratique : prise matinale à heure fixe ; tenir un journal de l'humeur ; ne pas interrompre en cas d'oubli isolé (ne pas doubler la prise suivante) ; surveiller le poids et l'appétit ; consultations psychiatriques rapprochées en début de traitement ; prévenir tous les médecins consultés (dentiste, anesthésiste) de la prise.</w:t>
      </w:r>
    </w:p>
    <w:p>
      <w:r/>
      <w:r>
        <w:rPr>
          <w:b/>
        </w:rPr>
        <w:t>Notes, Règles d'Or &amp; Pièges au Comptoir :</w:t>
      </w:r>
      <w:r/>
    </w:p>
    <w:p>
      <w:pPr>
        <w:pStyle w:val="ListBullet"/>
      </w:pPr>
      <w:r>
        <w:t xml:space="preserve">Piège classique : chez la femme enceinte ou allaitante, </w:t>
      </w:r>
      <w:r>
        <w:rPr>
          <w:b/>
        </w:rPr>
        <w:t>la sertraline est l'IRS de premier choix</w:t>
      </w:r>
      <w:r>
        <w:t>. Si une patiente sous un autre IRS découvre une grossesse, ne pas arrêter brutalement mais adresser rapidement au médecin pour envisager un switch vers sertraline.</w:t>
      </w:r>
    </w:p>
    <w:p>
      <w:pPr>
        <w:pStyle w:val="ListBullet"/>
      </w:pPr>
      <w:r>
        <w:t>Règle de prise : matin, à heure fixe, avec ou sans nourriture (au petit-déjeuner si nausées).</w:t>
      </w:r>
    </w:p>
    <w:p>
      <w:pPr>
        <w:pStyle w:val="ListBullet"/>
      </w:pPr>
      <w:r>
        <w:t>Préparation et Conservation : conserver à température &lt;25°C, à l'abri de l'humidité et de la lumière.</w:t>
      </w:r>
    </w:p>
    <w:p>
      <w:pPr>
        <w:pStyle w:val="ListBullet"/>
      </w:pPr>
      <w:r>
        <w:t>Piège du surdosage / Substitution : la sertraline a un index thérapeutique large, le surdosage est généralement bénin (nausées, vomissements, somnolence, mydriase, tachycardie sinusale ; allongement QTc possible à doses massives) ; surveiller ECG. Lors de substitution entre marques actives (Solotik ↔ Zoloft ↔ Serval ↔ Zotraline ↔ Serloft), expliquer l'équivalence stricte et vérifier que le dosage prescrit est bien disponible.</w:t>
      </w:r>
    </w:p>
    <w:p>
      <w:pPr>
        <w:pStyle w:val="Heading3"/>
      </w:pPr>
      <w:r>
        <w:t>3. DCI : Paroxétine (Seule)</w:t>
      </w:r>
    </w:p>
    <w:p>
      <w:r/>
      <w:r>
        <w:rPr>
          <w:b/>
        </w:rPr>
        <w:t>Liste des Catégories :</w:t>
      </w:r>
      <w:r>
        <w:t xml:space="preserve"> Antidépresseurs — Inhibiteurs Recapture Sérotonine (IRS) ; Liste I.</w:t>
      </w:r>
    </w:p>
    <w:p>
      <w:r>
        <w:t xml:space="preserve">La paroxétine se distingue au sein des IRS par sa </w:t>
      </w:r>
      <w:r>
        <w:rPr>
          <w:b/>
        </w:rPr>
        <w:t>puissance inhibitrice maximale sur SERT</w:t>
      </w:r>
      <w:r>
        <w:t xml:space="preserve"> (Ki ≈ 0,1 nM) et par son profil sédatif relatif (effet anticholinergique modéré, augmentation de la somnolence). Sa </w:t>
      </w:r>
      <w:r>
        <w:rPr>
          <w:b/>
        </w:rPr>
        <w:t>demi-vie d'élimination courte</w:t>
      </w:r>
      <w:r>
        <w:t xml:space="preserve"> (environ 21 heures) et l'absence de métabolite actif expliquent sa propension marquée à induire un </w:t>
      </w:r>
      <w:r>
        <w:rPr>
          <w:b/>
        </w:rPr>
        <w:t>syndrome de sevrage</w:t>
      </w:r>
      <w:r>
        <w:t xml:space="preserve"> à l'arrêt brutal (vertiges, sensations de choc électrique, nausées, anxiété rebond, insomnie) — c'est l'IRS pour lequel ce risque est le plus élevé. La paroxétine est également l'IRS le plus </w:t>
      </w:r>
      <w:r>
        <w:rPr>
          <w:b/>
        </w:rPr>
        <w:t>inhibiteur du CYP2D6</w:t>
      </w:r>
      <w:r>
        <w:t>, ce qui multiplie les interactions médicamenteuses (codéine, tamoxifène, atomoxétine, métoprolol, néfazodone, etc.). Enfin, son utilisation chez la femme enceinte est déconseillée ( risque cardiovasculaire fœtal).</w:t>
      </w:r>
    </w:p>
    <w:p>
      <w:r/>
      <w:r>
        <w:rPr>
          <w:b/>
        </w:rPr>
        <w:t>Médicaments disponibles en Algérie (Marques, Laboratoires, Formes et Dosages) :</w:t>
      </w:r>
      <w:r/>
    </w:p>
    <w:p>
      <w:pPr>
        <w:pStyle w:val="ListBullet"/>
      </w:pPr>
      <w:r/>
      <w:r>
        <w:rPr>
          <w:b/>
        </w:rPr>
        <w:t>ADDNOK</w:t>
      </w:r>
      <w:r>
        <w:t xml:space="preserve"> (CHIMIE PHARMACIE COMMERCE MULTIPLE — CPCM)</w:t>
      </w:r>
    </w:p>
    <w:p>
      <w:pPr>
        <w:pStyle w:val="ListBullet"/>
      </w:pPr>
      <w:r>
        <w:t>Formes et Dosages : Comprimé pelliculé sécable 20 mg, boîte de 14</w:t>
      </w:r>
    </w:p>
    <w:p>
      <w:pPr>
        <w:pStyle w:val="ListBullet"/>
      </w:pPr>
      <w:r>
        <w:t>Statut : Actif</w:t>
      </w:r>
    </w:p>
    <w:p>
      <w:pPr>
        <w:pStyle w:val="ListBullet"/>
      </w:pPr>
      <w:r/>
      <w:r>
        <w:rPr>
          <w:b/>
        </w:rPr>
        <w:t>DEPRETINE</w:t>
      </w:r>
      <w:r>
        <w:t xml:space="preserve"> (EL KENDI INDUSTRIE DU MEDICAMENT)</w:t>
      </w:r>
    </w:p>
    <w:p>
      <w:pPr>
        <w:pStyle w:val="ListBullet"/>
      </w:pPr>
      <w:r>
        <w:t>Formes et Dosages : Comprimé enrobé 20 mg, boîte de 30 ; Comprimé enrobé 10 mg, boîte de 30</w:t>
      </w:r>
    </w:p>
    <w:p>
      <w:pPr>
        <w:pStyle w:val="ListBullet"/>
      </w:pPr>
      <w:r>
        <w:t>Statut : Actif</w:t>
      </w:r>
    </w:p>
    <w:p>
      <w:pPr>
        <w:pStyle w:val="ListBullet"/>
      </w:pPr>
      <w:r/>
      <w:r>
        <w:rPr>
          <w:b/>
        </w:rPr>
        <w:t>DEROXAT</w:t>
      </w:r>
      <w:r>
        <w:t xml:space="preserve"> (GLAXOSMITHKLINE ALGERIE SPA)</w:t>
      </w:r>
    </w:p>
    <w:p>
      <w:pPr>
        <w:pStyle w:val="ListBullet"/>
      </w:pPr>
      <w:r>
        <w:t>Formes et Dosages : Comprimé pelliculé sécable 20 mg, boîte de 14</w:t>
      </w:r>
    </w:p>
    <w:p>
      <w:pPr>
        <w:pStyle w:val="ListBullet"/>
      </w:pPr>
      <w:r>
        <w:t>Statut : Actif</w:t>
      </w:r>
    </w:p>
    <w:p>
      <w:pPr>
        <w:pStyle w:val="ListBullet"/>
      </w:pPr>
      <w:r/>
      <w:r>
        <w:rPr>
          <w:b/>
        </w:rPr>
        <w:t>DOZAX</w:t>
      </w:r>
      <w:r>
        <w:t xml:space="preserve"> (BIOPHARM)</w:t>
      </w:r>
    </w:p>
    <w:p>
      <w:pPr>
        <w:pStyle w:val="ListBullet"/>
      </w:pPr>
      <w:r>
        <w:t>Formes et Dosages : Comprimé pelliculé sécable 20 mg, boîte de 30</w:t>
      </w:r>
    </w:p>
    <w:p>
      <w:pPr>
        <w:pStyle w:val="ListBullet"/>
      </w:pPr>
      <w:r>
        <w:t>Statut : Actif</w:t>
      </w:r>
    </w:p>
    <w:p>
      <w:pPr>
        <w:pStyle w:val="ListBullet"/>
      </w:pPr>
      <w:r/>
      <w:r>
        <w:rPr>
          <w:b/>
        </w:rPr>
        <w:t>PAREXAT</w:t>
      </w:r>
      <w:r>
        <w:t xml:space="preserve"> (PHARMIDAL NS)</w:t>
      </w:r>
    </w:p>
    <w:p>
      <w:pPr>
        <w:pStyle w:val="ListBullet"/>
      </w:pPr>
      <w:r>
        <w:t>Formes et Dosages : Comprimé pelliculé sécable 20 mg, boîte de 30</w:t>
      </w:r>
    </w:p>
    <w:p>
      <w:pPr>
        <w:pStyle w:val="ListBullet"/>
      </w:pPr>
      <w:r>
        <w:t>Statut : Actif</w:t>
      </w:r>
    </w:p>
    <w:p>
      <w:pPr>
        <w:pStyle w:val="ListBullet"/>
      </w:pPr>
      <w:r/>
      <w:r>
        <w:rPr>
          <w:b/>
        </w:rPr>
        <w:t>PAROLYX</w:t>
      </w:r>
      <w:r>
        <w:t xml:space="preserve"> (FRATER-RAZES FORME SECHE)</w:t>
      </w:r>
    </w:p>
    <w:p>
      <w:pPr>
        <w:pStyle w:val="ListBullet"/>
      </w:pPr>
      <w:r>
        <w:t>Formes et Dosages : Comprimé pelliculé sécable 20 mg, boîte de 30 ; Comprimé pelliculé 10 mg, boîte de 30</w:t>
      </w:r>
    </w:p>
    <w:p>
      <w:pPr>
        <w:pStyle w:val="ListBullet"/>
      </w:pPr>
      <w:r>
        <w:t>Statut : Actif</w:t>
      </w:r>
    </w:p>
    <w:p>
      <w:pPr>
        <w:pStyle w:val="ListBullet"/>
      </w:pPr>
      <w:r/>
      <w:r>
        <w:rPr>
          <w:b/>
        </w:rPr>
        <w:t>PAROXAL</w:t>
      </w:r>
      <w:r>
        <w:t xml:space="preserve"> (SPIMACO ADDWAEIH)</w:t>
      </w:r>
    </w:p>
    <w:p>
      <w:pPr>
        <w:pStyle w:val="ListBullet"/>
      </w:pPr>
      <w:r>
        <w:t>Formes et Dosages : Comprimé pelliculé sécable 20 mg, boîte de 30</w:t>
      </w:r>
    </w:p>
    <w:p>
      <w:pPr>
        <w:pStyle w:val="ListBullet"/>
      </w:pPr>
      <w:r>
        <w:t>Statut : Actif</w:t>
      </w:r>
    </w:p>
    <w:p>
      <w:pPr>
        <w:pStyle w:val="ListBullet"/>
      </w:pPr>
      <w:r/>
      <w:r>
        <w:rPr>
          <w:b/>
        </w:rPr>
        <w:t>PAROXETINE BEKER</w:t>
      </w:r>
      <w:r>
        <w:t xml:space="preserve"> (LABORATOIRES BEKER)</w:t>
      </w:r>
    </w:p>
    <w:p>
      <w:pPr>
        <w:pStyle w:val="ListBullet"/>
      </w:pPr>
      <w:r>
        <w:t>Formes et Dosages : Comprimé pelliculé sécable 20 mg, boîtes de 14 et de 30</w:t>
      </w:r>
    </w:p>
    <w:p>
      <w:pPr>
        <w:pStyle w:val="ListBullet"/>
      </w:pPr>
      <w:r>
        <w:t>Statut : Actif</w:t>
      </w:r>
    </w:p>
    <w:p>
      <w:pPr>
        <w:pStyle w:val="ListBullet"/>
      </w:pPr>
      <w:r/>
      <w:r>
        <w:rPr>
          <w:b/>
        </w:rPr>
        <w:t>PAROXETINE BGL</w:t>
      </w:r>
      <w:r>
        <w:t xml:space="preserve"> (BIOGALENIC)</w:t>
      </w:r>
    </w:p>
    <w:p>
      <w:pPr>
        <w:pStyle w:val="ListBullet"/>
      </w:pPr>
      <w:r>
        <w:t>Formes et Dosages : Comprimé pelliculé sécable 20 mg, boîte de 30 ; Comprimé pelliculé 10 mg, boîte de 30</w:t>
      </w:r>
    </w:p>
    <w:p>
      <w:pPr>
        <w:pStyle w:val="ListBullet"/>
      </w:pPr>
      <w:r>
        <w:t>Statut : Actif</w:t>
      </w:r>
    </w:p>
    <w:p>
      <w:pPr>
        <w:pStyle w:val="ListBullet"/>
      </w:pPr>
      <w:r/>
      <w:r>
        <w:rPr>
          <w:b/>
        </w:rPr>
        <w:t>PAROXINAD</w:t>
      </w:r>
      <w:r>
        <w:t xml:space="preserve"> (NADPHARMADIC-PRODUCTION)</w:t>
      </w:r>
    </w:p>
    <w:p>
      <w:pPr>
        <w:pStyle w:val="ListBullet"/>
      </w:pPr>
      <w:r>
        <w:t>Formes et Dosages : Comprimé pelliculé sécable 20 mg, boîte de 30</w:t>
      </w:r>
    </w:p>
    <w:p>
      <w:pPr>
        <w:pStyle w:val="ListBullet"/>
      </w:pPr>
      <w:r>
        <w:t>Statut : Actif</w:t>
      </w:r>
    </w:p>
    <w:p>
      <w:pPr>
        <w:pStyle w:val="ListBullet"/>
      </w:pPr>
      <w:r/>
      <w:r>
        <w:rPr>
          <w:b/>
        </w:rPr>
        <w:t>PAXETINE</w:t>
      </w:r>
      <w:r>
        <w:t xml:space="preserve"> (LABORATOIRES MERINAL)</w:t>
      </w:r>
    </w:p>
    <w:p>
      <w:pPr>
        <w:pStyle w:val="ListBullet"/>
      </w:pPr>
      <w:r>
        <w:t>Formes et Dosages : Comprimé pelliculé sécable 20 mg, boîte de 30</w:t>
      </w:r>
    </w:p>
    <w:p>
      <w:pPr>
        <w:pStyle w:val="ListBullet"/>
      </w:pPr>
      <w:r>
        <w:t>Statut : Actif</w:t>
      </w:r>
    </w:p>
    <w:p>
      <w:pPr>
        <w:pStyle w:val="ListBullet"/>
      </w:pPr>
      <w:r/>
      <w:r>
        <w:rPr>
          <w:b/>
        </w:rPr>
        <w:t>PROSAREX</w:t>
      </w:r>
      <w:r>
        <w:t xml:space="preserve"> (PHARMALLIANCE)</w:t>
      </w:r>
    </w:p>
    <w:p>
      <w:pPr>
        <w:pStyle w:val="ListBullet"/>
      </w:pPr>
      <w:r>
        <w:t>Formes et Dosages : Comprimé pelliculé sécable 20 mg, boîte de 14</w:t>
      </w:r>
    </w:p>
    <w:p>
      <w:pPr>
        <w:pStyle w:val="ListBullet"/>
      </w:pPr>
      <w:r>
        <w:t>Statut : Actif</w:t>
      </w:r>
    </w:p>
    <w:p>
      <w:pPr>
        <w:pStyle w:val="ListBullet"/>
      </w:pPr>
      <w:r/>
      <w:r>
        <w:rPr>
          <w:b/>
        </w:rPr>
        <w:t>DEROXAT</w:t>
      </w:r>
      <w:r>
        <w:t xml:space="preserve"> (GLAXOSMITHKLINE)</w:t>
      </w:r>
    </w:p>
    <w:p>
      <w:pPr>
        <w:pStyle w:val="ListBullet"/>
      </w:pPr>
      <w:r>
        <w:t>Formes et Dosages : Comprimé pelliculé sécable 20 mg**, boîte de 14</w:t>
      </w:r>
    </w:p>
    <w:p>
      <w:pPr>
        <w:pStyle w:val="ListBullet"/>
      </w:pPr>
      <w:r>
        <w:t>Statut : Retiré (R)</w:t>
      </w:r>
    </w:p>
    <w:p>
      <w:pPr>
        <w:pStyle w:val="ListBullet"/>
      </w:pPr>
      <w:r/>
      <w:r>
        <w:rPr>
          <w:b/>
        </w:rPr>
        <w:t>PAROXETINE MYLAN</w:t>
      </w:r>
      <w:r>
        <w:t xml:space="preserve"> (MYLAN SAS)</w:t>
      </w:r>
    </w:p>
    <w:p>
      <w:pPr>
        <w:pStyle w:val="ListBullet"/>
      </w:pPr>
      <w:r>
        <w:t>Formes et Dosages : Comprimé pelliculé sécable 20 mg**, boîte de 14</w:t>
      </w:r>
    </w:p>
    <w:p>
      <w:pPr>
        <w:pStyle w:val="ListBullet"/>
      </w:pPr>
      <w:r>
        <w:t>Statut : Retiré (R)</w:t>
      </w:r>
    </w:p>
    <w:p>
      <w:pPr>
        <w:pStyle w:val="ListBullet"/>
      </w:pPr>
      <w:r/>
      <w:r>
        <w:rPr>
          <w:b/>
        </w:rPr>
        <w:t>PAROXETINE WINTHROP</w:t>
      </w:r>
      <w:r>
        <w:t xml:space="preserve"> (SANOFI AVENTIS France)</w:t>
      </w:r>
    </w:p>
    <w:p>
      <w:pPr>
        <w:pStyle w:val="ListBullet"/>
      </w:pPr>
      <w:r>
        <w:t>Formes et Dosages : Comprimé pelliculé sécable 20 mg**, boîte de 14</w:t>
      </w:r>
    </w:p>
    <w:p>
      <w:pPr>
        <w:pStyle w:val="ListBullet"/>
      </w:pPr>
      <w:r>
        <w:t>Statut : Retiré (R)</w:t>
      </w:r>
    </w:p>
    <w:p>
      <w:pPr>
        <w:pStyle w:val="ListBullet"/>
      </w:pPr>
      <w:r/>
      <w:r>
        <w:rPr>
          <w:b/>
        </w:rPr>
        <w:t>PAROREM</w:t>
      </w:r>
      <w:r>
        <w:t xml:space="preserve"> (BIOREM)</w:t>
      </w:r>
    </w:p>
    <w:p>
      <w:pPr>
        <w:pStyle w:val="ListBullet"/>
      </w:pPr>
      <w:r>
        <w:t>Formes et Dosages : Comprimé pelliculé sécable 20 mg, boîte de 14</w:t>
      </w:r>
    </w:p>
    <w:p>
      <w:pPr>
        <w:pStyle w:val="ListBullet"/>
      </w:pPr>
      <w:r>
        <w:t>Statut : Retiré (R)</w:t>
      </w:r>
    </w:p>
    <w:p>
      <w:r/>
      <w:r>
        <w:rPr>
          <w:b/>
        </w:rPr>
        <w:t>Sous-classe et Mécanisme d'action :</w:t>
      </w:r>
      <w:r/>
    </w:p>
    <w:p>
      <w:pPr>
        <w:pStyle w:val="ListBullet"/>
      </w:pPr>
      <w:r>
        <w:t>Sous-classe : IRS de la famille des phénylpipéridines, le plus puissant et le plus sélectif de la classe pour le transporteur SERT.</w:t>
      </w:r>
    </w:p>
    <w:p>
      <w:pPr>
        <w:pStyle w:val="ListBullet"/>
      </w:pPr>
      <w:r>
        <w:t>Mécanisme d'action : inhibition puissante (Ki ≈ 0,1 nM) et très sélective du transporteur SERT, sans affinité pour NET ou DAT. Affinité modérée pour les récepteurs muscariniques (à l'origine de son effet légèrement anticholinergique et de sa composante sédative), faible affinité pour les récepteurs α1, H1 et 5-HT2. Augmentation dose-dépendante de la transmission sérotoninergique, down-régulation des autorécepteurs 5-HT1A et 5-HT2A après 2-3 semaines.</w:t>
      </w:r>
    </w:p>
    <w:p>
      <w:r/>
      <w:r>
        <w:rPr>
          <w:b/>
        </w:rPr>
        <w:t>Profil Pharmacologique :</w:t>
      </w:r>
      <w:r/>
    </w:p>
    <w:p>
      <w:pPr>
        <w:pStyle w:val="ListBullet"/>
      </w:pPr>
      <w:r>
        <w:t>Indications : épisode dépressif majeur, trouble anxieux généralisé (TAG), trouble panique, phobie sociale, TOC, état de stress post-traumatique (ESPT), trouble dysphorique prémenstruel. En Algérie, indications essentiellement dépression, TAG, trouble panique, phobie sociale et TOC.</w:t>
      </w:r>
    </w:p>
    <w:p>
      <w:pPr>
        <w:pStyle w:val="ListBullet"/>
      </w:pPr>
      <w:r>
        <w:t>Contre-indications : hypersensibilité, association aux IMAO (washout 14 jours), instauration simultanée avec linézolide, méfloquine, manie non contrôlée. Précautions : sujet âgé (risque d'hyponatrémie majoré), glaucome à angle fermé (effet anticholinergique), hypertrophie prostatique, insuffisance hépatique sévère (réduire la dose), épilepsie non équilibrée, antécédents suicidaires, jeune adulte &lt;25 ans (risque suicidaire transitoire).</w:t>
      </w:r>
    </w:p>
    <w:p>
      <w:pPr>
        <w:pStyle w:val="ListBullet"/>
      </w:pPr>
      <w:r>
        <w:t xml:space="preserve">Effets Indésirables : nausées (25-30%), somnolence et asthénie (paroxétine est l'IRS le plus sédatif), sécheresse buccale, constipation (effet anticholinergique), hypersudation nocturne, dysfonction sexuelle (40-50%, plus marquée que les autres IRS), prise de poids (à long terme, 2-5 kg en moyenne), hyponatrémie par SIADH (sujet âgé), vertiges, céphalées, </w:t>
      </w:r>
      <w:r>
        <w:rPr>
          <w:b/>
        </w:rPr>
        <w:t>syndrome de sevrage à l'arrêt brutal</w:t>
      </w:r>
      <w:r>
        <w:t xml:space="preserve"> (le plus marqué des IRS : sensations de choc électrique, vertiges, nausées, anxiété rebond — survient dans 20-50% des arrêts brutaux, débute en 1-3 jours, dure 1-2 semaines), augmentation transitoire du risque suicidaire en début de traitement chez le sujet &lt;25 ans.</w:t>
      </w:r>
    </w:p>
    <w:p>
      <w:r/>
      <w:r>
        <w:rPr>
          <w:b/>
        </w:rPr>
        <w:t>Prévention et Gestion des Effets Indésirables :</w:t>
      </w:r>
      <w:r/>
    </w:p>
    <w:p>
      <w:pPr>
        <w:pStyle w:val="ListBullet"/>
      </w:pPr>
      <w:r>
        <w:t xml:space="preserve">Mesures Préventives : initiation à 10 mg/jour (surtout en trouble panique, anxiété, sujet âgé) puis augmentation par paliers de 10 mg chaque semaine selon tolérance ; prise préférentiellement le matin malgré l'effet sédatif (en raison du risque d'insomnie paradoxale chez certains patients) ou le soir si somnolence marquée ; surveillance natrémie chez le sujet &gt;65 ans ; surveillance ECG si dose &gt;40 mg/j ou patient cardiaque ; information systématique du patient sur le risque de </w:t>
      </w:r>
      <w:r>
        <w:rPr>
          <w:b/>
        </w:rPr>
        <w:t>syndrome de sevrage</w:t>
      </w:r>
      <w:r>
        <w:t xml:space="preserve"> à l'arrêt brutal et nécessité d'un sevrage progressif par paliers de 5-10 mg par semaine minimum sur 4-8 semaines ; consultation rapprochée chez l'adolescent et le jeune adulte.</w:t>
      </w:r>
    </w:p>
    <w:p>
      <w:pPr>
        <w:pStyle w:val="ListBullet"/>
      </w:pPr>
      <w:r>
        <w:t>Conduite à Tenir : en cas de syndrome sérotoninergique, arrêt immédiat et urgence ; en cas d'hyponatrémie &lt;130 mmol/L, arrêt et bilan ; en cas d'apparition d'un syndrome de sevrage, reprise temporaire de la dernière dose et sevrage beaucoup plus lent (paliers de 2-5 mg par semaine, éventuellement via suspension buvable non disponible en Algérie mais possible en coupant les comprimés sécables) ; en cas de dysfonction sexuelle invalidante, switch vers mirtazapine.</w:t>
      </w:r>
    </w:p>
    <w:p>
      <w:r/>
      <w:r>
        <w:rPr>
          <w:b/>
        </w:rPr>
        <w:t>Interactions Importantes :</w:t>
      </w:r>
      <w:r/>
    </w:p>
    <w:p>
      <w:pPr>
        <w:pStyle w:val="ListBullet"/>
      </w:pPr>
      <w:r/>
      <w:r>
        <w:rPr>
          <w:b/>
        </w:rPr>
        <w:t>Paroxétine + IMAO</w:t>
      </w:r>
      <w:r>
        <w:t xml:space="preserve"> : CI ABSOLUE — syndrome sérotoninergique. Washout 14 jours.</w:t>
      </w:r>
    </w:p>
    <w:p>
      <w:pPr>
        <w:pStyle w:val="ListBullet"/>
      </w:pPr>
      <w:r/>
      <w:r>
        <w:rPr>
          <w:b/>
        </w:rPr>
        <w:t>Paroxétine + Tramadol / Péthidine / Fentanyl / Dextrométhorphane</w:t>
      </w:r>
      <w:r>
        <w:t xml:space="preserve"> : risque de syndrome sérotoninergique et inhibition du métabolisme du tramadol (inhibition CYP2D6 qui transforme le tramadol en son métabolite actif O-desmethyltramadol — donc perte d'efficacité analgésique ET risque sérotoninergique).</w:t>
      </w:r>
    </w:p>
    <w:p>
      <w:pPr>
        <w:pStyle w:val="ListBullet"/>
      </w:pPr>
      <w:r/>
      <w:r>
        <w:rPr>
          <w:b/>
        </w:rPr>
        <w:t>Paroxétine + Codéine</w:t>
      </w:r>
      <w:r>
        <w:t xml:space="preserve"> : la paroxétine inhibe le CYP2D6 qui convertit la codéine en morphine → perte d'efficacité analgésique.</w:t>
      </w:r>
    </w:p>
    <w:p>
      <w:pPr>
        <w:pStyle w:val="ListBullet"/>
      </w:pPr>
      <w:r/>
      <w:r>
        <w:rPr>
          <w:b/>
        </w:rPr>
        <w:t>Paroxétine + Tamoxifène</w:t>
      </w:r>
      <w:r>
        <w:t xml:space="preserve"> : la paroxétine inhibe le CYP2D6 qui convertit le tamoxifène en endoxifène (métabolite actif) → perte d'efficacité oncologique. </w:t>
      </w:r>
      <w:r>
        <w:rPr>
          <w:b/>
        </w:rPr>
        <w:t>Association à éviter chez la femme traitée pour cancer du sein hormonodépendant</w:t>
      </w:r>
      <w:r>
        <w:t xml:space="preserve"> ; préférer sertraline ou fluoxétine (la fluoxétine est aussi inhibitrice mais moins puissante — en pratique, sertraline ou venlafaxine préférées).</w:t>
      </w:r>
    </w:p>
    <w:p>
      <w:pPr>
        <w:pStyle w:val="ListBullet"/>
      </w:pPr>
      <w:r/>
      <w:r>
        <w:rPr>
          <w:b/>
        </w:rPr>
        <w:t>Paroxétine + Métoprolol / Néoprénolol (β-bloquants CYP2D6-dépendants)</w:t>
      </w:r>
      <w:r>
        <w:t xml:space="preserve"> : augmentation des concentrations plasmatiques du bêtabloquant → bradycardie, hypotension.</w:t>
      </w:r>
    </w:p>
    <w:p>
      <w:pPr>
        <w:pStyle w:val="ListBullet"/>
      </w:pPr>
      <w:r/>
      <w:r>
        <w:rPr>
          <w:b/>
        </w:rPr>
        <w:t>Paroxétine + Anticoagulants oraux / AINS</w:t>
      </w:r>
      <w:r>
        <w:t xml:space="preserve"> : majoration du risque hémorragique.</w:t>
      </w:r>
    </w:p>
    <w:p>
      <w:pPr>
        <w:pStyle w:val="ListBullet"/>
      </w:pPr>
      <w:r/>
      <w:r>
        <w:rPr>
          <w:b/>
        </w:rPr>
        <w:t>Paroxétine + Triptans</w:t>
      </w:r>
      <w:r>
        <w:t xml:space="preserve"> : surveillance clinique renforcée.</w:t>
      </w:r>
    </w:p>
    <w:p>
      <w:r/>
      <w:r>
        <w:rPr>
          <w:b/>
        </w:rPr>
        <w:t>Grossesse et Allaitement :</w:t>
      </w:r>
      <w:r/>
    </w:p>
    <w:p>
      <w:pPr>
        <w:pStyle w:val="ListBullet"/>
      </w:pPr>
      <w:r>
        <w:t xml:space="preserve">Grossesse : la paroxétine est </w:t>
      </w:r>
      <w:r>
        <w:rPr>
          <w:b/>
        </w:rPr>
        <w:t>l'IRS à éviter en début de grossesse</w:t>
      </w:r>
      <w:r>
        <w:t xml:space="preserve"> en raison d'un signal initialement publié (2005, étude GSK) suggérant une augmentation du risque de malformations cardiovasculaires (septum, hypoplasie du cœur gauche) au 1er trimestre (odds-ratio ~1,5-2, risque absolu passant de 1/100 à 2/100). Les données ultérieures ont nuancé ce risque, mais la paroxétine reste contre-indiquée au 1er trimestre par précaution selon le CRAT enAlgérie, sauf si bénéfice attendu supérieur. </w:t>
      </w:r>
      <w:r>
        <w:rPr>
          <w:b/>
        </w:rPr>
        <w:t>Préférer sertraline</w:t>
      </w:r>
      <w:r>
        <w:t>.</w:t>
      </w:r>
    </w:p>
    <w:p>
      <w:pPr>
        <w:pStyle w:val="ListBullet"/>
      </w:pPr>
      <w:r>
        <w:t xml:space="preserve">Allaitement : selon le CRAT, la paroxétine est </w:t>
      </w:r>
      <w:r>
        <w:rPr>
          <w:b/>
        </w:rPr>
        <w:t>compatible avec l'allaitement</w:t>
      </w:r>
      <w:r>
        <w:t xml:space="preserve"> (rapport lait/plasma faible, concentrations chez le nourrisson indétectables ou très faibles). C'est, avec la sertraline, l'IRS de choix chez la femme qui allaite. Surveiller néanmoins le comportement du nourrisson (sommeil, prise de poids).</w:t>
      </w:r>
    </w:p>
    <w:p>
      <w:pPr>
        <w:pStyle w:val="ListBullet"/>
      </w:pPr>
      <w:r>
        <w:t>Précisions : risque d'adaptation néonatale si exposition au 3e trimestre (30% des cas, transitoire) ; ne jamais arrêter brutalement la paroxétine en cours de grossesse (risque de syndrome de sevrage maternel et fœtal).</w:t>
      </w:r>
    </w:p>
    <w:p>
      <w:r/>
      <w:r>
        <w:rPr>
          <w:b/>
        </w:rPr>
        <w:t>Posologie et Mode d'administration (Standard) :</w:t>
      </w:r>
      <w:r/>
    </w:p>
    <w:p>
      <w:pPr>
        <w:pStyle w:val="ListBullet"/>
      </w:pPr>
      <w:r>
        <w:t>Adulte : dépression — initialement 20 mg/jour le matin, en une prise unique ; augmentation par paliers de 10 mg chaque semaine, dose usuelle 20-40 mg/j, dose maximale 50 mg/j (60 mg dans le TOC). TAG, phobie sociale, ESPT : 20 mg/j initial, 20-50 mg/j. Trouble panique : initialement 10 mg/jour (réduction de l'activation anxiogène initiale), 20-40 mg/j d'entretien. TOC : 40 mg/j, jusqu'à 60 mg/j.</w:t>
      </w:r>
    </w:p>
    <w:p>
      <w:pPr>
        <w:pStyle w:val="ListBullet"/>
      </w:pPr>
      <w:r>
        <w:t>Sujet âgé : dose initiale réduite à 10 mg/jour, augmentation très progressive, dose maximale 40 mg/j.</w:t>
      </w:r>
    </w:p>
    <w:p>
      <w:pPr>
        <w:pStyle w:val="ListBullet"/>
      </w:pPr>
      <w:r>
        <w:t>Insuffisance hépatique ou rénale sévère : dose initiale réduite à 10 mg/jour, dose maximale 20-30 mg/j.</w:t>
      </w:r>
    </w:p>
    <w:p>
      <w:pPr>
        <w:pStyle w:val="ListBullet"/>
      </w:pPr>
      <w:r>
        <w:t>Durée : épisode dépressif : 6 mois minimum après rémission complète ; prévention des récidives : au long cours (2-5 ans après 2-3 épisodes).</w:t>
      </w:r>
    </w:p>
    <w:p>
      <w:pPr>
        <w:pStyle w:val="ListBullet"/>
      </w:pPr>
      <w:r>
        <w:t>Moment de la prise : le matin en général ; en cas de somnolence marquée, le soir est possible.</w:t>
      </w:r>
    </w:p>
    <w:p>
      <w:r/>
      <w:r>
        <w:rPr>
          <w:b/>
        </w:rPr>
        <w:t>Arbitrage et Bénéfices des Formes Galéniques :</w:t>
      </w:r>
      <w:r/>
    </w:p>
    <w:p>
      <w:pPr>
        <w:pStyle w:val="ListBullet"/>
      </w:pPr>
      <w:r/>
      <w:r>
        <w:rPr>
          <w:b/>
        </w:rPr>
        <w:t>Comprimé pelliculé sécable 20 mg</w:t>
      </w:r>
      <w:r>
        <w:t xml:space="preserve"> (forme standard, présente chez la quasi-totalité des marques) : sécabilité en deux demi-comprimés à 10 mg, particulièrement utile pour l'initiation à dose réduite, les paliers de sevrage progressif (10 mg → 5 mg par quarts de comprimé) et chez le sujet âgé.</w:t>
      </w:r>
    </w:p>
    <w:p>
      <w:pPr>
        <w:pStyle w:val="ListBullet"/>
      </w:pPr>
      <w:r/>
      <w:r>
        <w:rPr>
          <w:b/>
        </w:rPr>
        <w:t>Comprimé pelliculé 10 mg</w:t>
      </w:r>
      <w:r>
        <w:t xml:space="preserve"> (Depretine, Parolyx, Paroxétine BGL) : dosage adapté à l'initiation, au sujet âgé et aux paliers de sevrage finaux.</w:t>
      </w:r>
    </w:p>
    <w:p>
      <w:pPr>
        <w:pStyle w:val="ListBullet"/>
      </w:pPr>
      <w:r/>
      <w:r>
        <w:rPr>
          <w:b/>
        </w:rPr>
        <w:t>Formes retirées (Deroxat® GSK original, Paroxétine Mylan, Paroxétine Winthrop, Parorem)</w:t>
      </w:r>
      <w:r>
        <w:t xml:space="preserve"> : encore présentes dans les stocks résiduels. Veiller à privilégier les formes actives génériques locales (Dozax, Addnok, Depretine, Parexat, Parolyx, Paroxal, Paroxétine Beker, Paroxétine BGL, Paroxinad, Paxetine, Prosarex).</w:t>
      </w:r>
    </w:p>
    <w:p>
      <w:pPr>
        <w:pStyle w:val="ListBullet"/>
      </w:pPr>
      <w:r>
        <w:t>Arbitrage : pour les paliers de sevrage très progressifs, les comprimés sécables à 20 mg permettent l'obtention de paliers de 5 mg (quart de comprimé), technique officinale classique pour le sevrage de la paroxétine. Information du patient sur la technique de division.</w:t>
      </w:r>
    </w:p>
    <w:p>
      <w:r/>
      <w:r>
        <w:rPr>
          <w:b/>
        </w:rPr>
        <w:t>Instructions et Conseils au Patient :</w:t>
      </w:r>
      <w:r/>
    </w:p>
    <w:p>
      <w:pPr>
        <w:pStyle w:val="ListBullet"/>
      </w:pPr>
      <w:r>
        <w:t xml:space="preserve">Communication au comptoir : « Ce médicament est un antidépresseur qui met 2 à 4 semaines pour faire effet. </w:t>
      </w:r>
      <w:r>
        <w:rPr>
          <w:b/>
        </w:rPr>
        <w:t>Ne l'arrêtez surtout pas brutalement</w:t>
      </w:r>
      <w:r>
        <w:t xml:space="preserve"> : vous risquez des vertiges, des sensations de choc électrique dans la tête, des nausées et une anxiété forte. L'arrêt doit se faire progressivement, sous suivi médical, sur plusieurs semaines. Prenez-le le matin. Vous pouvez ressentir des nausées, une somnolence ou des sueurs en début de traitement, cela s'estompe. Évitez l'alcool et prévenez votre pharmacien de tous les autres médicaments que vous prenez (surtout antidouleurs, sirops pour la toux, antibiotiques). Si vous êtes enceinte ou planifiez une grossesse, prévenez immédiatement votre médecin. »</w:t>
      </w:r>
    </w:p>
    <w:p>
      <w:pPr>
        <w:pStyle w:val="ListBullet"/>
      </w:pPr>
      <w:r>
        <w:t>Mode d'utilisation pratique : prise matinale stricte à heure fixe ; tenir un agenda de l'humeur ; ne pas interrompre en cas d'oubli isolé ; surveiller le poids, l'appétit et l'humeur ; consultations psychiatriques rapprochées en début de traitement ; prévenir le dentiste et l'anesthésiste en cas d'intervention.</w:t>
      </w:r>
    </w:p>
    <w:p>
      <w:r/>
      <w:r>
        <w:rPr>
          <w:b/>
        </w:rPr>
        <w:t>Notes, Règles d'Or &amp; Pièges au Comptoir :</w:t>
      </w:r>
      <w:r/>
    </w:p>
    <w:p>
      <w:pPr>
        <w:pStyle w:val="ListBullet"/>
      </w:pPr>
      <w:r>
        <w:t xml:space="preserve">Piège classique n°1 : le </w:t>
      </w:r>
      <w:r>
        <w:rPr>
          <w:b/>
        </w:rPr>
        <w:t>syndrome de sevrage de la paroxétine</w:t>
      </w:r>
      <w:r>
        <w:t xml:space="preserve"> est le plus marqué et le plus fréquent des IRS. Toujours expliquer au patient l'importance de ne JAMAIS arrêter brutalement et prévoir un schéma de sevrage par paliers de 5-10 mg par semaine minimum sur 4-8 semaines.</w:t>
      </w:r>
    </w:p>
    <w:p>
      <w:pPr>
        <w:pStyle w:val="ListBullet"/>
      </w:pPr>
      <w:r>
        <w:t xml:space="preserve">Piège classique n°2 : la </w:t>
      </w:r>
      <w:r>
        <w:rPr>
          <w:b/>
        </w:rPr>
        <w:t>paroxétine + tamoxifène</w:t>
      </w:r>
      <w:r>
        <w:t xml:space="preserve"> est une association à éviter absolument (perte d'efficacité oncologique). Vérifier systématiquement la prise d'un traitement hormonal chez la femme ménopausée ou traitée pour cancer du sein.</w:t>
      </w:r>
    </w:p>
    <w:p>
      <w:pPr>
        <w:pStyle w:val="ListBullet"/>
      </w:pPr>
      <w:r>
        <w:t>Règle de prise : matin, à heure fixe.</w:t>
      </w:r>
    </w:p>
    <w:p>
      <w:pPr>
        <w:pStyle w:val="ListBullet"/>
      </w:pPr>
      <w:r>
        <w:t>Préparation et Conservation : conserver à température &lt;25°C, à l'abri de l'humidité et de la lumière.</w:t>
      </w:r>
    </w:p>
    <w:p>
      <w:pPr>
        <w:pStyle w:val="ListBullet"/>
      </w:pPr>
      <w:r>
        <w:t>Piège du surdosage / Substitution : la paroxétine a un index thérapeutique relativement large mais le surdosage peut entraîner nausées, vomissements, somnolence, tachycardie sinusale et exceptionnellement allongement du QTc. Surveillance ECG en cas de dose massive. Lors de substitution entre marques actives (Dozax ↔ Addnok ↔ Depretine ↔ Parexat ↔ Parolyx ↔ Paroxal ↔ Paroxétine Beker ↔ Paroxétine BGL ↔ Paroxinad ↔ Paxetine ↔ Prosarex), vérifier l'équivalence stricte de dosage (comprimé sécable 20 mg identique d'une marque à l'autre) et expliquer au patient la substitution générique.</w:t>
      </w:r>
    </w:p>
    <w:p>
      <w:pPr>
        <w:pStyle w:val="Heading3"/>
      </w:pPr>
      <w:r>
        <w:t>4. DCI : Citalopram (Seule)</w:t>
      </w:r>
    </w:p>
    <w:p>
      <w:r/>
      <w:r>
        <w:rPr>
          <w:b/>
        </w:rPr>
        <w:t>Liste des Catégories :</w:t>
      </w:r>
      <w:r>
        <w:t xml:space="preserve"> Antidépresseurs — Inhibiteurs Recapture Sérotonine (IRS) ; Liste I.</w:t>
      </w:r>
    </w:p>
    <w:p>
      <w:r>
        <w:t xml:space="preserve">Le citalopram est un IRS de la famille des dibenzofurans, commercialisé en France depuis 1998. C'est un </w:t>
      </w:r>
      <w:r>
        <w:rPr>
          <w:b/>
        </w:rPr>
        <w:t>racémique</w:t>
      </w:r>
      <w:r>
        <w:t xml:space="preserve"> constitué de deux énantiomères : le (R)-citalopram et le (S)-citalopram (aussi appelé escitalopram). Seul l'énantiomère (S) est pharmacologiquement actif sur SERT ; l'énantiomère (R) est pratiquement inactif mais interagit avec le site allostérique du transporteur, diminuant l'efficacité de l'énantiomère (S). Cette particularité explique le développement ultérieur de l'escitalopram (énantiomère pur), plus puissant à dose équimolaire. Le citalopram se distingue également par un </w:t>
      </w:r>
      <w:r>
        <w:rPr>
          <w:b/>
        </w:rPr>
        <w:t>signal cardiaque</w:t>
      </w:r>
      <w:r>
        <w:t xml:space="preserve"> : en 2011, l'EMA et la FDA ont émis une recommandation limitant la dose maximale à 40 mg/jour chez l'adulte (20 mg/j chez le sujet &gt;60 ans) en raison d'un allongement dose-dépendant du QTc.</w:t>
      </w:r>
    </w:p>
    <w:p>
      <w:r/>
      <w:r>
        <w:rPr>
          <w:b/>
        </w:rPr>
        <w:t>Médicaments disponibles en Algérie (Marques, Laboratoires, Formes et Dosages) :</w:t>
      </w:r>
      <w:r/>
    </w:p>
    <w:p>
      <w:pPr>
        <w:pStyle w:val="ListBullet"/>
      </w:pPr>
      <w:r/>
      <w:r>
        <w:rPr>
          <w:b/>
        </w:rPr>
        <w:t>LOPRA</w:t>
      </w:r>
      <w:r>
        <w:t xml:space="preserve"> (EL KENDI INDUSTRIE DU MEDICAMENT)</w:t>
      </w:r>
    </w:p>
    <w:p>
      <w:pPr>
        <w:pStyle w:val="ListBullet"/>
      </w:pPr>
      <w:r>
        <w:t>Formes et Dosages : Comprimé 20 mg, boîte de 30</w:t>
      </w:r>
    </w:p>
    <w:p>
      <w:pPr>
        <w:pStyle w:val="ListBullet"/>
      </w:pPr>
      <w:r>
        <w:t>Statut : Non Renouvelable</w:t>
      </w:r>
    </w:p>
    <w:p>
      <w:r/>
      <w:r>
        <w:rPr>
          <w:i/>
        </w:rPr>
        <w:t>(Note : À l'heure actuelle, seule la marque Lopra (El Kendi) figure dans la nomenclature algérienne pour le citalopram, et elle est en statut NON RENOUVELABLE. Le citalopram n'est donc plus disponible en officine algérienne à l'état actif. Les patients antérieurement traités par citalopram doivent être orientés vers l'escitalopram (énantiomère actif), qui bénéficie d'une disponibilité large — voir fiche suivante.)</w:t>
      </w:r>
      <w:r/>
    </w:p>
    <w:p>
      <w:r/>
      <w:r>
        <w:rPr>
          <w:b/>
        </w:rPr>
        <w:t>Sous-classe et Mécanisme d'action :</w:t>
      </w:r>
      <w:r/>
    </w:p>
    <w:p>
      <w:pPr>
        <w:pStyle w:val="ListBullet"/>
      </w:pPr>
      <w:r>
        <w:t>Sous-classe : IRS racémique, précurseur de l'escitalopram.</w:t>
      </w:r>
    </w:p>
    <w:p>
      <w:pPr>
        <w:pStyle w:val="ListBullet"/>
      </w:pPr>
      <w:r>
        <w:t>Mécanisme d'action : inhibition sélective et puissante du transporteur SERT par l'énantiomère (S)-citalopram ; l'énantiomère (R) est quasi inactif mais se lie au site allostérique du transporteur, réduisant l'affinité de l'énantiomère (S). Le racémique est donc moins efficace à dose équimolaire que l'énantiomère pur. Métabolisme hépatique par CYP2C19, CYP2D6 et CYP3A4 en métabolites inactifs (N-desmethylcitalopram et didesmethylcitalopram). Demi-vie d'élimination : environ 36 heures.</w:t>
      </w:r>
    </w:p>
    <w:p>
      <w:r/>
      <w:r>
        <w:rPr>
          <w:b/>
        </w:rPr>
        <w:t>Profil Pharmacologique :</w:t>
      </w:r>
      <w:r/>
    </w:p>
    <w:p>
      <w:pPr>
        <w:pStyle w:val="ListBullet"/>
      </w:pPr>
      <w:r>
        <w:t>Indications : épisode dépressif majeur, trouble panique (en Algérie, essentiellement dépression). Le citalopram était historiquement l'IRS le plus prescrit en France dans les années 2000 avant le développement de l'escitalopram.</w:t>
      </w:r>
    </w:p>
    <w:p>
      <w:pPr>
        <w:pStyle w:val="ListBullet"/>
      </w:pPr>
      <w:r>
        <w:t>Contre-indications : hypersensibilité, association aux IMAO (washout 14 jours), allongement congénital du QTc (syndrome du QT long), association avec d'autres allongeurs du QT (CI relative). Précautions : sujet âgé (dose maximale 20 mg/j), insuffisance hépatique (réduire la dose), épilepsie, antécédents de manie, sujet &lt;25 ans (risque suicidaire transitoire).</w:t>
      </w:r>
    </w:p>
    <w:p>
      <w:pPr>
        <w:pStyle w:val="ListBullet"/>
      </w:pPr>
      <w:r>
        <w:t xml:space="preserve">Effets Indésirables : nausées (25-30%), sécheresse buccale, hypersudation, insomnie ou somnolence, céphalées, dysfonction sexuelle (30-40%), hyponatrémie par SIADH, </w:t>
      </w:r>
      <w:r>
        <w:rPr>
          <w:b/>
        </w:rPr>
        <w:t>allongement dose-dépendant du QTc</w:t>
      </w:r>
      <w:r>
        <w:t xml:space="preserve"> (signal de pharmaco-vigilance ayant conduit à la réduction de la dose maximale à 40 mg/j adulte et 20 mg/j sujet âgé en 2011), syndrome de sevrage à l'arrêt brutal (moins marqué que pour la paroxétine).</w:t>
      </w:r>
    </w:p>
    <w:p>
      <w:r/>
      <w:r>
        <w:rPr>
          <w:b/>
        </w:rPr>
        <w:t>Prévention et Gestion des Effets Indésirables :</w:t>
      </w:r>
      <w:r/>
    </w:p>
    <w:p>
      <w:pPr>
        <w:pStyle w:val="ListBullet"/>
      </w:pPr>
      <w:r>
        <w:t>Mesures Préventives : ne pas dépasser 40 mg/j chez l'adulte et 20 mg/j chez le sujet &gt;60 ans ; vérifier l'absence d'hypokaliémie, d'hypomagnésémie et de bradycardie significative avant instauration ; ECG de contrôle si dose &gt;20 mg/j ou patient cardiaque ; surveillance natrémie chez le sujet âgé ; éliminer toute prise concomitante d'un autre allongeur du QT.</w:t>
      </w:r>
    </w:p>
    <w:p>
      <w:pPr>
        <w:pStyle w:val="ListBullet"/>
      </w:pPr>
      <w:r>
        <w:t>Conduite à Tenir : en cas de syndrome sérotoninergique, arrêt immédiat ; en cas d'allongement du QTc &gt;500 ms ou de plus de 60 ms par rapport à la baseline, arrêt du citalopram et switch vers un autre IRS (sertraline de préférence) ; arrêt progressif par paliers de 10 mg par semaine sur 4 semaines.</w:t>
      </w:r>
    </w:p>
    <w:p>
      <w:r/>
      <w:r>
        <w:rPr>
          <w:b/>
        </w:rPr>
        <w:t>Interactions Importantes :</w:t>
      </w:r>
      <w:r/>
    </w:p>
    <w:p>
      <w:pPr>
        <w:pStyle w:val="ListBullet"/>
      </w:pPr>
      <w:r/>
      <w:r>
        <w:rPr>
          <w:b/>
        </w:rPr>
        <w:t>Citalopram + IMAO</w:t>
      </w:r>
      <w:r>
        <w:t xml:space="preserve"> : CI ABSOLUE. Washout 14 jours.</w:t>
      </w:r>
    </w:p>
    <w:p>
      <w:pPr>
        <w:pStyle w:val="ListBullet"/>
      </w:pPr>
      <w:r/>
      <w:r>
        <w:rPr>
          <w:b/>
        </w:rPr>
        <w:t>Citalopram + Médicaments allongeant le QT</w:t>
      </w:r>
      <w:r>
        <w:t xml:space="preserve"> (antiarythmiques Ia : quinidine, disopyramide ; III : amiodarone, sotalol, ibutilide ; certains antipsychotiques : halopéridol IV, dropéridol, pimozide ; macrolides : érythromycine, clarithromycine ; fluoroquinolones : moxifloxacine ; méthadone) : majoration du risque d'allongement du QTc et de torsades de pointe. Surveillance ECG ou éviter.</w:t>
      </w:r>
    </w:p>
    <w:p>
      <w:pPr>
        <w:pStyle w:val="ListBullet"/>
      </w:pPr>
      <w:r/>
      <w:r>
        <w:rPr>
          <w:b/>
        </w:rPr>
        <w:t>Citalopram + Inhibiteurs puissants du CYP2C19</w:t>
      </w:r>
      <w:r>
        <w:t xml:space="preserve"> (oméprazole, ésoméprazole, fluconazole, fluvoxamine) : augmentation des concentrations de citalopram — surveillance clinique et ECG, envisager réduction de dose.</w:t>
      </w:r>
    </w:p>
    <w:p>
      <w:pPr>
        <w:pStyle w:val="ListBullet"/>
      </w:pPr>
      <w:r/>
      <w:r>
        <w:rPr>
          <w:b/>
        </w:rPr>
        <w:t>Citalopram + AINS / Anticoagulants oraux</w:t>
      </w:r>
      <w:r>
        <w:t xml:space="preserve"> : majoration du risque hémorragique.</w:t>
      </w:r>
    </w:p>
    <w:p>
      <w:pPr>
        <w:pStyle w:val="ListBullet"/>
      </w:pPr>
      <w:r/>
      <w:r>
        <w:rPr>
          <w:b/>
        </w:rPr>
        <w:t>Citalopram + Tramadol / Triptans</w:t>
      </w:r>
      <w:r>
        <w:t xml:space="preserve"> : surveillance.</w:t>
      </w:r>
    </w:p>
    <w:p>
      <w:r/>
      <w:r>
        <w:rPr>
          <w:b/>
        </w:rPr>
        <w:t>Grossesse et Allaitement :</w:t>
      </w:r>
      <w:r/>
    </w:p>
    <w:p>
      <w:pPr>
        <w:pStyle w:val="ListBullet"/>
      </w:pPr>
      <w:r>
        <w:t xml:space="preserve">Grossesse : selon le CRAT, le citalopram est un IRS utilisable en cours de grossesse si nécessaire, mais la </w:t>
      </w:r>
      <w:r>
        <w:rPr>
          <w:b/>
        </w:rPr>
        <w:t>sertraline reste préférée</w:t>
      </w:r>
      <w:r>
        <w:t xml:space="preserve"> en première intention. Pas de tératogénicité prouvée. Risque d'adaptation néonatale au 3e trimestre (30%). Légère augmentation du risque d'HTAPN.</w:t>
      </w:r>
    </w:p>
    <w:p>
      <w:pPr>
        <w:pStyle w:val="ListBullet"/>
      </w:pPr>
      <w:r>
        <w:t>Allaitement : compatible selon le CRAT, mais la sertraline et la paroxétine sont préférées (données plus nombreuses). Le citalopram passe dans le lait maternel avec un rapport lait/plasma modéré ; surveiller le nourrisson.</w:t>
      </w:r>
    </w:p>
    <w:p>
      <w:pPr>
        <w:pStyle w:val="ListBullet"/>
      </w:pPr>
      <w:r>
        <w:t xml:space="preserve">Précisions : chez la femme enceinte ou planifiant une grossesse, si un traitement IRS est nécessaire, </w:t>
      </w:r>
      <w:r>
        <w:rPr>
          <w:b/>
        </w:rPr>
        <w:t>préférer la sertraline</w:t>
      </w:r>
      <w:r>
        <w:t>. Le citalopram reste une option si déjà instauré et bien toléré.</w:t>
      </w:r>
    </w:p>
    <w:p>
      <w:r/>
      <w:r>
        <w:rPr>
          <w:b/>
        </w:rPr>
        <w:t>Posologie et Mode d'administration (Standard) :</w:t>
      </w:r>
      <w:r/>
    </w:p>
    <w:p>
      <w:pPr>
        <w:pStyle w:val="ListBullet"/>
      </w:pPr>
      <w:r>
        <w:t xml:space="preserve">Adulte : dépression — initialement 20 mg/jour le matin, en une prise unique ; augmentation possible à 40 mg/jour après 2-4 semaines selon réponse. </w:t>
      </w:r>
      <w:r>
        <w:rPr>
          <w:b/>
        </w:rPr>
        <w:t>Dose maximale : 40 mg/jour chez l'adulte</w:t>
      </w:r>
      <w:r>
        <w:t xml:space="preserve"> (recommandation EMA 2011).</w:t>
      </w:r>
    </w:p>
    <w:p>
      <w:pPr>
        <w:pStyle w:val="ListBullet"/>
      </w:pPr>
      <w:r>
        <w:t>Sujet âgé (&gt;60 ans) : initialement 10 mg/jour, augmentation possible à 20 mg/jour maximum.</w:t>
      </w:r>
    </w:p>
    <w:p>
      <w:pPr>
        <w:pStyle w:val="ListBullet"/>
      </w:pPr>
      <w:r>
        <w:t>Insuffisance hépatique modérée à sévère : dose initiale réduite à 10 mg/jour, dose maximale 20-30 mg/j.</w:t>
      </w:r>
    </w:p>
    <w:p>
      <w:pPr>
        <w:pStyle w:val="ListBullet"/>
      </w:pPr>
      <w:r>
        <w:t>Durée : 6 mois minimum après rémission complète ; au long cours si récurrence.</w:t>
      </w:r>
    </w:p>
    <w:p>
      <w:pPr>
        <w:pStyle w:val="ListBullet"/>
      </w:pPr>
      <w:r>
        <w:t>Moment de la prise : le matin, avec ou sans nourriture.</w:t>
      </w:r>
    </w:p>
    <w:p>
      <w:r/>
      <w:r>
        <w:rPr>
          <w:b/>
        </w:rPr>
        <w:t>Arbitrage et Bénéfices des Formes Galéniques :</w:t>
      </w:r>
      <w:r/>
    </w:p>
    <w:p>
      <w:pPr>
        <w:pStyle w:val="ListBullet"/>
      </w:pPr>
      <w:r/>
      <w:r>
        <w:rPr>
          <w:b/>
        </w:rPr>
        <w:t>Comprimé 20 mg (Lopra — El Kendi, non renouvelable)</w:t>
      </w:r>
      <w:r>
        <w:t xml:space="preserve"> : forme unique disponible historiquement. Comprimé généralement sécable pour adapter à 10 mg (paliers de sevrage, initiation à dose réduite).</w:t>
      </w:r>
    </w:p>
    <w:p>
      <w:pPr>
        <w:pStyle w:val="ListBullet"/>
      </w:pPr>
      <w:r>
        <w:t xml:space="preserve">En pratique algérienne, l'indisponibilité actuelle du citalopram actif oriente vers </w:t>
      </w:r>
      <w:r>
        <w:rPr>
          <w:b/>
        </w:rPr>
        <w:t>l'escitalopram</w:t>
      </w:r>
      <w:r>
        <w:t xml:space="preserve"> (énantiomère actif), qui dispose de plusieurs marques actives et d'une meilleure tolérance cardiaque (dose maximale moins restrictive).</w:t>
      </w:r>
    </w:p>
    <w:p>
      <w:pPr>
        <w:pStyle w:val="ListBullet"/>
      </w:pPr>
      <w:r>
        <w:t>Arbitrage : si un patient est traité par citalopram et présente une difficulté d'approvisionnement, le switch vers escitalopram à dose moitié (10 mg d'escitalopram ≈ 20 mg de citalopram racémique) est possible sous suivi médical.</w:t>
      </w:r>
    </w:p>
    <w:p>
      <w:r/>
      <w:r>
        <w:rPr>
          <w:b/>
        </w:rPr>
        <w:t>Instructions et Conseils au Patient :</w:t>
      </w:r>
      <w:r/>
    </w:p>
    <w:p>
      <w:pPr>
        <w:pStyle w:val="ListBullet"/>
      </w:pPr>
      <w:r>
        <w:t>Communication au comptoir : « Ce médicament est un antidépresseur de la famille des IRS. Prenez-le le matin à heure fixe. Il met 2 à 4 semaines à faire effet. Ne dépassez pas la dose prescrite, surtout au-delà de 40 mg par jour : risque cardiaque. Évitez l'alcool, ne prenez pas d'automédication (sirops pour la toux, antibiotiques macrolides) sans avis médical. Prévenez tous les médecins consultés de votre traitement. »</w:t>
      </w:r>
    </w:p>
    <w:p>
      <w:pPr>
        <w:pStyle w:val="ListBullet"/>
      </w:pPr>
      <w:r>
        <w:t>Mode d'utilisation pratique : prise matinale stricte à heure fixe ; en cas d'oubli, ne pas doubler la prise ; surveillance clinique de l'humeur et consultation rapprochée chez le sujet jeune (risque suicidaire transitoire).</w:t>
      </w:r>
    </w:p>
    <w:p>
      <w:r/>
      <w:r>
        <w:rPr>
          <w:b/>
        </w:rPr>
        <w:t>Notes, Règles d'Or &amp; Pièges au Comptoir :</w:t>
      </w:r>
      <w:r/>
    </w:p>
    <w:p>
      <w:pPr>
        <w:pStyle w:val="ListBullet"/>
      </w:pPr>
      <w:r>
        <w:t xml:space="preserve">Piège classique n°1 : la </w:t>
      </w:r>
      <w:r>
        <w:rPr>
          <w:b/>
        </w:rPr>
        <w:t>dose maximale de 40 mg/j chez l'adulte et 20 mg/j chez le sujet âgé</w:t>
      </w:r>
      <w:r>
        <w:t xml:space="preserve"> (recommandation EMA 2011) suite au signal d'allongement du QTc. Vérifier systématiquement la prescription chez le sujet âgé.</w:t>
      </w:r>
    </w:p>
    <w:p>
      <w:pPr>
        <w:pStyle w:val="ListBullet"/>
      </w:pPr>
      <w:r>
        <w:t xml:space="preserve">Piège classique n°2 : le citalopram est un </w:t>
      </w:r>
      <w:r>
        <w:rPr>
          <w:b/>
        </w:rPr>
        <w:t>racémique</w:t>
      </w:r>
      <w:r>
        <w:t xml:space="preserve"> contenant l'énantiomère (S)-actif et l'énantiomère (R)-allostérique qui réduit l'efficacité. L'escitalopram (énantiomère pur) est deux fois plus puissant à dose équimolaire — switch possible citalopram 20 mg → escitalopram 10 mg.</w:t>
      </w:r>
    </w:p>
    <w:p>
      <w:pPr>
        <w:pStyle w:val="ListBullet"/>
      </w:pPr>
      <w:r>
        <w:t>Règle de prise : matin, à heure fixe.</w:t>
      </w:r>
    </w:p>
    <w:p>
      <w:pPr>
        <w:pStyle w:val="ListBullet"/>
      </w:pPr>
      <w:r>
        <w:t>Préparation et Conservation : conserver à température &lt;25°C, à l'abri de l'humidité.</w:t>
      </w:r>
    </w:p>
    <w:p>
      <w:pPr>
        <w:pStyle w:val="ListBullet"/>
      </w:pPr>
      <w:r>
        <w:t>Piège du surdosage / Substitution : le surdosage en citalopram présente un risque cardiaque non négligeable (allongement QTc, torsades de pointe) — surveillance ECG obligatoire en unité de soins intensifs. Lors de substitution vers l'escitalopram, diviser la dose par 2.</w:t>
      </w:r>
    </w:p>
    <w:p>
      <w:pPr>
        <w:pStyle w:val="Heading3"/>
      </w:pPr>
      <w:r>
        <w:t>5. DCI : Escitalopram (Seule)</w:t>
      </w:r>
    </w:p>
    <w:p>
      <w:r/>
      <w:r>
        <w:rPr>
          <w:b/>
        </w:rPr>
        <w:t>Liste des Catégories :</w:t>
      </w:r>
      <w:r>
        <w:t xml:space="preserve"> Antidépresseurs — Inhibiteurs Recapture Sérotonine (IRS) ; Liste I.</w:t>
      </w:r>
    </w:p>
    <w:p>
      <w:r>
        <w:t>L'escitalopram est l'</w:t>
      </w:r>
      <w:r>
        <w:rPr>
          <w:b/>
        </w:rPr>
        <w:t>énantiomère (S)-citalopram</w:t>
      </w:r>
      <w:r>
        <w:t xml:space="preserve">, isolé à partir du racémique citalopram pour gagner en efficacité et en tolérance. C'est l'IRS le plus sélectif pour SERT après la paroxétine, avec un mode d'action original : en plus de l'inhibition du site de recapture de haute affinité, l'escitalopram se lie au </w:t>
      </w:r>
      <w:r>
        <w:rPr>
          <w:b/>
        </w:rPr>
        <w:t>site allostérique</w:t>
      </w:r>
      <w:r>
        <w:t xml:space="preserve"> du transporteur SERT, potentialisant l'effet inhibiteur. Cette double interaction expliquerait sa rapidité d'action supérieure (parfois 1-2 semaines) par rapport aux autres IRS. Sa tolérance cardiaque est meilleure que celle du racémique citalopram (pas de restriction aussi stricte sur la dose maximale). L'escitalopram est l'un des IRS les plus prescrits en Algérie, avec une excellente disponibilité sous plusieurs marques locales et sous licence.</w:t>
      </w:r>
    </w:p>
    <w:p>
      <w:r/>
      <w:r>
        <w:rPr>
          <w:b/>
        </w:rPr>
        <w:t>Médicaments disponibles en Algérie (Marques, Laboratoires, Formes et Dosages) :</w:t>
      </w:r>
      <w:r/>
    </w:p>
    <w:p>
      <w:pPr>
        <w:pStyle w:val="ListBullet"/>
      </w:pPr>
      <w:r/>
      <w:r>
        <w:rPr>
          <w:b/>
        </w:rPr>
        <w:t>CELOPRAM</w:t>
      </w:r>
      <w:r>
        <w:t xml:space="preserve"> (INPHA-MEDIS)</w:t>
      </w:r>
    </w:p>
    <w:p>
      <w:pPr>
        <w:pStyle w:val="ListBullet"/>
      </w:pPr>
      <w:r>
        <w:t>Formes et Dosages : Comprimé pelliculé sécable 10 mg, boîte de 30 ; Comprimé pelliculé sécable 20 mg, boîte de 30 ; Solution buvable en gouttes 20 mg/ml, flacon de 30 ml avec compte-gouttes</w:t>
      </w:r>
    </w:p>
    <w:p>
      <w:pPr>
        <w:pStyle w:val="ListBullet"/>
      </w:pPr>
      <w:r>
        <w:t>Statut : Actif</w:t>
      </w:r>
    </w:p>
    <w:p>
      <w:pPr>
        <w:pStyle w:val="ListBullet"/>
      </w:pPr>
      <w:r/>
      <w:r>
        <w:rPr>
          <w:b/>
        </w:rPr>
        <w:t>CITOPLEX</w:t>
      </w:r>
      <w:r>
        <w:t xml:space="preserve"> (PHARMALLIANCE)</w:t>
      </w:r>
    </w:p>
    <w:p>
      <w:pPr>
        <w:pStyle w:val="ListBullet"/>
      </w:pPr>
      <w:r>
        <w:t>Formes et Dosages : Comprimé pelliculé sécable 10 mg et 20 mg, boîte de 30 ; Comprimé pelliculé 5 mg, boîte de 30 ; Solution buvable en gouttes 10 mg/ml, flacon de 15 ml avec compte-gouttes</w:t>
      </w:r>
    </w:p>
    <w:p>
      <w:pPr>
        <w:pStyle w:val="ListBullet"/>
      </w:pPr>
      <w:r>
        <w:t>Statut : Actif</w:t>
      </w:r>
    </w:p>
    <w:p>
      <w:pPr>
        <w:pStyle w:val="ListBullet"/>
      </w:pPr>
      <w:r/>
      <w:r>
        <w:rPr>
          <w:b/>
        </w:rPr>
        <w:t>ESCITALOPRAM BEKER</w:t>
      </w:r>
      <w:r>
        <w:t xml:space="preserve"> (LABORATOIRES BEKER)</w:t>
      </w:r>
    </w:p>
    <w:p>
      <w:pPr>
        <w:pStyle w:val="ListBullet"/>
      </w:pPr>
      <w:r>
        <w:t>Formes et Dosages : Comprimé pelliculé sécable 10 mg, boîte de 28</w:t>
      </w:r>
    </w:p>
    <w:p>
      <w:pPr>
        <w:pStyle w:val="ListBullet"/>
      </w:pPr>
      <w:r>
        <w:t>Statut : Actif</w:t>
      </w:r>
    </w:p>
    <w:p>
      <w:pPr>
        <w:pStyle w:val="ListBullet"/>
      </w:pPr>
      <w:r/>
      <w:r>
        <w:rPr>
          <w:b/>
        </w:rPr>
        <w:t>ESCITOL</w:t>
      </w:r>
      <w:r>
        <w:t xml:space="preserve"> (ABDI IBRAHIM ILAÇ SANAYI VE TICARET A.Ş)</w:t>
      </w:r>
    </w:p>
    <w:p>
      <w:pPr>
        <w:pStyle w:val="ListBullet"/>
      </w:pPr>
      <w:r>
        <w:t>Formes et Dosages : Comprimé pelliculé sécable 10 mg, boîte de 28 ; Comprimé 20 mg, boîte de 28 ; Solution buvable en gouttes 10 mg/ml, flacon de 15 ml avec compte-gouttes</w:t>
      </w:r>
    </w:p>
    <w:p>
      <w:pPr>
        <w:pStyle w:val="ListBullet"/>
      </w:pPr>
      <w:r>
        <w:t>Statut : Actif</w:t>
      </w:r>
    </w:p>
    <w:p>
      <w:pPr>
        <w:pStyle w:val="ListBullet"/>
      </w:pPr>
      <w:r/>
      <w:r>
        <w:rPr>
          <w:b/>
        </w:rPr>
        <w:t>ESTONYL</w:t>
      </w:r>
      <w:r>
        <w:t xml:space="preserve"> (SARL GROUPE SANTE)</w:t>
      </w:r>
    </w:p>
    <w:p>
      <w:pPr>
        <w:pStyle w:val="ListBullet"/>
      </w:pPr>
      <w:r>
        <w:t>Formes et Dosages : Comprimé pelliculé sécable 10 mg, boîte de 30</w:t>
      </w:r>
    </w:p>
    <w:p>
      <w:pPr>
        <w:pStyle w:val="ListBullet"/>
      </w:pPr>
      <w:r>
        <w:t>Statut : Actif</w:t>
      </w:r>
    </w:p>
    <w:p>
      <w:pPr>
        <w:pStyle w:val="ListBullet"/>
      </w:pPr>
      <w:r/>
      <w:r>
        <w:rPr>
          <w:b/>
        </w:rPr>
        <w:t>IBINOR</w:t>
      </w:r>
      <w:r>
        <w:t xml:space="preserve"> (TABUK ALGERIE)</w:t>
      </w:r>
    </w:p>
    <w:p>
      <w:pPr>
        <w:pStyle w:val="ListBullet"/>
      </w:pPr>
      <w:r>
        <w:t>Formes et Dosages : Comprimé pelliculé sécable 10 mg, boîte de 30</w:t>
      </w:r>
    </w:p>
    <w:p>
      <w:pPr>
        <w:pStyle w:val="ListBullet"/>
      </w:pPr>
      <w:r>
        <w:t>Statut : Actif</w:t>
      </w:r>
    </w:p>
    <w:p>
      <w:pPr>
        <w:pStyle w:val="ListBullet"/>
      </w:pPr>
      <w:r/>
      <w:r>
        <w:rPr>
          <w:b/>
        </w:rPr>
        <w:t>SCIPRAL</w:t>
      </w:r>
      <w:r>
        <w:t xml:space="preserve"> (BIOGALENIC)</w:t>
      </w:r>
    </w:p>
    <w:p>
      <w:pPr>
        <w:pStyle w:val="ListBullet"/>
      </w:pPr>
      <w:r>
        <w:t>Formes et Dosages : Comprimé pelliculé sécable 10 mg, boîte de 28 ; Solution buvable en gouttes 10 mg/ml, flacon de 15 ml avec compte-gouttes</w:t>
      </w:r>
    </w:p>
    <w:p>
      <w:pPr>
        <w:pStyle w:val="ListBullet"/>
      </w:pPr>
      <w:r>
        <w:t>Statut : Actif</w:t>
      </w:r>
    </w:p>
    <w:p>
      <w:pPr>
        <w:pStyle w:val="ListBullet"/>
      </w:pPr>
      <w:r/>
      <w:r>
        <w:rPr>
          <w:b/>
        </w:rPr>
        <w:t>TALOPREX</w:t>
      </w:r>
      <w:r>
        <w:t xml:space="preserve"> (EL KENDI INDUSTRIE DU MEDICAMENT)</w:t>
      </w:r>
    </w:p>
    <w:p>
      <w:pPr>
        <w:pStyle w:val="ListBullet"/>
      </w:pPr>
      <w:r>
        <w:t>Formes et Dosages : Comprimé pelliculé 10 mg, boîte de 30</w:t>
      </w:r>
    </w:p>
    <w:p>
      <w:pPr>
        <w:pStyle w:val="ListBullet"/>
      </w:pPr>
      <w:r>
        <w:t>Statut : Actif</w:t>
      </w:r>
    </w:p>
    <w:p>
      <w:pPr>
        <w:pStyle w:val="ListBullet"/>
      </w:pPr>
      <w:r/>
      <w:r>
        <w:rPr>
          <w:b/>
        </w:rPr>
        <w:t>DEPRESS</w:t>
      </w:r>
      <w:r>
        <w:t xml:space="preserve"> (BIOLOGIE ET VITAMINE D'ALGERIE BIOVITAL)</w:t>
      </w:r>
    </w:p>
    <w:p>
      <w:pPr>
        <w:pStyle w:val="ListBullet"/>
      </w:pPr>
      <w:r>
        <w:t>Formes et Dosages : Comprimé 20 mg, boîte de 30</w:t>
      </w:r>
    </w:p>
    <w:p>
      <w:pPr>
        <w:pStyle w:val="ListBullet"/>
      </w:pPr>
      <w:r>
        <w:t>Statut : Actif</w:t>
      </w:r>
    </w:p>
    <w:p>
      <w:pPr>
        <w:pStyle w:val="ListBullet"/>
      </w:pPr>
      <w:r/>
      <w:r>
        <w:rPr>
          <w:b/>
        </w:rPr>
        <w:t>LINAPEX</w:t>
      </w:r>
      <w:r>
        <w:t xml:space="preserve"> (HIKMA PHARMACEUTICALS)</w:t>
      </w:r>
    </w:p>
    <w:p>
      <w:pPr>
        <w:pStyle w:val="ListBullet"/>
      </w:pPr>
      <w:r>
        <w:t>Formes et Dosages : Comprimé pelliculé sécable 10 mg et 20 mg, boîte de 30 ; Comprimé pelliculé 5 mg**, boîte de 30</w:t>
      </w:r>
    </w:p>
    <w:p>
      <w:pPr>
        <w:pStyle w:val="ListBullet"/>
      </w:pPr>
      <w:r>
        <w:t>Statut : Non Renouvelable</w:t>
      </w:r>
    </w:p>
    <w:p>
      <w:pPr>
        <w:pStyle w:val="ListBullet"/>
      </w:pPr>
      <w:r/>
      <w:r>
        <w:rPr>
          <w:b/>
        </w:rPr>
        <w:t>DEPRESS</w:t>
      </w:r>
      <w:r>
        <w:t xml:space="preserve"> (BIOVITAL)</w:t>
      </w:r>
    </w:p>
    <w:p>
      <w:pPr>
        <w:pStyle w:val="ListBullet"/>
      </w:pPr>
      <w:r>
        <w:t>Formes et Dosages : Comprimés 10 mg</w:t>
      </w:r>
      <w:r>
        <w:rPr>
          <w:b/>
        </w:rPr>
        <w:t xml:space="preserve"> et 5 mg</w:t>
      </w:r>
      <w:r>
        <w:t>, boîte de 30</w:t>
      </w:r>
    </w:p>
    <w:p>
      <w:pPr>
        <w:pStyle w:val="ListBullet"/>
      </w:pPr>
      <w:r>
        <w:t>Statut : Retiré (R)</w:t>
      </w:r>
    </w:p>
    <w:p>
      <w:pPr>
        <w:pStyle w:val="ListBullet"/>
      </w:pPr>
      <w:r/>
      <w:r>
        <w:rPr>
          <w:b/>
        </w:rPr>
        <w:t>SEROPLEX</w:t>
      </w:r>
      <w:r>
        <w:t xml:space="preserve"> (LUNDBECK A.S.)</w:t>
      </w:r>
    </w:p>
    <w:p>
      <w:pPr>
        <w:pStyle w:val="ListBullet"/>
      </w:pPr>
      <w:r>
        <w:t>Formes et Dosages : Comprimés 10 mg, boîte de 28</w:t>
      </w:r>
    </w:p>
    <w:p>
      <w:pPr>
        <w:pStyle w:val="ListBullet"/>
      </w:pPr>
      <w:r>
        <w:t>Statut : Retiré (R)</w:t>
      </w:r>
    </w:p>
    <w:p>
      <w:r/>
      <w:r>
        <w:rPr>
          <w:b/>
        </w:rPr>
        <w:t>Sous-classe et Mécanisme d'action :</w:t>
      </w:r>
      <w:r/>
    </w:p>
    <w:p>
      <w:pPr>
        <w:pStyle w:val="ListBullet"/>
      </w:pPr>
      <w:r>
        <w:t>Sous-classe : IRS, énantiomère (S) du citalopram, chef de file de la génération « pure » des IRS.</w:t>
      </w:r>
    </w:p>
    <w:p>
      <w:pPr>
        <w:pStyle w:val="ListBullet"/>
      </w:pPr>
      <w:r>
        <w:t xml:space="preserve">Mécanisme d'action : inhibition du site orthostérique du transporteur SERT par l'énantiomère (S)-citalopram, avec une affinité supérieure à celle du racémique (Ki ≈ 2 nM) ; </w:t>
      </w:r>
      <w:r>
        <w:rPr>
          <w:b/>
        </w:rPr>
        <w:t>interaction simultanée avec le site allostérique</w:t>
      </w:r>
      <w:r>
        <w:t xml:space="preserve"> du transporteur, qui potentialise l'inhibition orthostérique (ralentit la dissociation de l'énantiomère actif). Ce double mécanisme expliquerait la cinétique d'action plus rapide (parfois 1-2 semaines). Métabolisme hépatique par CYP2C19 (principal), CYP2D6 et CYP3A4 ; métabolite principal S-didemethylescitalopram (faiblement actif). Demi-vie d'élimination : 27-32 heures.</w:t>
      </w:r>
    </w:p>
    <w:p>
      <w:r/>
      <w:r>
        <w:rPr>
          <w:b/>
        </w:rPr>
        <w:t>Profil Pharmacologique :</w:t>
      </w:r>
      <w:r/>
    </w:p>
    <w:p>
      <w:pPr>
        <w:pStyle w:val="ListBullet"/>
      </w:pPr>
      <w:r>
        <w:t>Indications : épisode dépressif majeur, trouble panique, phobie sociale, trouble anxieux généralisé, TOC. En Algérie, indications essentiellement dépression, TAG et trouble panique.</w:t>
      </w:r>
    </w:p>
    <w:p>
      <w:pPr>
        <w:pStyle w:val="ListBullet"/>
      </w:pPr>
      <w:r>
        <w:t>Contre-indications : hypersensibilité, association aux IMAO (washout 14 jours), allongement congénital du QTc, association simultanée avec linézolide. Précautions : sujet âgé, insuffisance hépatique sévère, épilepsie non équilibrée, antécédents de manie, sujet &lt;25 ans (risque suicidaire transitoire).</w:t>
      </w:r>
    </w:p>
    <w:p>
      <w:pPr>
        <w:pStyle w:val="ListBullet"/>
      </w:pPr>
      <w:r>
        <w:t>Effets Indésirables : nausées (très fréquentes, surtout en initiation, transitoires 1-2 semaines), diarrhée, sécheresse buccale, céphalées, insomnie ou somnolence, hypersudation, dysfonction sexuelle (30-40%, anorgasmie), hyponatrémie par SIADH (sujet âgé), allongement modéré du QTc (moins marqué qu'avec le racémique citalopram mais à surveiller à fortes doses), syndrome de sevrage à l'arrêt brutal (modéré, moins marqué que pour la paroxétine).</w:t>
      </w:r>
    </w:p>
    <w:p>
      <w:r/>
      <w:r>
        <w:rPr>
          <w:b/>
        </w:rPr>
        <w:t>Prévention et Gestion des Effets Indésirables :</w:t>
      </w:r>
      <w:r/>
    </w:p>
    <w:p>
      <w:pPr>
        <w:pStyle w:val="ListBullet"/>
      </w:pPr>
      <w:r>
        <w:t>Mesures Préventives : initiation à 5-10 mg/jour le matin pendant 4-7 jours puis augmentation à 10 mg selon tolérance ; prise au cours d'un repas pour réduire l'intolérance digestive ; surveillance natrémie chez le sujet &gt;65 ans à 2 semaines et 1 mois ; bilan ECG si dose &gt;20 mg/j ou patient cardiaque ; information transparente sur le risque de dysfonction sexuelle ; consultation rapprochée chez l'adolescent et le jeune adulte &lt;25 ans.</w:t>
      </w:r>
    </w:p>
    <w:p>
      <w:pPr>
        <w:pStyle w:val="ListBullet"/>
      </w:pPr>
      <w:r>
        <w:t>Conduite à Tenir : en cas de syndrome sérotoninergique, arrêt immédiat et urgence ; en cas d'hyponatrémie &lt;130 mmol/L, arrêt et bilan ; arrêt progressif par paliers de 5 mg par semaine sur 4 semaines ; en cas de dysfonction sexuelle persistante, switch vers mirtazapine.</w:t>
      </w:r>
    </w:p>
    <w:p>
      <w:r/>
      <w:r>
        <w:rPr>
          <w:b/>
        </w:rPr>
        <w:t>Interactions Importantes :</w:t>
      </w:r>
      <w:r/>
    </w:p>
    <w:p>
      <w:pPr>
        <w:pStyle w:val="ListBullet"/>
      </w:pPr>
      <w:r/>
      <w:r>
        <w:rPr>
          <w:b/>
        </w:rPr>
        <w:t>Escitalopram + IMAO</w:t>
      </w:r>
      <w:r>
        <w:t xml:space="preserve"> : CI ABSOLUE. Washout 14 jours.</w:t>
      </w:r>
    </w:p>
    <w:p>
      <w:pPr>
        <w:pStyle w:val="ListBullet"/>
      </w:pPr>
      <w:r/>
      <w:r>
        <w:rPr>
          <w:b/>
        </w:rPr>
        <w:t>Escitalopram + Médicaments allongeant le QT</w:t>
      </w:r>
      <w:r>
        <w:t xml:space="preserve"> : surveillance ECG si association nécessaire.</w:t>
      </w:r>
    </w:p>
    <w:p>
      <w:pPr>
        <w:pStyle w:val="ListBullet"/>
      </w:pPr>
      <w:r/>
      <w:r>
        <w:rPr>
          <w:b/>
        </w:rPr>
        <w:t>Escitalopram + Inhibiteurs puissants du CYP2C19</w:t>
      </w:r>
      <w:r>
        <w:t xml:space="preserve"> (oméprazole, ésoméprazole, fluconazole, fluvoxamine) : augmentation des concentrations. Surveillance clinique et ECG, envisager réduction de dose.</w:t>
      </w:r>
    </w:p>
    <w:p>
      <w:pPr>
        <w:pStyle w:val="ListBullet"/>
      </w:pPr>
      <w:r/>
      <w:r>
        <w:rPr>
          <w:b/>
        </w:rPr>
        <w:t>Escitalopram + Tramadol / Triptans / Péthidine</w:t>
      </w:r>
      <w:r>
        <w:t xml:space="preserve"> : surveillance.</w:t>
      </w:r>
    </w:p>
    <w:p>
      <w:pPr>
        <w:pStyle w:val="ListBullet"/>
      </w:pPr>
      <w:r/>
      <w:r>
        <w:rPr>
          <w:b/>
        </w:rPr>
        <w:t>Escitalopram + AINS / Anticoagulants oraux</w:t>
      </w:r>
      <w:r>
        <w:t xml:space="preserve"> : majoration du risque hémorragique.</w:t>
      </w:r>
    </w:p>
    <w:p>
      <w:pPr>
        <w:pStyle w:val="ListBullet"/>
      </w:pPr>
      <w:r/>
      <w:r>
        <w:rPr>
          <w:b/>
        </w:rPr>
        <w:t>Escitalopram + Codéine</w:t>
      </w:r>
      <w:r>
        <w:t xml:space="preserve"> : inhibition CYP2D6 modérée — surveillance de l'efficacité analgésique.</w:t>
      </w:r>
    </w:p>
    <w:p>
      <w:r/>
      <w:r>
        <w:rPr>
          <w:b/>
        </w:rPr>
        <w:t>Grossesse et Allaitement :</w:t>
      </w:r>
      <w:r/>
    </w:p>
    <w:p>
      <w:pPr>
        <w:pStyle w:val="ListBullet"/>
      </w:pPr>
      <w:r>
        <w:t xml:space="preserve">Grossesse : l'escitalopram est utilisable en cours de grossesse selon le CRAT (pas de tératogénicité prouvée), mais la </w:t>
      </w:r>
      <w:r>
        <w:rPr>
          <w:b/>
        </w:rPr>
        <w:t>sertraline reste préférée</w:t>
      </w:r>
      <w:r>
        <w:t xml:space="preserve"> en première intention. Risque d'adaptation néonatale au 3e trimestre (30%). Légère augmentation du risque d'HTAPN.</w:t>
      </w:r>
    </w:p>
    <w:p>
      <w:pPr>
        <w:pStyle w:val="ListBullet"/>
      </w:pPr>
      <w:r>
        <w:t>Allaitement : compatible selon le CRAT, mais la sertraline et la paroxétine sont préférées en première intention (données plus nombreuses). Surveiller le comportement du nourrisson.</w:t>
      </w:r>
    </w:p>
    <w:p>
      <w:pPr>
        <w:pStyle w:val="ListBullet"/>
      </w:pPr>
      <w:r>
        <w:t>Précisions : si une femme est déjà bien équilibrée sous escitalopram et découvre une grossesse, le maintien est possible ; ne jamais arrêter brutalement.</w:t>
      </w:r>
    </w:p>
    <w:p>
      <w:r/>
      <w:r>
        <w:rPr>
          <w:b/>
        </w:rPr>
        <w:t>Posologie et Mode d'administration (Standard) :</w:t>
      </w:r>
      <w:r/>
    </w:p>
    <w:p>
      <w:pPr>
        <w:pStyle w:val="ListBullet"/>
      </w:pPr>
      <w:r>
        <w:t>Adulte : dépression — initialement 10 mg/jour le matin, en une prise unique ; augmentation possible à 20 mg/jour après 2-4 semaines selon réponse. Dose maximale : 20 mg/jour dans la dépression (parfois 30 mg en cas de réponse insuffisante sous surveillance spécialisée). TAG : 10 mg/j initial, 10-20 mg/j. Trouble panique : initialement 5 mg/jour pendant 7 jours puis 10 mg (réduction de l'activation anxiogène initiale), 10-20 mg/j d'entretien.</w:t>
      </w:r>
    </w:p>
    <w:p>
      <w:pPr>
        <w:pStyle w:val="ListBullet"/>
      </w:pPr>
      <w:r>
        <w:t>Sujet âgé (&gt;65 ans) : initialement 5 mg/jour, augmentation possible à 10 mg/jour. Dose maximale recommandée : 10-15 mg/j.</w:t>
      </w:r>
    </w:p>
    <w:p>
      <w:pPr>
        <w:pStyle w:val="ListBullet"/>
      </w:pPr>
      <w:r>
        <w:t>Insuffisance hépatique modérée à sévère : initialement 5 mg/jour, dose maximale 10 mg/j.</w:t>
      </w:r>
    </w:p>
    <w:p>
      <w:pPr>
        <w:pStyle w:val="ListBullet"/>
      </w:pPr>
      <w:r>
        <w:t>Métaboliseur lent CYP2C19 (génétique) : initialement 5 mg/jour, dose maximale 10 mg/j.</w:t>
      </w:r>
    </w:p>
    <w:p>
      <w:pPr>
        <w:pStyle w:val="ListBullet"/>
      </w:pPr>
      <w:r>
        <w:t>Durée : 6 mois minimum après rémission complète ; au long cours si récurrence.</w:t>
      </w:r>
    </w:p>
    <w:p>
      <w:pPr>
        <w:pStyle w:val="ListBullet"/>
      </w:pPr>
      <w:r>
        <w:t>Moment de la prise : le matin, avec ou sans nourriture.</w:t>
      </w:r>
    </w:p>
    <w:p>
      <w:r/>
      <w:r>
        <w:rPr>
          <w:b/>
        </w:rPr>
        <w:t>Arbitrage et Bénéfices des Formes Galéniques :</w:t>
      </w:r>
      <w:r/>
    </w:p>
    <w:p>
      <w:pPr>
        <w:pStyle w:val="ListBullet"/>
      </w:pPr>
      <w:r/>
      <w:r>
        <w:rPr>
          <w:b/>
        </w:rPr>
        <w:t>Comprimé pelliculé sécable 10 mg</w:t>
      </w:r>
      <w:r>
        <w:t xml:space="preserve"> (Celopram, Citoplex, Escitalopram Beker, Escitol, Estonyl, Ibinor, Linapex NR, Scipral) : forme standard, sécable pour adaptation à 5 mg (paliers d'initiation et de sevrage).</w:t>
      </w:r>
    </w:p>
    <w:p>
      <w:pPr>
        <w:pStyle w:val="ListBullet"/>
      </w:pPr>
      <w:r/>
      <w:r>
        <w:rPr>
          <w:b/>
        </w:rPr>
        <w:t>Comprimé pelliculé sécable 20 mg</w:t>
      </w:r>
      <w:r>
        <w:t xml:space="preserve"> (Celopram, Citoplex, Linapex NR) : forme de maintenance, sécable pour adapter à 10 mg en cas de réduction.</w:t>
      </w:r>
    </w:p>
    <w:p>
      <w:pPr>
        <w:pStyle w:val="ListBullet"/>
      </w:pPr>
      <w:r/>
      <w:r>
        <w:rPr>
          <w:b/>
        </w:rPr>
        <w:t>Comprimé pelliculé 5 mg</w:t>
      </w:r>
      <w:r>
        <w:t xml:space="preserve"> (Citoplex) : dosage fin, idéal pour initiation chez le sujet âgé, l'insuffisant hépatique, et pour les paliers de sevrage finaux.</w:t>
      </w:r>
    </w:p>
    <w:p>
      <w:pPr>
        <w:pStyle w:val="ListBullet"/>
      </w:pPr>
      <w:r/>
      <w:r>
        <w:rPr>
          <w:b/>
        </w:rPr>
        <w:t>Solution buvable en gouttes 10 mg/ml</w:t>
      </w:r>
      <w:r>
        <w:t xml:space="preserve"> (Citoplex, Escitol, Scipral) et </w:t>
      </w:r>
      <w:r>
        <w:rPr>
          <w:b/>
        </w:rPr>
        <w:t>20 mg/ml</w:t>
      </w:r>
      <w:r>
        <w:t xml:space="preserve"> (Celopram) : forme particulièrement adaptée aux patients ayant des difficultés de déglutition (sujet âgé, dysphagie), aux posologies pédiatriques (off-label), et pour les paliers de sevrage très progressifs par paliers de 1 mg. Permet aussi l'administration par sonde naso-gastrique.</w:t>
      </w:r>
    </w:p>
    <w:p>
      <w:pPr>
        <w:pStyle w:val="ListBullet"/>
      </w:pPr>
      <w:r/>
      <w:r>
        <w:rPr>
          <w:b/>
        </w:rPr>
        <w:t>Formes retirées (Seroplex® — Lundbeck original, Depress® Biovital)</w:t>
      </w:r>
      <w:r>
        <w:t xml:space="preserve"> : encore présentes dans les stocks résiduels ; privilégier les formes actives génériques locales.</w:t>
      </w:r>
    </w:p>
    <w:p>
      <w:pPr>
        <w:pStyle w:val="ListBullet"/>
      </w:pPr>
      <w:r>
        <w:t>Arbitrage : la solution buvable est à privilégier pour le sujet âgé polymédicamenté et les paliers de sevrage finaux. Le comprimé 5 mg est utile pour l'initiation à dose très réduite (sujet âgé fragile, insuffisant hépatique).</w:t>
      </w:r>
    </w:p>
    <w:p>
      <w:r/>
      <w:r>
        <w:rPr>
          <w:b/>
        </w:rPr>
        <w:t>Instructions et Conseils au Patient :</w:t>
      </w:r>
      <w:r/>
    </w:p>
    <w:p>
      <w:pPr>
        <w:pStyle w:val="ListBullet"/>
      </w:pPr>
      <w:r>
        <w:t>Communication au comptoir : « Ce médicament est un antidépresseur de la famille des IRS, parmi les mieux tolérés. Prenez-le le matin. Les nausées et céphalées des premiers jours sont normales et passagères. Il met 2 à 4 semaines pour faire effet. Ne l'arrêtez pas seul, même si vous allez mieux : le sevrage doit être progressif. Évitez l'alcool et prévenez votre pharmacien de tous les autres médicaments que vous prenez. »</w:t>
      </w:r>
    </w:p>
    <w:p>
      <w:pPr>
        <w:pStyle w:val="ListBullet"/>
      </w:pPr>
      <w:r>
        <w:t>Mode d'utilisation pratique : prise matinale stricte à heure fixe ; tenir un journal de l'humeur ; ne pas interrompre en cas d'oubli isolé ; surveillance du poids et de l'appétit ; consultations psychiatriques rapprochées en début de traitement ; prévenir tous les médecins consultés.</w:t>
      </w:r>
    </w:p>
    <w:p>
      <w:r/>
      <w:r>
        <w:rPr>
          <w:b/>
        </w:rPr>
        <w:t>Notes, Règles d'Or &amp; Pièges au Comptoir :</w:t>
      </w:r>
      <w:r/>
    </w:p>
    <w:p>
      <w:pPr>
        <w:pStyle w:val="ListBullet"/>
      </w:pPr>
      <w:r>
        <w:t>Piège classique n°1 : l'escitalopram est l'</w:t>
      </w:r>
      <w:r>
        <w:rPr>
          <w:b/>
        </w:rPr>
        <w:t>énantiomère actif du citalopram</w:t>
      </w:r>
      <w:r>
        <w:t xml:space="preserve"> — switch possible citalopram 20 mg → escitalopram 10 mg (équivalence environ 2:1).</w:t>
      </w:r>
    </w:p>
    <w:p>
      <w:pPr>
        <w:pStyle w:val="ListBullet"/>
      </w:pPr>
      <w:r>
        <w:t>Piège classique n°2 : chez le sujet âgé, la dose maximale est réduite à 10-15 mg/jour (sensibilité accrue, demi-vie prolongée, risque d'hyponatrémie majoré).</w:t>
      </w:r>
    </w:p>
    <w:p>
      <w:pPr>
        <w:pStyle w:val="ListBullet"/>
      </w:pPr>
      <w:r>
        <w:t>Règle de prise : matin, à heure fixe.</w:t>
      </w:r>
    </w:p>
    <w:p>
      <w:pPr>
        <w:pStyle w:val="ListBullet"/>
      </w:pPr>
      <w:r>
        <w:t>Préparation et Conservation : comprimés à conserver à température &lt;25°C, à l'abri de l'humidité ; solution buvable à utiliser dans le mois qui suit l'ouverture.</w:t>
      </w:r>
    </w:p>
    <w:p>
      <w:pPr>
        <w:pStyle w:val="ListBullet"/>
      </w:pPr>
      <w:r>
        <w:t>Piège du surdosage / Substitution : index thérapeutique relativement large, mais surveillance ECG en cas de dose massive (allongement QTc). Lors de substitution entre marques actives (Celopram ↔ Citoplex ↔ Escitalopram Beker ↔ Escitol ↔ Estonyl ↔ Ibinor ↔ Scipral ↔ Taloprex), vérifier l'équivalence de dosage et expliquer au patient la substitution générique.</w:t>
      </w:r>
    </w:p>
    <w:p>
      <w:pPr>
        <w:pStyle w:val="Heading3"/>
      </w:pPr>
      <w:r>
        <w:t>6. DCI : Fluvoxamine (Seule)</w:t>
      </w:r>
    </w:p>
    <w:p>
      <w:r/>
      <w:r>
        <w:rPr>
          <w:b/>
        </w:rPr>
        <w:t>Liste des Catégories :</w:t>
      </w:r>
      <w:r>
        <w:t xml:space="preserve"> Antidépresseurs — Inhibiteurs Recapture Sérotonine (IRS) ; Liste I.</w:t>
      </w:r>
    </w:p>
    <w:p>
      <w:r>
        <w:t xml:space="preserve">La fluvoxamine est l'IRS le moins prescrit des IRS « classiques » en Algérie, mais elle présente un profil pharmacologique particulier qui en fait une option de choix dans le </w:t>
      </w:r>
      <w:r>
        <w:rPr>
          <w:b/>
        </w:rPr>
        <w:t>TOC</w:t>
      </w:r>
      <w:r>
        <w:t xml:space="preserve"> (trouble obsessionnel-compulsif) — elle dispose d'une AMM spécifique dans cette indication et a été l'un des premiers IRS évalués dans le TOC. Elle se distingue également par une </w:t>
      </w:r>
      <w:r>
        <w:rPr>
          <w:b/>
        </w:rPr>
        <w:t>puissante inhibition du CYP1A2</w:t>
      </w:r>
      <w:r>
        <w:t xml:space="preserve"> (entraînant de nombreuses interactions avec la caféine, la théophylline, la clozapine, l'olanzapine) et par une absence de métabolite actif. Sa forme commerciale en Algérie (Floxyfral® — Solvay Pharma) est actuellement </w:t>
      </w:r>
      <w:r>
        <w:rPr>
          <w:b/>
        </w:rPr>
        <w:t>retirée du marché</w:t>
      </w:r>
      <w:r>
        <w:t>, mais la molécule reste référencée dans la nomenclature et peut être disponible via importation ou stocks résiduels.</w:t>
      </w:r>
    </w:p>
    <w:p>
      <w:r/>
      <w:r>
        <w:rPr>
          <w:b/>
        </w:rPr>
        <w:t>Médicaments disponibles en Algérie (Marques, Laboratoires, Formes et Dosages) :</w:t>
      </w:r>
      <w:r/>
    </w:p>
    <w:p>
      <w:pPr>
        <w:pStyle w:val="ListBullet"/>
      </w:pPr>
      <w:r/>
      <w:r>
        <w:rPr>
          <w:b/>
        </w:rPr>
        <w:t>FLOXYFRAL</w:t>
      </w:r>
      <w:r>
        <w:t xml:space="preserve"> (SOLVAY PHARMA)</w:t>
      </w:r>
    </w:p>
    <w:p>
      <w:pPr>
        <w:pStyle w:val="ListBullet"/>
      </w:pPr>
      <w:r>
        <w:t>Formes et Dosages : Comprimé enrobé 50 mg, boîte de 30 ; Comprimé enrobé 100 mg, boîte de 15</w:t>
      </w:r>
    </w:p>
    <w:p>
      <w:pPr>
        <w:pStyle w:val="ListBullet"/>
      </w:pPr>
      <w:r>
        <w:t>Statut : Retiré (R)</w:t>
      </w:r>
    </w:p>
    <w:p>
      <w:r/>
      <w:r>
        <w:rPr>
          <w:i/>
        </w:rPr>
        <w:t>(Note : À l'heure actuelle, la marque Floxyfral® (Solvay Pharma) est retirée du marché algérien. La fluvoxamine n'est donc plus disponible en routine en officine. Les patients antérieurement traités par fluvoxamine doivent être orientés vers un autre IRS efficace dans le TOC (sertraline, fluoxétine, paroxétine, escitalopram, clomipramine).)</w:t>
      </w:r>
      <w:r/>
    </w:p>
    <w:p>
      <w:r/>
      <w:r>
        <w:rPr>
          <w:b/>
        </w:rPr>
        <w:t>Sous-classe et Mécanisme d'action :</w:t>
      </w:r>
      <w:r/>
    </w:p>
    <w:p>
      <w:pPr>
        <w:pStyle w:val="ListBullet"/>
      </w:pPr>
      <w:r>
        <w:t>Sous-classe : IRS de la famille des arylpiperazinyl-aralkyl ketones, apparenté structurellement à la fluoxétine mais avec un profil distinct.</w:t>
      </w:r>
    </w:p>
    <w:p>
      <w:pPr>
        <w:pStyle w:val="ListBullet"/>
      </w:pPr>
      <w:r>
        <w:t>Mécanisme d'action : inhibition sélective du transporteur SERT, sans affinité pour NET ou DAT, sans effet anticholinergique, α-adrénergique ou histaminergique. Augmentation de la transmission sérotoninergique au niveau des noyaux du raphé et de leurs projections cortico-striatales (intéressant dans le TOC par implication des boucles cortico-striato-thalamo-corticales). Métabolisme hépatique par CYP1A2 (principal), CYP2D6 et CYP3A4. Demi-vie d'élimination : 13-15 heures (nécessitant deux prises par jour en pratique).</w:t>
      </w:r>
    </w:p>
    <w:p>
      <w:r/>
      <w:r>
        <w:rPr>
          <w:b/>
        </w:rPr>
        <w:t>Profil Pharmacologique :</w:t>
      </w:r>
      <w:r/>
    </w:p>
    <w:p>
      <w:pPr>
        <w:pStyle w:val="ListBullet"/>
      </w:pPr>
      <w:r>
        <w:t xml:space="preserve">Indications : épisode dépressif majeur, </w:t>
      </w:r>
      <w:r>
        <w:rPr>
          <w:b/>
        </w:rPr>
        <w:t>TOC</w:t>
      </w:r>
      <w:r>
        <w:t xml:space="preserve"> ( indication de référence — AMM spécifique), trouble anxieux social, trouble panique. En Algérie, l'usage historique est essentiellement le TOC résistant ou en relais de la clomipramine.</w:t>
      </w:r>
    </w:p>
    <w:p>
      <w:pPr>
        <w:pStyle w:val="ListBullet"/>
      </w:pPr>
      <w:r>
        <w:t>Contre-indications : hypersensibilité, association aux IMAO (washout 14 jours), association simultanée avec tizanidine (CI absolue — risque d'hypotension sévère), association avec thioridazine (CI absolue — allongement du QTc). Précautions : insuffisance hépatique (réduire la dose), épilepsie, antécédents de manie, sujet &lt;25 ans (risque suicidaire transitoire).</w:t>
      </w:r>
    </w:p>
    <w:p>
      <w:pPr>
        <w:pStyle w:val="ListBullet"/>
      </w:pPr>
      <w:r>
        <w:t>Effets Indésirables : nausées (très fréquentes, 30-40% — plus marquées qu'avec les autres IRS), vomissements, diarrhée, sécheresse buccale, asthénie, somnolence, insomnie paradoxale, céphalées, vertiges, hypersudation, dysfonction sexuelle (30%), hyponatrémie par SIADH (sujet âgé), syndrome de sevrage à l'arrêt brutal (modéré).</w:t>
      </w:r>
    </w:p>
    <w:p>
      <w:r/>
      <w:r>
        <w:rPr>
          <w:b/>
        </w:rPr>
        <w:t>Prévention et Gestion des Effets Indésirables :</w:t>
      </w:r>
      <w:r/>
    </w:p>
    <w:p>
      <w:pPr>
        <w:pStyle w:val="ListBullet"/>
      </w:pPr>
      <w:r>
        <w:t>Mesures Préventives : initiation à 50 mg/jour (le soir en raison de la somnolence) puis augmentation par paliers de 50 mg tous les 4-7 jours selon tolérance ; prise au cours d'un repas pour réduire l'intolérance digestive ; surveillance natrémie chez le sujet &gt;65 ans ; surveillance clinique renforcée chez l'adolescent et le jeune adulte.</w:t>
      </w:r>
    </w:p>
    <w:p>
      <w:pPr>
        <w:pStyle w:val="ListBullet"/>
      </w:pPr>
      <w:r>
        <w:t>Conduite à Tenir : en cas de syndrome sérotoninergique, arrêt immédiat ; en cas d'hyponatrémie, arrêt et bilan ; arrêt progressif par paliers de 25-50 mg par semaine sur 4 semaines.</w:t>
      </w:r>
    </w:p>
    <w:p>
      <w:r/>
      <w:r>
        <w:rPr>
          <w:b/>
        </w:rPr>
        <w:t>Interactions Importantes :</w:t>
      </w:r>
      <w:r/>
    </w:p>
    <w:p>
      <w:pPr>
        <w:pStyle w:val="ListBullet"/>
      </w:pPr>
      <w:r/>
      <w:r>
        <w:rPr>
          <w:b/>
        </w:rPr>
        <w:t>Fluvoxamine + IMAO</w:t>
      </w:r>
      <w:r>
        <w:t xml:space="preserve"> : CI ABSOLUE. Washout 14 jours.</w:t>
      </w:r>
    </w:p>
    <w:p>
      <w:pPr>
        <w:pStyle w:val="ListBullet"/>
      </w:pPr>
      <w:r/>
      <w:r>
        <w:rPr>
          <w:b/>
        </w:rPr>
        <w:t>Fluvoxamine + Tizanidine</w:t>
      </w:r>
      <w:r>
        <w:t xml:space="preserve"> : CI ABSOLUE — la fluvoxamine inhibe le CYP1A2 qui métabolise la tizanidine → augmentation massive des concentrations de tizanidine → hypotension sévère, bradycardie.</w:t>
      </w:r>
    </w:p>
    <w:p>
      <w:pPr>
        <w:pStyle w:val="ListBullet"/>
      </w:pPr>
      <w:r/>
      <w:r>
        <w:rPr>
          <w:b/>
        </w:rPr>
        <w:t>Fluvoxamine + Thioridazine</w:t>
      </w:r>
      <w:r>
        <w:t xml:space="preserve"> : CI ABSOLUE — allongement du QTc (inhibition CYP2D6 majorant les concentrations de thioridazine).</w:t>
      </w:r>
    </w:p>
    <w:p>
      <w:pPr>
        <w:pStyle w:val="ListBullet"/>
      </w:pPr>
      <w:r/>
      <w:r>
        <w:rPr>
          <w:b/>
        </w:rPr>
        <w:t>Fluvoxamine + Clozapine / Olanzapine</w:t>
      </w:r>
      <w:r>
        <w:t xml:space="preserve"> : inhibition du CYP1A2 → augmentation des concentrations plasmatiques de l'antipsychotique (x2 à x5) → risque de convulsions, sédation, hypotension. Réduction de dose de l'antipsychotique indispensable.</w:t>
      </w:r>
    </w:p>
    <w:p>
      <w:pPr>
        <w:pStyle w:val="ListBullet"/>
      </w:pPr>
      <w:r/>
      <w:r>
        <w:rPr>
          <w:b/>
        </w:rPr>
        <w:t>Fluvoxamine + Caféine / Théophylline</w:t>
      </w:r>
      <w:r>
        <w:t xml:space="preserve"> : inhibition du CYP1A2 → augmentation des concentrations (x5 à x10 pour la caféine) → insomnie, tremblements, tachycardie, convulsions. Limiter la caféine.</w:t>
      </w:r>
    </w:p>
    <w:p>
      <w:pPr>
        <w:pStyle w:val="ListBullet"/>
      </w:pPr>
      <w:r/>
      <w:r>
        <w:rPr>
          <w:b/>
        </w:rPr>
        <w:t>Fluvoxamine + Warfarine</w:t>
      </w:r>
      <w:r>
        <w:t xml:space="preserve"> : majoration du risque hémorragique (inhibition CYP1A2 et CYP2C9).</w:t>
      </w:r>
    </w:p>
    <w:p>
      <w:pPr>
        <w:pStyle w:val="ListBullet"/>
      </w:pPr>
      <w:r/>
      <w:r>
        <w:rPr>
          <w:b/>
        </w:rPr>
        <w:t>Fluvoxamine + Tramadol / Triptans</w:t>
      </w:r>
      <w:r>
        <w:t xml:space="preserve"> : surveillance.</w:t>
      </w:r>
    </w:p>
    <w:p>
      <w:pPr>
        <w:pStyle w:val="ListBullet"/>
      </w:pPr>
      <w:r/>
      <w:r>
        <w:rPr>
          <w:b/>
        </w:rPr>
        <w:t>Fluvoxamine + AINS / Anticoagulants oraux</w:t>
      </w:r>
      <w:r>
        <w:t xml:space="preserve"> : majoration du risque hémorragique.</w:t>
      </w:r>
    </w:p>
    <w:p>
      <w:r/>
      <w:r>
        <w:rPr>
          <w:b/>
        </w:rPr>
        <w:t>Grossesse et Allaitement :</w:t>
      </w:r>
      <w:r/>
    </w:p>
    <w:p>
      <w:pPr>
        <w:pStyle w:val="ListBullet"/>
      </w:pPr>
      <w:r>
        <w:t xml:space="preserve">Grossesse : la fluvoxamine est utilisable en cours de grossesse selon le CRAT, mais la </w:t>
      </w:r>
      <w:r>
        <w:rPr>
          <w:b/>
        </w:rPr>
        <w:t>sertraline reste préférée</w:t>
      </w:r>
      <w:r>
        <w:t>. Pas de tératogénicité prouvée. Risque d'adaptation néonatale au 3e trimestre. Légère augmentation du risque d'HTAPN.</w:t>
      </w:r>
    </w:p>
    <w:p>
      <w:pPr>
        <w:pStyle w:val="ListBullet"/>
      </w:pPr>
      <w:r>
        <w:t>Allaitement : compatible selon le CRAT, mais la sertraline et la paroxétine sont préférées.</w:t>
      </w:r>
    </w:p>
    <w:p>
      <w:pPr>
        <w:pStyle w:val="ListBullet"/>
      </w:pPr>
      <w:r>
        <w:t>Précisions : compte tenu des nombreuses interactions médicamenteuses, la fluvoxamine est généralement évitée chez la femme enceinte polymédiquée.</w:t>
      </w:r>
    </w:p>
    <w:p>
      <w:r/>
      <w:r>
        <w:rPr>
          <w:b/>
        </w:rPr>
        <w:t>Posologie et Mode d'administration (Standard) :</w:t>
      </w:r>
      <w:r/>
    </w:p>
    <w:p>
      <w:pPr>
        <w:pStyle w:val="ListBullet"/>
      </w:pPr>
      <w:r>
        <w:t>Adulte : dépression — initialement 50-100 mg/jour en prise vespérale, augmentation par paliers de 50 mg tous les 4-7 jours selon réponse, dose usuelle 100-200 mg/jour en deux prises (matin et soir), dose maximale 300 mg/j. TOC : initialement 50 mg/jour, dose usuelle 100-300 mg/jour en deux prises.</w:t>
      </w:r>
    </w:p>
    <w:p>
      <w:pPr>
        <w:pStyle w:val="ListBullet"/>
      </w:pPr>
      <w:r>
        <w:t>Sujet âgé : initialement 25-50 mg/jour, augmentation très progressive, dose maximale 150-200 mg/j.</w:t>
      </w:r>
    </w:p>
    <w:p>
      <w:pPr>
        <w:pStyle w:val="ListBullet"/>
      </w:pPr>
      <w:r>
        <w:t>Enfant &gt;8 ans et adolescent (TOC) : initialement 25 mg/jour, augmentation progressive jusqu'à 200 mg/j.</w:t>
      </w:r>
    </w:p>
    <w:p>
      <w:pPr>
        <w:pStyle w:val="ListBullet"/>
      </w:pPr>
      <w:r>
        <w:t>Insuffisance hépatique : réduire la dose de moitié ou du tiers.</w:t>
      </w:r>
    </w:p>
    <w:p>
      <w:pPr>
        <w:pStyle w:val="ListBullet"/>
      </w:pPr>
      <w:r>
        <w:t>Durée : épisode dépressif : 6 mois minimum après rémission complète ; TOC : 12 mois minimum, souvent au long cours.</w:t>
      </w:r>
    </w:p>
    <w:p>
      <w:pPr>
        <w:pStyle w:val="ListBullet"/>
      </w:pPr>
      <w:r>
        <w:t>Moment de la prise : le soir initialement (somnolence), puis en deux prises matin et soir si dose &gt;100 mg/j.</w:t>
      </w:r>
    </w:p>
    <w:p>
      <w:r/>
      <w:r>
        <w:rPr>
          <w:b/>
        </w:rPr>
        <w:t>Arbitrage et Bénéfices des Formes Galéniques :</w:t>
      </w:r>
      <w:r/>
    </w:p>
    <w:p>
      <w:pPr>
        <w:pStyle w:val="ListBullet"/>
      </w:pPr>
      <w:r/>
      <w:r>
        <w:rPr>
          <w:b/>
        </w:rPr>
        <w:t>Comprimé enrobé 50 mg et 100 mg (Floxyfral®)</w:t>
      </w:r>
      <w:r>
        <w:t xml:space="preserve"> : formes historiques, non sécables à proprement parler. Pour les paliers de sevrage finaux, découpage en quarts possible mais peu précis.</w:t>
      </w:r>
    </w:p>
    <w:p>
      <w:pPr>
        <w:pStyle w:val="ListBullet"/>
      </w:pPr>
      <w:r>
        <w:t xml:space="preserve">En pratique algérienne, l'indisponibilité actuelle de la fluvoxamine active oriente vers </w:t>
      </w:r>
      <w:r>
        <w:rPr>
          <w:b/>
        </w:rPr>
        <w:t>la sertraline ou la paroxétine</w:t>
      </w:r>
      <w:r>
        <w:t xml:space="preserve"> dans le TOC (efficacité équivalente démontrée).</w:t>
      </w:r>
    </w:p>
    <w:p>
      <w:pPr>
        <w:pStyle w:val="ListBullet"/>
      </w:pPr>
      <w:r>
        <w:t>Arbitrage : si un patient est traité par fluvoxamine et présente une difficulté d'approvisionnement, le switch vers sertraline à dose équivalente (50-100 mg/j) ou paroxétine (20-40 mg/j) est possible sous suivi médical.</w:t>
      </w:r>
    </w:p>
    <w:p>
      <w:r/>
      <w:r>
        <w:rPr>
          <w:b/>
        </w:rPr>
        <w:t>Instructions et Conseils au Patient :</w:t>
      </w:r>
      <w:r/>
    </w:p>
    <w:p>
      <w:pPr>
        <w:pStyle w:val="ListBullet"/>
      </w:pPr>
      <w:r>
        <w:t>Communication au comptoir : « Ce médicament est un antidépresseur de la famille des IRS, particulièrement indiqué dans les troubles obsessionnels-compulsifs. Prenez-le le soir (il peut donner somnolence), puis éventuellement en deux prises si la dose augmente. Évitez le café, le thé et les boissons caféinées (risque de palpitations). Prévenez votre médecin de tous les médicaments que vous prenez, surtout antipsychotiques ou antidouleurs. »</w:t>
      </w:r>
    </w:p>
    <w:p>
      <w:pPr>
        <w:pStyle w:val="ListBullet"/>
      </w:pPr>
      <w:r>
        <w:t>Mode d'utilisation pratique : prise vespérale stricte à l'initiation ; ne pas interrompre en cas d'oubli isolé ; surveillance clinique de l'humeur ; consultation rapprochée en début de traitement.</w:t>
      </w:r>
    </w:p>
    <w:p>
      <w:r/>
      <w:r>
        <w:rPr>
          <w:b/>
        </w:rPr>
        <w:t>Notes, Règles d'Or &amp; Pièges au Comptoir :</w:t>
      </w:r>
      <w:r/>
    </w:p>
    <w:p>
      <w:pPr>
        <w:pStyle w:val="ListBullet"/>
      </w:pPr>
      <w:r>
        <w:t xml:space="preserve">Piège classique n°1 : la </w:t>
      </w:r>
      <w:r>
        <w:rPr>
          <w:b/>
        </w:rPr>
        <w:t>fluvoxamine + tizanidine</w:t>
      </w:r>
      <w:r>
        <w:t xml:space="preserve"> est une </w:t>
      </w:r>
      <w:r>
        <w:rPr>
          <w:b/>
        </w:rPr>
        <w:t>CI absolue</w:t>
      </w:r>
      <w:r>
        <w:t xml:space="preserve"> (hypotension sévère). Vérifier systématiquement la prise d'un myorelaxant.</w:t>
      </w:r>
    </w:p>
    <w:p>
      <w:pPr>
        <w:pStyle w:val="ListBullet"/>
      </w:pPr>
      <w:r>
        <w:t xml:space="preserve">Piège classique n°2 : la fluvoxamine est le </w:t>
      </w:r>
      <w:r>
        <w:rPr>
          <w:b/>
        </w:rPr>
        <w:t>plus puissant inhibiteur du CYP1A2</w:t>
      </w:r>
      <w:r>
        <w:t xml:space="preserve"> de la classe IRS. Surveiller toutes les prises de caféine, théophylline, clozapine, olanzapine.</w:t>
      </w:r>
    </w:p>
    <w:p>
      <w:pPr>
        <w:pStyle w:val="ListBullet"/>
      </w:pPr>
      <w:r>
        <w:t>Règle de prise : soir à l'initiation, puis deux prises matin/soir si dose &gt;100 mg/j.</w:t>
      </w:r>
    </w:p>
    <w:p>
      <w:pPr>
        <w:pStyle w:val="ListBullet"/>
      </w:pPr>
      <w:r>
        <w:t>Préparation et Conservation : conserver à température &lt;25°C, à l'abri de l'humidité.</w:t>
      </w:r>
    </w:p>
    <w:p>
      <w:pPr>
        <w:pStyle w:val="ListBullet"/>
      </w:pPr>
      <w:r>
        <w:t>Piège du surdosage / Substitution : index thérapeutique relativement large, surveillance ECG en cas de dose massive (allongement QTc). En cas d'indisponibilité, switch vers sertraline ou paroxétine (équivalence approximative fluvoxamine 100 mg ≈ sertraline 50 mg ≈ paroxétine 20 mg).</w:t>
      </w:r>
    </w:p>
    <w:p>
      <w:pPr>
        <w:pStyle w:val="Heading2"/>
      </w:pPr>
      <w:r>
        <w:t>SOUS-CLASSE 2 — INHIBITEURS DE LA RECAPTURE DE LA SÉROTONINE ET DE LA NORADRÉNALINE (IRSN)</w:t>
      </w:r>
    </w:p>
    <w:p>
      <w:pPr>
        <w:pStyle w:val="Heading3"/>
      </w:pPr>
      <w:r>
        <w:t>Introduction de la sous-classe</w:t>
      </w:r>
    </w:p>
    <w:p>
      <w:r>
        <w:t>Les Inhibiteurs de la Recapture de la Sérotonine et de la Noradrénaline (IRSN) constituent une classe pharmacologique intermédiaire entre les IRS purs (qui n'inhibent que SERT) et les tricycliques (qui inhibent à la fois SERT et NET mais présentent de nombreux effets secondaires liés à leurs affinités pour les récepteurs). Les IRSN combinent une inhibition du transporteur SERT et du transporteur NET sans affinité pour les récepteurs α-adrénergiques, muscariniques ou histaminiques, ce qui leur confère une tolérance proche de celle des IRS tout en offrant une double action monoaminergique théoriquement plus efficace dans les dépressions sévères et résistantes.</w:t>
      </w:r>
    </w:p>
    <w:p>
      <w:r/>
      <w:r>
        <w:rPr>
          <w:b/>
        </w:rPr>
        <w:t>Cibles moléculaires</w:t>
      </w:r>
      <w:r>
        <w:t xml:space="preserve"> : les IRSN inhibent simultanément le transporteur SERT (gène </w:t>
      </w:r>
      <w:r>
        <w:rPr>
          <w:i/>
        </w:rPr>
        <w:t>SLC6A4</w:t>
      </w:r>
      <w:r>
        <w:t xml:space="preserve">) et le transporteur NET (gène </w:t>
      </w:r>
      <w:r>
        <w:rPr>
          <w:i/>
        </w:rPr>
        <w:t>SLC6A2</w:t>
      </w:r>
      <w:r>
        <w:t>), appartenant tous deux à la superfamille NSS. L'inhibition de SERT augmente la concentration synaptique de 5-HT au niveau des noyaux du raphé et de leurs projections cortico-limbiques ; l'inhibition de NET augmente la concentration de noradrénaline au niveau du locus coeruleus et de ses projections corticales. La double action entraîne une cascade adaptative plus complète : down-régulation des autorécepteurs 5-HT1A et α2, neurogenèse hippocampique, augmentation du BDNF, restauration de la plasticité synaptique.</w:t>
      </w:r>
    </w:p>
    <w:p>
      <w:r/>
      <w:r>
        <w:rPr>
          <w:b/>
        </w:rPr>
        <w:t>Sélectivité dose-dépendante</w:t>
      </w:r>
      <w:r>
        <w:t xml:space="preserve"> : la venlafaxine présente une sélectivité pour SERT à faible dose (≤75 mg/j), avec apparition d'une inhibition de NET à doses plus élevées (≥150 mg/j). La duloxétine présente, en revanche, une affinité équilibrée pour SERT et NET dès les doses thérapeutiques. Cette particularité explique les différences cliniques entre les deux molécules : la duloxétine est plus efficace dans la douleur neuropathique (action prédominante sur NET), tandis que la venlafaxine à haute dose a un effet antidépresseur plus marqué (double action franche).</w:t>
      </w:r>
    </w:p>
    <w:p>
      <w:r/>
      <w:r>
        <w:rPr>
          <w:b/>
        </w:rPr>
        <w:t>Spectre d'activité clinique</w:t>
      </w:r>
      <w:r>
        <w:t xml:space="preserve"> : dépression majeure (sévère, résistante), trouble anxieux généralisé (duloxétine, venlafaxine), trouble panique (venlafaxine), phobie sociale (venlafaxine), douleur neuropathique diabétique (duloxétine), fibromyalgie (duloxétine), douleurs musculo-squelettiques chroniques (duloxétine), incontinence urinaire d'effort chez la femme (duloxétine — indication non psychiatrique). En Algérie, l'usage psychiatrique des IRSN se concentre essentiellement sur la dépression résistante et le TAG.</w:t>
      </w:r>
    </w:p>
    <w:p>
      <w:r/>
      <w:r>
        <w:rPr>
          <w:b/>
        </w:rPr>
        <w:t>Profil de tolérance</w:t>
      </w:r>
      <w:r>
        <w:t xml:space="preserve"> : nausées (très fréquentes — plus marquées qu'avec les IRS en monothérapie en raison de la double action), insomnie, sécheresse buccale, constipation, dysfonction sexuelle, hypersudation, </w:t>
      </w:r>
      <w:r>
        <w:rPr>
          <w:b/>
        </w:rPr>
        <w:t>risque d'hypertension artérielle dose-dépendant</w:t>
      </w:r>
      <w:r>
        <w:t xml:space="preserve"> (spécifique à la venlafaxine — surveillance TA obligatoire à partir de 150 mg/j), hyponatrémie par SIADH, syndrome de sevrage à l'arrêt brutal (particulièrement marqué pour la venlafaxine en raison de sa demi-vie courte — 5 heures pour la forme immediate-release et 11 heures pour la forme LP). Le syndrome sérotoninergique reste le risque majeur en cas d'association à un IMAO ou à un autre agent sérotoninergique.</w:t>
      </w:r>
    </w:p>
    <w:p>
      <w:r/>
      <w:r>
        <w:rPr>
          <w:b/>
        </w:rPr>
        <w:t>Règle d'or du washout</w:t>
      </w:r>
      <w:r>
        <w:t xml:space="preserve"> : deux semaines (14 jours) minimum entre l'arrêt d'un IMAO et le début d'un IRSN, et inversement 7 jours entre l'arrêt d'un IRSN et le début d'un IMAO (la venlafaxine et la duloxétine ont des demi-vies courtes sans métabolite actif).</w:t>
      </w:r>
    </w:p>
    <w:p>
      <w:pPr>
        <w:pStyle w:val="Heading3"/>
      </w:pPr>
      <w:r>
        <w:t>7. DCI : Venlafaxine (Seule)</w:t>
      </w:r>
    </w:p>
    <w:p>
      <w:r/>
      <w:r>
        <w:rPr>
          <w:b/>
        </w:rPr>
        <w:t>Liste des Catégories :</w:t>
      </w:r>
      <w:r>
        <w:t xml:space="preserve"> Antidépresseurs — Inhibiteurs Recapture Sérotonine-Noradrénaline (IRSN) ; Liste I.</w:t>
      </w:r>
    </w:p>
    <w:p>
      <w:r>
        <w:t xml:space="preserve">La venlafaxine, commercialisée sous le nom d'Effexor® (Wyeth) depuis 1994, est l'IRSN de référence dans le traitement de la dépression majeure et des troubles anxieux. Sa caractéristique pharmacologique essentielle est sa </w:t>
      </w:r>
      <w:r>
        <w:rPr>
          <w:b/>
        </w:rPr>
        <w:t>sélectivité dose-dépendante</w:t>
      </w:r>
      <w:r>
        <w:t xml:space="preserve"> : à faible dose (37,5-75 mg/j), elle se comporte comme un IRS pur (inhibition exclusive de SERT), tandis qu'à dose moyenne (150 mg/j) et élevée (225-375 mg/j), elle inhibe également NET, ce qui explique l'augmentation de son efficacité avec la dose. La venlafaxine présente une </w:t>
      </w:r>
      <w:r>
        <w:rPr>
          <w:b/>
        </w:rPr>
        <w:t>demi-vie courte</w:t>
      </w:r>
      <w:r>
        <w:t xml:space="preserve"> (5 heures pour la forme immédiate, 11 heures pour la forme LP) et un métabolite actif, la O-desméthylvenlafaxine (ODV), de puissance équivalente — mais la demi-vie globale reste courte, ce qui explique le syndrome de sevrage particulièrement marqué à l'arrêt brutal. La venlafaxine est également l'IRSN qui expose au risque d'</w:t>
      </w:r>
      <w:r>
        <w:rPr>
          <w:b/>
        </w:rPr>
        <w:t>hypertension artérielle dose-dépendante</w:t>
      </w:r>
      <w:r>
        <w:t xml:space="preserve"> (par inhibition de NET au niveau des terminaisons sympathiques périphériques), justifiant une surveillance régulière de la pression artérielle à partir de 150 mg/j.</w:t>
      </w:r>
    </w:p>
    <w:p>
      <w:r/>
      <w:r>
        <w:rPr>
          <w:b/>
        </w:rPr>
        <w:t>Médicaments disponibles en Algérie (Marques, Laboratoires, Formes et Dosages) :</w:t>
      </w:r>
      <w:r/>
    </w:p>
    <w:p>
      <w:pPr>
        <w:pStyle w:val="ListBullet"/>
      </w:pPr>
      <w:r/>
      <w:r>
        <w:rPr>
          <w:b/>
        </w:rPr>
        <w:t>AVISINE</w:t>
      </w:r>
      <w:r>
        <w:t xml:space="preserve"> (CHIMIE PHARMACIE COMMERCE MULTIPLE — CPCM)</w:t>
      </w:r>
    </w:p>
    <w:p>
      <w:pPr>
        <w:pStyle w:val="ListBullet"/>
      </w:pPr>
      <w:r>
        <w:t>Formes et Dosages : Gélule à libération prolongée 37,5 mg, boîte de 30 ; Gélule à libération prolongée 75 mg, boîte de 30</w:t>
      </w:r>
    </w:p>
    <w:p>
      <w:pPr>
        <w:pStyle w:val="ListBullet"/>
      </w:pPr>
      <w:r>
        <w:t>Statut : Actif</w:t>
      </w:r>
    </w:p>
    <w:p>
      <w:pPr>
        <w:pStyle w:val="ListBullet"/>
      </w:pPr>
      <w:r/>
      <w:r>
        <w:rPr>
          <w:b/>
        </w:rPr>
        <w:t>TEDEMA LP</w:t>
      </w:r>
      <w:r>
        <w:t xml:space="preserve"> (INPHA-MEDIS)</w:t>
      </w:r>
    </w:p>
    <w:p>
      <w:pPr>
        <w:pStyle w:val="ListBullet"/>
      </w:pPr>
      <w:r>
        <w:t>Formes et Dosages : Microgranules en gélule à libération prolongée 37,5 mg, boîte de 30</w:t>
      </w:r>
    </w:p>
    <w:p>
      <w:pPr>
        <w:pStyle w:val="ListBullet"/>
      </w:pPr>
      <w:r>
        <w:t>Statut : Actif</w:t>
      </w:r>
    </w:p>
    <w:p>
      <w:pPr>
        <w:pStyle w:val="ListBullet"/>
      </w:pPr>
      <w:r/>
      <w:r>
        <w:rPr>
          <w:b/>
        </w:rPr>
        <w:t>VENFAX</w:t>
      </w:r>
      <w:r>
        <w:t xml:space="preserve"> (BIOPHARM)</w:t>
      </w:r>
    </w:p>
    <w:p>
      <w:pPr>
        <w:pStyle w:val="ListBullet"/>
      </w:pPr>
      <w:r>
        <w:t>Formes et Dosages : Gélule à micro-granules à libération prolongée 37,5 mg, boîte de 30</w:t>
      </w:r>
    </w:p>
    <w:p>
      <w:pPr>
        <w:pStyle w:val="ListBullet"/>
      </w:pPr>
      <w:r>
        <w:t>Statut : Actif</w:t>
      </w:r>
    </w:p>
    <w:p>
      <w:pPr>
        <w:pStyle w:val="ListBullet"/>
      </w:pPr>
      <w:r/>
      <w:r>
        <w:rPr>
          <w:b/>
        </w:rPr>
        <w:t>VENLAFAXINE GEBER</w:t>
      </w:r>
      <w:r>
        <w:t xml:space="preserve"> (GEBERHEALTH)</w:t>
      </w:r>
    </w:p>
    <w:p>
      <w:pPr>
        <w:pStyle w:val="ListBullet"/>
      </w:pPr>
      <w:r>
        <w:t>Formes et Dosages : Gélule à libération prolongée 37,5 mg, boîte de 30 ; Gélule à libération prolongée 75 mg, boîte de 30</w:t>
      </w:r>
    </w:p>
    <w:p>
      <w:pPr>
        <w:pStyle w:val="ListBullet"/>
      </w:pPr>
      <w:r>
        <w:t>Statut : Actif</w:t>
      </w:r>
    </w:p>
    <w:p>
      <w:pPr>
        <w:pStyle w:val="ListBullet"/>
      </w:pPr>
      <w:r/>
      <w:r>
        <w:rPr>
          <w:b/>
        </w:rPr>
        <w:t>VENLAXOR LP</w:t>
      </w:r>
      <w:r>
        <w:t xml:space="preserve"> (FRATER-RAZES FORME SECHE)</w:t>
      </w:r>
    </w:p>
    <w:p>
      <w:pPr>
        <w:pStyle w:val="ListBullet"/>
      </w:pPr>
      <w:r>
        <w:t>Formes et Dosages : Gélule à libération prolongée 37,5 mg, boîte de 30 ; Gélule à libération prolongée 75 mg, boîte de 30</w:t>
      </w:r>
    </w:p>
    <w:p>
      <w:pPr>
        <w:pStyle w:val="ListBullet"/>
      </w:pPr>
      <w:r>
        <w:t>Statut : Actif</w:t>
      </w:r>
    </w:p>
    <w:p>
      <w:pPr>
        <w:pStyle w:val="ListBullet"/>
      </w:pPr>
      <w:r/>
      <w:r>
        <w:rPr>
          <w:b/>
        </w:rPr>
        <w:t>VENEXOR</w:t>
      </w:r>
      <w:r>
        <w:t xml:space="preserve"> (UNITED PHARMACEUTICAL MANUFACTURING — UPM)</w:t>
      </w:r>
    </w:p>
    <w:p>
      <w:pPr>
        <w:pStyle w:val="ListBullet"/>
      </w:pPr>
      <w:r>
        <w:t>Formes et Dosages : Comprimé 37,5 mg</w:t>
      </w:r>
      <w:r>
        <w:rPr>
          <w:b/>
        </w:rPr>
        <w:t>, boîte de 30 ; Comprimé 75 mg</w:t>
      </w:r>
      <w:r>
        <w:t>, boîte de 30</w:t>
      </w:r>
    </w:p>
    <w:p>
      <w:pPr>
        <w:pStyle w:val="ListBullet"/>
      </w:pPr>
      <w:r>
        <w:t>Statut : Actif</w:t>
      </w:r>
    </w:p>
    <w:p>
      <w:pPr>
        <w:pStyle w:val="ListBullet"/>
      </w:pPr>
      <w:r/>
      <w:r>
        <w:rPr>
          <w:b/>
        </w:rPr>
        <w:t>EFFEXOR LP</w:t>
      </w:r>
      <w:r>
        <w:t xml:space="preserve"> (WYETH PHARMACEUTICALS)</w:t>
      </w:r>
    </w:p>
    <w:p>
      <w:pPr>
        <w:pStyle w:val="ListBullet"/>
      </w:pPr>
      <w:r>
        <w:t>Formes et Dosages : Gélules LP 37,5 mg, boîte de 30</w:t>
      </w:r>
    </w:p>
    <w:p>
      <w:pPr>
        <w:pStyle w:val="ListBullet"/>
      </w:pPr>
      <w:r>
        <w:t>Statut : Non Renouvelable</w:t>
      </w:r>
    </w:p>
    <w:p>
      <w:pPr>
        <w:pStyle w:val="ListBullet"/>
      </w:pPr>
      <w:r/>
      <w:r>
        <w:rPr>
          <w:b/>
        </w:rPr>
        <w:t>FLAXYNE</w:t>
      </w:r>
      <w:r>
        <w:t xml:space="preserve"> (PHARMALLIANCE)</w:t>
      </w:r>
    </w:p>
    <w:p>
      <w:pPr>
        <w:pStyle w:val="ListBullet"/>
      </w:pPr>
      <w:r>
        <w:t>Formes et Dosages : Gélules LP 37,5 mg et 75 mg, boîte de 30</w:t>
      </w:r>
    </w:p>
    <w:p>
      <w:pPr>
        <w:pStyle w:val="ListBullet"/>
      </w:pPr>
      <w:r>
        <w:t>Statut : Non Renouvelable</w:t>
      </w:r>
    </w:p>
    <w:p>
      <w:r/>
      <w:r>
        <w:rPr>
          <w:b/>
        </w:rPr>
        <w:t>Sous-classe et Mécanisme d'action :</w:t>
      </w:r>
      <w:r/>
    </w:p>
    <w:p>
      <w:pPr>
        <w:pStyle w:val="ListBullet"/>
      </w:pPr>
      <w:r>
        <w:t>Sous-classe : IRSN de première génération, chef de file de la classe, dérivé phényléthylaminique.</w:t>
      </w:r>
    </w:p>
    <w:p>
      <w:pPr>
        <w:pStyle w:val="ListBullet"/>
      </w:pPr>
      <w:r>
        <w:t>Mécanisme d'action : inhibition dose-dépendante du transporteur SERT à faible dose (prédominance sérotoninergique ≤75 mg/j), addition de l'inhibition du transporteur NET à doses plus élevées (≥150 mg/j), sans affinité significative pour les récepteurs α1, α2, H1, muscariniques ou dopaminergiques. La O-desméthylvenlafaxine (ODV), métabolite actif principal (conversion via CYP2D6), possède une activité pharmacologique équivalente à la molécule mère. Demi-vie d'élimination : 5 heures pour la venlafaxine (forme IR), 11 heures pour la forme LP, 11 heures pour l'ODV.</w:t>
      </w:r>
    </w:p>
    <w:p>
      <w:r/>
      <w:r>
        <w:rPr>
          <w:b/>
        </w:rPr>
        <w:t>Profil Pharmacologique :</w:t>
      </w:r>
      <w:r/>
    </w:p>
    <w:p>
      <w:pPr>
        <w:pStyle w:val="ListBullet"/>
      </w:pPr>
      <w:r>
        <w:t>Indications : épisode dépressif majeur (modéré à sévère), prévention des récidives dépressives, trouble anxieux généralisé (TAG), trouble panique, phobie sociale (AMM européenne). En Algérie, indication essentiellement dépression résistante aux IRS et trouble anxieux généralisé résistant.</w:t>
      </w:r>
    </w:p>
    <w:p>
      <w:pPr>
        <w:pStyle w:val="ListBullet"/>
      </w:pPr>
      <w:r>
        <w:t>Contre-indications : hypersensibilité, association aux IMAO (washout 14 jours), association simultanée avec linézolide, hypertension artérielle non contrôlée (CI relative — risque d'aggravation), insuffisance hépatique sévère (CI relative), instabilité cardiaque récente (infarctus, angor instable). Précautions : sujet âgé, insuffisance rénale (adaptation posologique), épilepsie, antécédents de manie, sujet &lt;25 ans (risque suicidaire transitoire), risque de glaucome à angle fermé (légère mydriase).</w:t>
      </w:r>
    </w:p>
    <w:p>
      <w:pPr>
        <w:pStyle w:val="ListBullet"/>
      </w:pPr>
      <w:r>
        <w:t xml:space="preserve">Effets Indésirables : nausées (très fréquentes, 30-40%, plus marquées qu'avec les IRS purs en raison de la double action), vomissements, sécheresse buccale, constipation, insomnie ou somnolence, céphalées, vertiges, asthénie, hypersudation (particulièrement nocturne), dysfonction sexuelle (40%, anorgasmie, baisse de libido), </w:t>
      </w:r>
      <w:r>
        <w:rPr>
          <w:b/>
        </w:rPr>
        <w:t>hypertension artérielle dose-dépendante</w:t>
      </w:r>
      <w:r>
        <w:t xml:space="preserve"> (à surveiller à partir de 150 mg/j — incidence 5-10% à 300 mg/j, 13% à 375 mg/j), hyponatrémie par SIADH (sujet âgé), allongement modéré du QTc, mydriase (risque de crise de glaucome aigu chez patient prédisposé), </w:t>
      </w:r>
      <w:r>
        <w:rPr>
          <w:b/>
        </w:rPr>
        <w:t>syndrome de sevrage à l'arrêt brutal</w:t>
      </w:r>
      <w:r>
        <w:t xml:space="preserve"> (particulièrement marqué en raison de la courte demi-vie — vertiges, nausées, sensations de choc électrique, anxiété rebond, insomnie — survient dans 35-50% des arrêts brutaux), augmentation transitoire du risque suicidaire en début de traitement chez le sujet &lt;25 ans.</w:t>
      </w:r>
    </w:p>
    <w:p>
      <w:r/>
      <w:r>
        <w:rPr>
          <w:b/>
        </w:rPr>
        <w:t>Prévention et Gestion des Effets Indésirables :</w:t>
      </w:r>
      <w:r/>
    </w:p>
    <w:p>
      <w:pPr>
        <w:pStyle w:val="ListBullet"/>
      </w:pPr>
      <w:r>
        <w:t xml:space="preserve">Mesures Préventives : initiation à 37,5 mg/jour (forme LP) pendant 4-7 jours puis augmentation à 75 mg/j ; prise au cours d'un repas pour réduire l'intolérance digestive ; </w:t>
      </w:r>
      <w:r>
        <w:rPr>
          <w:b/>
        </w:rPr>
        <w:t>surveillance de la pression artérielle à l'instauration, à chaque augmentation de dose et à 1 mois de dose stable</w:t>
      </w:r>
      <w:r>
        <w:t xml:space="preserve"> — arrêt ou réduction si PAS &gt;140 mmHg ou PAD &gt;90 mmHg persistantes ; surveillance natrémie chez le sujet &gt;65 ans ; bilan ECG si dose &gt;225 mg/j ou patient cardiaque ; consultation rapprochée chez l'adolescent et le jeune adulte.</w:t>
      </w:r>
    </w:p>
    <w:p>
      <w:pPr>
        <w:pStyle w:val="ListBullet"/>
      </w:pPr>
      <w:r>
        <w:t>Conduite à Tenir : en cas de syndrome sérotoninergique, arrêt immédiat et urgence ; en cas d'hyponatrémie &lt;130 mmol/L, arrêt et bilan ; en cas d'hypertension artérielle persistante, arrêt ou réduction de la dose et switch vers un autre antidépresseur (IRS de préférence) ; arrêt progressif par paliers de 37,5 mg par semaine minimum sur 4-8 semaines (voire plus lent en raison du syndrome de sevrage marqué) ; en cas d'apparition d'un syndrome de sevrage sévère, reprise temporaire de la dernière dose et sevrage beaucoup plus lent par gélule LP ouverte et microgranules divisés.</w:t>
      </w:r>
    </w:p>
    <w:p>
      <w:r/>
      <w:r>
        <w:rPr>
          <w:b/>
        </w:rPr>
        <w:t>Interactions Importantes :</w:t>
      </w:r>
      <w:r/>
    </w:p>
    <w:p>
      <w:pPr>
        <w:pStyle w:val="ListBullet"/>
      </w:pPr>
      <w:r/>
      <w:r>
        <w:rPr>
          <w:b/>
        </w:rPr>
        <w:t>Venlafaxine + IMAO</w:t>
      </w:r>
      <w:r>
        <w:t xml:space="preserve"> : CI ABSOLUE — syndrome sérotoninergique. Washout 14 jours entre IMAO et venlafaxine ; 7 jours entre venlafaxine et IMAO.</w:t>
      </w:r>
    </w:p>
    <w:p>
      <w:pPr>
        <w:pStyle w:val="ListBullet"/>
      </w:pPr>
      <w:r/>
      <w:r>
        <w:rPr>
          <w:b/>
        </w:rPr>
        <w:t>Venlafaxine + Tramadol / Péthidine / Fentanyl / Dextrométhorphane</w:t>
      </w:r>
      <w:r>
        <w:t xml:space="preserve"> : risque majeur de syndrome sérotoninergique.</w:t>
      </w:r>
    </w:p>
    <w:p>
      <w:pPr>
        <w:pStyle w:val="ListBullet"/>
      </w:pPr>
      <w:r/>
      <w:r>
        <w:rPr>
          <w:b/>
        </w:rPr>
        <w:t>Venlafaxine + Triptans</w:t>
      </w:r>
      <w:r>
        <w:t xml:space="preserve"> : surveillance clinique renforcée.</w:t>
      </w:r>
    </w:p>
    <w:p>
      <w:pPr>
        <w:pStyle w:val="ListBullet"/>
      </w:pPr>
      <w:r/>
      <w:r>
        <w:rPr>
          <w:b/>
        </w:rPr>
        <w:t>Venlafaxine + AINS / Anticoagulants oraux</w:t>
      </w:r>
      <w:r>
        <w:t xml:space="preserve"> : majoration du risque hémorragique.</w:t>
      </w:r>
    </w:p>
    <w:p>
      <w:pPr>
        <w:pStyle w:val="ListBullet"/>
      </w:pPr>
      <w:r/>
      <w:r>
        <w:rPr>
          <w:b/>
        </w:rPr>
        <w:t>Venlafaxine + Inhibiteurs du CYP2D6</w:t>
      </w:r>
      <w:r>
        <w:t xml:space="preserve"> (paroxétine, fluoxétine, quinidine, diphenhydramine) : augmentation des concentrations de venlafaxine et réduction de l'ODV — surveillance clinique.</w:t>
      </w:r>
    </w:p>
    <w:p>
      <w:pPr>
        <w:pStyle w:val="ListBullet"/>
      </w:pPr>
      <w:r/>
      <w:r>
        <w:rPr>
          <w:b/>
        </w:rPr>
        <w:t>Venlafaxine + Antihypertenseurs</w:t>
      </w:r>
      <w:r>
        <w:t xml:space="preserve"> : la venlafaxine peut atténuer l'effet antihypertenseur (effet noradrénergique). Surveillance TA.</w:t>
      </w:r>
    </w:p>
    <w:p>
      <w:pPr>
        <w:pStyle w:val="ListBullet"/>
      </w:pPr>
      <w:r/>
      <w:r>
        <w:rPr>
          <w:b/>
        </w:rPr>
        <w:t>Venlafaxine + Médicaments allongeant le QT</w:t>
      </w:r>
      <w:r>
        <w:t xml:space="preserve"> : surveillance ECG.</w:t>
      </w:r>
    </w:p>
    <w:p>
      <w:r/>
      <w:r>
        <w:rPr>
          <w:b/>
        </w:rPr>
        <w:t>Grossesse et Allaitement :</w:t>
      </w:r>
      <w:r/>
    </w:p>
    <w:p>
      <w:pPr>
        <w:pStyle w:val="ListBullet"/>
      </w:pPr>
      <w:r>
        <w:t xml:space="preserve">Grossesse : la venlafaxine est utilisable en cours de grossesse selon le CRAT (pas de tératogénicité prouvée), mais la </w:t>
      </w:r>
      <w:r>
        <w:rPr>
          <w:b/>
        </w:rPr>
        <w:t>sertraline reste préférée</w:t>
      </w:r>
      <w:r>
        <w:t xml:space="preserve"> en première intention en raison du recul plus important. Risque d'adaptation néonatale au 3e trimestre (30%, potentiellement plus marqué qu'avec les IRS en raison de la courte demi-vie). Légère augmentation du risque d'HTAPN. À noter : la venlafaxine peut entraîner une </w:t>
      </w:r>
      <w:r>
        <w:rPr>
          <w:b/>
        </w:rPr>
        <w:t>hypertension maternelle</w:t>
      </w:r>
      <w:r>
        <w:t xml:space="preserve"> à doses élevées pendant la grossesse, à surveiller.</w:t>
      </w:r>
    </w:p>
    <w:p>
      <w:pPr>
        <w:pStyle w:val="ListBullet"/>
      </w:pPr>
      <w:r>
        <w:t>Allaitement : la venlafaxine et son métabolite ODV passent dans le lait maternel avec un rapport lait/plasma élevé (~3-4 pour l'ODV). Concentrations détectables chez le nourrisson. À éviter selon le CRAT, ou utiliser avec surveillance clinique étroite du nourrisson (sommeil, prise de poids). Préférer sertraline ou paroxétine.</w:t>
      </w:r>
    </w:p>
    <w:p>
      <w:pPr>
        <w:pStyle w:val="ListBullet"/>
      </w:pPr>
      <w:r>
        <w:t>Précisions : si une femme est déjà bien équilibrée sous venlafaxine et découvre une grossesse, le maintien est possible si le bénéfice attendu l'emporte ; ne jamais arrêter brutalement (risque de syndrome de sevrage maternel et fœtal).</w:t>
      </w:r>
    </w:p>
    <w:p>
      <w:r/>
      <w:r>
        <w:rPr>
          <w:b/>
        </w:rPr>
        <w:t>Posologie et Mode d'administration (Standard) :</w:t>
      </w:r>
      <w:r/>
    </w:p>
    <w:p>
      <w:pPr>
        <w:pStyle w:val="ListBullet"/>
      </w:pPr>
      <w:r>
        <w:t>Adulte : dépression — initialement 37,5 mg/jour (forme LP) pendant 4-7 jours puis 75 mg/jour, en une prise unique le matin ; augmentation par paliers de 37,5-75 mg toutes les 2 semaines selon réponse et tolérance, dose usuelle 75-150 mg/j, dose maximale 375 mg/j (en pratique, rarement &gt;225 mg/j en ville). TAG : 75 mg/j initial, 75-225 mg/j. Trouble panique : initialement 37,5 mg/jour (réduction de l'activation anxiogène initiale), 75-225 mg/j d'entretien.</w:t>
      </w:r>
    </w:p>
    <w:p>
      <w:pPr>
        <w:pStyle w:val="ListBullet"/>
      </w:pPr>
      <w:r>
        <w:t>Sujet âgé : dose initiale réduite à 37,5 mg/jour, augmentation très progressive par paliers de 37,5 mg, dose maximale 225 mg/j.</w:t>
      </w:r>
    </w:p>
    <w:p>
      <w:pPr>
        <w:pStyle w:val="ListBullet"/>
      </w:pPr>
      <w:r>
        <w:t>Insuffisance hépatique modérée : réduire la dose de 50%. Insuffisance hépatique sévère : réduire la dose de 75% ou éviter.</w:t>
      </w:r>
    </w:p>
    <w:p>
      <w:pPr>
        <w:pStyle w:val="ListBullet"/>
      </w:pPr>
      <w:r>
        <w:t>Insuffisance rénale modérée (clairance 30-89 ml/min) : réduire la dose de 25-50%. Insuffisance rénale sévère (clairance &lt;30 ml/min) : réduire la dose de 50%.</w:t>
      </w:r>
    </w:p>
    <w:p>
      <w:pPr>
        <w:pStyle w:val="ListBullet"/>
      </w:pPr>
      <w:r>
        <w:t>Hémodialyse : dose après chaque séance.</w:t>
      </w:r>
    </w:p>
    <w:p>
      <w:pPr>
        <w:pStyle w:val="ListBullet"/>
      </w:pPr>
      <w:r>
        <w:t>Durée : épisode dépressif : 6 mois minimum après rémission complète ; prévention des récidives : au long cours (2-5 ans après 2-3 épisodes).</w:t>
      </w:r>
    </w:p>
    <w:p>
      <w:pPr>
        <w:pStyle w:val="ListBullet"/>
      </w:pPr>
      <w:r>
        <w:t>Moment de la prise : le matin (préférentiellement au petit-déjeuner en cas de nausées).</w:t>
      </w:r>
    </w:p>
    <w:p>
      <w:r/>
      <w:r>
        <w:rPr>
          <w:b/>
        </w:rPr>
        <w:t>Arbitrage et Bénéfices des Formes Galéniques :</w:t>
      </w:r>
      <w:r/>
    </w:p>
    <w:p>
      <w:pPr>
        <w:pStyle w:val="ListBullet"/>
      </w:pPr>
      <w:r/>
      <w:r>
        <w:rPr>
          <w:b/>
        </w:rPr>
        <w:t>Gélule à libération prolongée 37,5 mg et 75 mg</w:t>
      </w:r>
      <w:r>
        <w:t xml:space="preserve"> (Avisine, Effexor LP NR, Flaxyne NR, Tedema LP, Venfax, Venlafaxine Geber, Venlaxor LP) : forme standard de prescription en ville, en une prise quotidienne. La gélule LP contient des microgranules enrobés qui libèrent la venlafaxine de façon prolongée sur 12 heures. La gélule peut être ouverte et les microgranules saupoudrés sur un aliment semi-liquide pour l'administration par sonde ou chez le patient incapable de déglutir (sans croquer ni mâcher les microgranules). Cette technique officinale est particulièrement utile pour les paliers de sevrage très progressifs (comptage des microgranules).</w:t>
      </w:r>
    </w:p>
    <w:p>
      <w:pPr>
        <w:pStyle w:val="ListBullet"/>
      </w:pPr>
      <w:r/>
      <w:r>
        <w:rPr>
          <w:b/>
        </w:rPr>
        <w:t>Comprimé 37,5 mg et 75 mg (Venexor — UPM)</w:t>
      </w:r>
      <w:r>
        <w:t xml:space="preserve"> : forme non LP (immediate-release), à prendre en deux prises par jour (matin et soir). Adaptée aux patients présentant des effets indésirables marqués avec la forme LP (sédation excessive, nausées persistantes) ou nécessitant une titration très fine.</w:t>
      </w:r>
    </w:p>
    <w:p>
      <w:pPr>
        <w:pStyle w:val="ListBullet"/>
      </w:pPr>
      <w:r/>
      <w:r>
        <w:rPr>
          <w:b/>
        </w:rPr>
        <w:t>Formes non renouvelables (Effexor LP®, Flaxyne®)</w:t>
      </w:r>
      <w:r>
        <w:t xml:space="preserve"> : marques historiques, encore présentes dans les stocks résiduels. Privilégier les formes actives génériques locales (Avisine, Tedema LP, Venfax, Venlafaxine Geber, Venlaxor LP).</w:t>
      </w:r>
    </w:p>
    <w:p>
      <w:pPr>
        <w:pStyle w:val="ListBullet"/>
      </w:pPr>
      <w:r>
        <w:t>Arbitrage : la forme LP en une prise quotidienne est à privilégier pour l'observance et la tolérance digestive. La technique d'ouverture des gélules LP pour compter les microgranules est très utile pour les paliers de sevrage extrêmement lents chez les patients présentant un syndrome de sevrage sévère.</w:t>
      </w:r>
    </w:p>
    <w:p>
      <w:r/>
      <w:r>
        <w:rPr>
          <w:b/>
        </w:rPr>
        <w:t>Instructions et Conseils au Patient :</w:t>
      </w:r>
      <w:r/>
    </w:p>
    <w:p>
      <w:pPr>
        <w:pStyle w:val="ListBullet"/>
      </w:pPr>
      <w:r>
        <w:t xml:space="preserve">Communication au comptoir : « Ce médicament est un antidépresseur de la famille des IRSN, agissant sur la sérotonine et la noradrénaline. Prenez-le le matin, à heure fixe, avec ou sans nourriture. Il met 2 à 4 semaines pour faire effet. Les nausées et céphalées des premiers jours sont normales et passagères. </w:t>
      </w:r>
      <w:r>
        <w:rPr>
          <w:b/>
        </w:rPr>
        <w:t>Ne l'arrêtez surtout pas brutalement</w:t>
      </w:r>
      <w:r>
        <w:t xml:space="preserve"> : vous risquez des vertiges, des sensations de choc électrique, des nausées et une anxiété forte. L'arrêt doit se faire progressivement, sous suivi médical, sur plusieurs semaines. Surveillez votre tension artérielle, surtout si la dose augmente. Évitez l'alcool et prévenez votre pharmacien de tous les autres médicaments que vous prenez. »</w:t>
      </w:r>
    </w:p>
    <w:p>
      <w:pPr>
        <w:pStyle w:val="ListBullet"/>
      </w:pPr>
      <w:r>
        <w:t>Mode d'utilisation pratique : prise matinale stricte à heure fixe ; tenir un journal de l'humeur et un carnet de tension artérielle ; ne pas interrompre en cas d'oubli isolé ; surveillance du poids, de l'humeur et de la TA ; consultations psychiatriques rapprochées en début de traitement ; prévenir le dentiste et l'anesthésiste en cas d'intervention.</w:t>
      </w:r>
    </w:p>
    <w:p>
      <w:r/>
      <w:r>
        <w:rPr>
          <w:b/>
        </w:rPr>
        <w:t>Notes, Règles d'Or &amp; Pièges au Comptoir :</w:t>
      </w:r>
      <w:r/>
    </w:p>
    <w:p>
      <w:pPr>
        <w:pStyle w:val="ListBullet"/>
      </w:pPr>
      <w:r>
        <w:t xml:space="preserve">Piège classique n°1 : le </w:t>
      </w:r>
      <w:r>
        <w:rPr>
          <w:b/>
        </w:rPr>
        <w:t>syndrome de sevrage de la venlafaxine</w:t>
      </w:r>
      <w:r>
        <w:t xml:space="preserve"> est l'un des plus marqués de tous les antidépresseurs (avec la paroxétine), en raison de sa courte demi-vie et de l'absence de métabolite actif à longue demi-vie. Toujours expliquer au patient l'importance de ne JAMAIS arrêter brutalement et prévoir un schéma de sevrage par paliers de 37,5 mg par semaine minimum sur 4-8 semaines, voire plus lent.</w:t>
      </w:r>
    </w:p>
    <w:p>
      <w:pPr>
        <w:pStyle w:val="ListBullet"/>
      </w:pPr>
      <w:r>
        <w:t xml:space="preserve">Piège classique n°2 : la </w:t>
      </w:r>
      <w:r>
        <w:rPr>
          <w:b/>
        </w:rPr>
        <w:t>surveillance de la pression artérielle</w:t>
      </w:r>
      <w:r>
        <w:t xml:space="preserve"> est obligatoire à partir de 150 mg/j. La venlafaxine peut induire ou aggraver une hypertension artérielle de façon dose-dépendante (par inhibition de NET au niveau des terminaisons sympathiques). En cas de TA mal contrôlée, envisager le switch vers un IRS ou la duloxétine.</w:t>
      </w:r>
    </w:p>
    <w:p>
      <w:pPr>
        <w:pStyle w:val="ListBullet"/>
      </w:pPr>
      <w:r>
        <w:t xml:space="preserve">Piège classique n°3 : la venlafaxine doit être </w:t>
      </w:r>
      <w:r>
        <w:rPr>
          <w:b/>
        </w:rPr>
        <w:t>utilisée avec prudence chez l'hypertendu non équilibré</w:t>
      </w:r>
      <w:r>
        <w:t>. Vérifier systématiquement la tension avant instauration et à chaque palier.</w:t>
      </w:r>
    </w:p>
    <w:p>
      <w:pPr>
        <w:pStyle w:val="ListBullet"/>
      </w:pPr>
      <w:r>
        <w:t>Règle de prise : matin, à heure fixe, gélule LP en une prise unique (ne pas croquer).</w:t>
      </w:r>
    </w:p>
    <w:p>
      <w:pPr>
        <w:pStyle w:val="ListBullet"/>
      </w:pPr>
      <w:r>
        <w:t>Préparation et Conservation : conserver à température &lt;25°C, à l'abri de l'humidité et de la lumière.</w:t>
      </w:r>
    </w:p>
    <w:p>
      <w:pPr>
        <w:pStyle w:val="ListBullet"/>
      </w:pPr>
      <w:r>
        <w:t>Piège du surdosage / Substitution : le surdosage en venlafaxine peut entraîner syndrome sérotoninergique, convulsions, allongement du QTc, dépression respiratoire — surveillance ECG et neurologique en unité de soins intensifs. Lors de substitution entre marques actives, vérifier l'équivalence de dosage (gélule LP 37,5 mg ou 75 mg identique d'une marque à l'autre) et expliquer au patient la substitution générique.</w:t>
      </w:r>
    </w:p>
    <w:p>
      <w:pPr>
        <w:pStyle w:val="Heading3"/>
      </w:pPr>
      <w:r>
        <w:t>8. DCI : Duloxétine — usage psychiatrique (Seule)</w:t>
      </w:r>
    </w:p>
    <w:p>
      <w:r/>
      <w:r>
        <w:rPr>
          <w:b/>
        </w:rPr>
        <w:t>Liste des Catégories :</w:t>
      </w:r>
      <w:r>
        <w:t xml:space="preserve"> Antidépresseurs — Inhibiteurs Recapture Sérotonine-Noradrénaline (IRSN) ; Liste I.</w:t>
      </w:r>
    </w:p>
    <w:p>
      <w:r>
        <w:t xml:space="preserve">La duloxétine, commercialisée sous le nom de Cymbalta® (Eli Lilly) depuis 2004, est l'IRSN de deuxième génération, caractérisée par une </w:t>
      </w:r>
      <w:r>
        <w:rPr>
          <w:b/>
        </w:rPr>
        <w:t>affinité équilibrée pour SERT et NET dès les doses thérapeutiques</w:t>
      </w:r>
      <w:r>
        <w:t xml:space="preserve"> (contrairement à la venlafaxine qui est sélective SERT à faible dose). Cette double action d'emblée lui confère un intérêt particulier dans les dépressions avec composante douloureuse, les douleurs neuropathiques et la fibromyalgie. La duloxétine est métabolisée par CYP1A2 et CYP2D6 en métabolites inactifs, et présente une </w:t>
      </w:r>
      <w:r>
        <w:rPr>
          <w:b/>
        </w:rPr>
        <w:t>demi-vie d'environ 12 heures</w:t>
      </w:r>
      <w:r>
        <w:t xml:space="preserve"> (justifiant une prise biquotidienne théorique, mais la formulation gastro-résistante à microgranules permet une seule prise quotidienne). Son profil de tolérance diffère de la venlafaxine par une </w:t>
      </w:r>
      <w:r>
        <w:rPr>
          <w:b/>
        </w:rPr>
        <w:t>moindre incidence d'hypertension artérielle</w:t>
      </w:r>
      <w:r>
        <w:t xml:space="preserve"> et par une </w:t>
      </w:r>
      <w:r>
        <w:rPr>
          <w:b/>
        </w:rPr>
        <w:t>hépatotoxicité rare mais grave</w:t>
      </w:r>
      <w:r>
        <w:t xml:space="preserve"> (surveillance de la fonction hépatique). Cette fiche se concentre sur l'usage psychiatrique de la duloxétine ; son usage dans la douleur neuropathique est abordé dans le Fascicule dédié à l'Analgésie.</w:t>
      </w:r>
    </w:p>
    <w:p>
      <w:r/>
      <w:r>
        <w:rPr>
          <w:b/>
        </w:rPr>
        <w:t>Médicaments disponibles en Algérie (Marques, Laboratoires, Formes et Dosages) :</w:t>
      </w:r>
      <w:r/>
    </w:p>
    <w:p>
      <w:pPr>
        <w:pStyle w:val="ListBullet"/>
      </w:pPr>
      <w:r/>
      <w:r>
        <w:rPr>
          <w:b/>
        </w:rPr>
        <w:t>BALTAXINE</w:t>
      </w:r>
      <w:r>
        <w:t xml:space="preserve"> (EL KENDI INDUSTRIE DU MEDICAMENT)</w:t>
      </w:r>
    </w:p>
    <w:p>
      <w:pPr>
        <w:pStyle w:val="ListBullet"/>
      </w:pPr>
      <w:r>
        <w:t>Formes et Dosages : Gélule gastro-résistante 30 mg, pilulier de 30 ; Microgranules gastro-résistants en gélule 60 mg, pilulier de 30</w:t>
      </w:r>
    </w:p>
    <w:p>
      <w:pPr>
        <w:pStyle w:val="ListBullet"/>
      </w:pPr>
      <w:r>
        <w:t>Statut : Actif</w:t>
      </w:r>
    </w:p>
    <w:p>
      <w:pPr>
        <w:pStyle w:val="ListBullet"/>
      </w:pPr>
      <w:r/>
      <w:r>
        <w:rPr>
          <w:b/>
        </w:rPr>
        <w:t>CYMBALTA</w:t>
      </w:r>
      <w:r>
        <w:t xml:space="preserve"> (ELI LILLY NEDERLAND B.V.)</w:t>
      </w:r>
    </w:p>
    <w:p>
      <w:pPr>
        <w:pStyle w:val="ListBullet"/>
      </w:pPr>
      <w:r>
        <w:t>Formes et Dosages : Gélule gastro-résistante 30 mg, boîte de 28 ; Gélule gastro-résistante 60 mg, boîte de 28</w:t>
      </w:r>
    </w:p>
    <w:p>
      <w:pPr>
        <w:pStyle w:val="ListBullet"/>
      </w:pPr>
      <w:r>
        <w:t>Statut : Actif</w:t>
      </w:r>
    </w:p>
    <w:p>
      <w:pPr>
        <w:pStyle w:val="ListBullet"/>
      </w:pPr>
      <w:r/>
      <w:r>
        <w:rPr>
          <w:b/>
        </w:rPr>
        <w:t>CYMOXETINE</w:t>
      </w:r>
      <w:r>
        <w:t xml:space="preserve"> (FRATER-RAZES FORME SECHE)</w:t>
      </w:r>
    </w:p>
    <w:p>
      <w:pPr>
        <w:pStyle w:val="ListBullet"/>
      </w:pPr>
      <w:r>
        <w:t>Formes et Dosages : Gélule gastro-résistante 30 mg, boîte de 30 ; Microgranules en gélule 60 mg, boîte de 30</w:t>
      </w:r>
    </w:p>
    <w:p>
      <w:pPr>
        <w:pStyle w:val="ListBullet"/>
      </w:pPr>
      <w:r>
        <w:t>Statut : Actif</w:t>
      </w:r>
    </w:p>
    <w:p>
      <w:pPr>
        <w:pStyle w:val="ListBullet"/>
      </w:pPr>
      <w:r/>
      <w:r>
        <w:rPr>
          <w:b/>
        </w:rPr>
        <w:t>DULOX</w:t>
      </w:r>
      <w:r>
        <w:t xml:space="preserve"> (HIKMA PHARMA ALGERIA)</w:t>
      </w:r>
    </w:p>
    <w:p>
      <w:pPr>
        <w:pStyle w:val="ListBullet"/>
      </w:pPr>
      <w:r>
        <w:t>Formes et Dosages : Microgranules en gélule 30 mg, pilulier de 30 ; Microgranules en gélule 60 mg, pilulier de 30</w:t>
      </w:r>
    </w:p>
    <w:p>
      <w:pPr>
        <w:pStyle w:val="ListBullet"/>
      </w:pPr>
      <w:r>
        <w:t>Statut : Actif</w:t>
      </w:r>
    </w:p>
    <w:p>
      <w:pPr>
        <w:pStyle w:val="ListBullet"/>
      </w:pPr>
      <w:r/>
      <w:r>
        <w:rPr>
          <w:b/>
        </w:rPr>
        <w:t>WYSERIN</w:t>
      </w:r>
      <w:r>
        <w:t xml:space="preserve"> (CHIMIE PHARMACIE COMMERCE MULTIPLE — CPCM)</w:t>
      </w:r>
    </w:p>
    <w:p>
      <w:pPr>
        <w:pStyle w:val="ListBullet"/>
      </w:pPr>
      <w:r>
        <w:t>Formes et Dosages : Microgranules en gélule 30 mg, boîte de 30 ; Microgranules en gélule à libération prolongée 60 mg, boîte de 30</w:t>
      </w:r>
    </w:p>
    <w:p>
      <w:pPr>
        <w:pStyle w:val="ListBullet"/>
      </w:pPr>
      <w:r>
        <w:t>Statut : Actif</w:t>
      </w:r>
    </w:p>
    <w:p>
      <w:pPr>
        <w:pStyle w:val="ListBullet"/>
      </w:pPr>
      <w:r/>
      <w:r>
        <w:rPr>
          <w:b/>
        </w:rPr>
        <w:t>CYACETINE</w:t>
      </w:r>
      <w:r>
        <w:t xml:space="preserve"> (PHARMALLIANCE)</w:t>
      </w:r>
    </w:p>
    <w:p>
      <w:pPr>
        <w:pStyle w:val="ListBullet"/>
      </w:pPr>
      <w:r>
        <w:t>Formes et Dosages : Gélule à micro-granules gastro-résistants 60 mg, boîte de 30</w:t>
      </w:r>
    </w:p>
    <w:p>
      <w:pPr>
        <w:pStyle w:val="ListBullet"/>
      </w:pPr>
      <w:r>
        <w:t>Statut : Actif</w:t>
      </w:r>
    </w:p>
    <w:p>
      <w:r/>
      <w:r>
        <w:rPr>
          <w:b/>
        </w:rPr>
        <w:t>Sous-classe et Mécanisme d'action :</w:t>
      </w:r>
      <w:r/>
    </w:p>
    <w:p>
      <w:pPr>
        <w:pStyle w:val="ListBullet"/>
      </w:pPr>
      <w:r>
        <w:t>Sous-classe : IRSN de deuxième génération, dérivé naphthyl-propanamine.</w:t>
      </w:r>
    </w:p>
    <w:p>
      <w:pPr>
        <w:pStyle w:val="ListBullet"/>
      </w:pPr>
      <w:r>
        <w:t>Mécanisme d'action : inhibition équilibrée et puissante des transporteurs SERT et NET dès les doses thérapeutiques (Ki SERT ≈ 0,8 nM, Ki NET ≈ 7,5 nM — rapport SERT/NET ≈ 10), sans affinité significative pour les récepteurs α1, α2, H1, muscariniques, dopaminergiques, 5-HT ou GABA. La duloxétine augmente donc simultanément la concentration synaptique de 5-HT et de NA, ce qui explique son efficacité dans la dépression et la douleur neuropathique (la NA joue un rôle clé dans la modulation descendante de la douleur via les voies inhibitrices descendantes issues du locus coeruleus). Métabolisme hépatique par CYP1A2 et CYP2D6 en métabolites inactifs. Demi-vie d'élimination : 8-17 heures (moyenne 12 h).</w:t>
      </w:r>
    </w:p>
    <w:p>
      <w:r/>
      <w:r>
        <w:rPr>
          <w:b/>
        </w:rPr>
        <w:t>Profil Pharmacologique :</w:t>
      </w:r>
      <w:r/>
    </w:p>
    <w:p>
      <w:pPr>
        <w:pStyle w:val="ListBullet"/>
      </w:pPr>
      <w:r>
        <w:t>Indications : épisode dépressif majeur, trouble anxieux généralisé (TAG), douleur neuropathique diabétique, fibromyalgie, douleurs musculo-squelettiques chroniques (lombalgie chronique), incontinence urinaire d'effort chez la femme (indication non psychiatrique). En Algérie, indications psychiatriques : dépression et TAG.</w:t>
      </w:r>
    </w:p>
    <w:p>
      <w:pPr>
        <w:pStyle w:val="ListBullet"/>
      </w:pPr>
      <w:r>
        <w:t>Contre-indications : hypersensibilité, association aux IMAO (washout 14 jours), insuffisance hépatique sévère (CI absolue — risque d'aggravation), association avec ciprofloxacine ou fluvoxamine (inhibiteurs puissants de CYP1A2 — CI relative), glaucome à angle fermé non contrôlé. Précautions : sujet âgé, épilepsie, antécédents de manie, sujet &lt;25 ans (risque suicidaire transitoire), consommation d'alcool (augmentation du risque hépatotoxique).</w:t>
      </w:r>
    </w:p>
    <w:p>
      <w:pPr>
        <w:pStyle w:val="ListBullet"/>
      </w:pPr>
      <w:r>
        <w:t xml:space="preserve">Effets Indésirables : nausées (très fréquentes, 25-30%, transitoires 1-2 semaines), sécheresse buccale, constipation, insomnie ou somnolence, céphalées, vertiges, asthénie, hypersudation, dysfonction sexuelle (30%, moins marquée qu'avec les IRS), </w:t>
      </w:r>
      <w:r>
        <w:rPr>
          <w:b/>
        </w:rPr>
        <w:t>hépatotoxicité rare mais grave</w:t>
      </w:r>
      <w:r>
        <w:t xml:space="preserve"> (élévation des transaminases, cas publiés d'hépatite médicamenteuse, d'insuffisance hépatique — surveillance AST/ALT à l'instauration et en cas de signes d'appel), hyponatrémie par SIADH (sujet âgé), allongement modéré du QTc, mydriase (risque de glaucome aigu), syndrome de sevrage à l'arrêt brutal (modéré, moins marqué qu'avec la venlafaxine en raison de la demi-vie un peu plus longue), augmentation transitoire du risque suicidaire en début de traitement chez le sujet &lt;25 ans.</w:t>
      </w:r>
    </w:p>
    <w:p>
      <w:r/>
      <w:r>
        <w:rPr>
          <w:b/>
        </w:rPr>
        <w:t>Prévention et Gestion des Effets Indésirables :</w:t>
      </w:r>
      <w:r/>
    </w:p>
    <w:p>
      <w:pPr>
        <w:pStyle w:val="ListBullet"/>
      </w:pPr>
      <w:r>
        <w:t xml:space="preserve">Mesures Préventives : initiation à 30 mg/jour (gélule gastro-résistante) pendant 7 jours puis augmentation à 60 mg/jour selon tolérance ; prise au cours d'un repas pour réduire l'intolérance digestive ; </w:t>
      </w:r>
      <w:r>
        <w:rPr>
          <w:b/>
        </w:rPr>
        <w:t>bilan hépatique (AST, ALT, bilirubine) à l'instauration et en cas de signes d'appel</w:t>
      </w:r>
      <w:r>
        <w:t xml:space="preserve"> (ictère, asthénie, douleur abdominale) ; surveillance natrémie chez le sujet &gt;65 ans ; surveillance ECG si patient cardiaque ; consultation rapprochée chez l'adolescent et le jeune adulte ; </w:t>
      </w:r>
      <w:r>
        <w:rPr>
          <w:b/>
        </w:rPr>
        <w:t>éviter la consommation d'alcool</w:t>
      </w:r>
      <w:r>
        <w:t xml:space="preserve"> (potentiation de l'hépatotoxicité).</w:t>
      </w:r>
    </w:p>
    <w:p>
      <w:pPr>
        <w:pStyle w:val="ListBullet"/>
      </w:pPr>
      <w:r>
        <w:t>Conduite à Tenir : en cas de syndrome sérotoninergique, arrêt immédiat ; en cas d'hyponatrémie &lt;130 mmol/L, arrêt et bilan ; en cas d'élévation des transaminases &gt;3x LSN, arrêt de la duloxétine et bilan hépatique étiologique ; arrêt progressif par paliers de 30 mg par semaine sur 4 semaines.</w:t>
      </w:r>
    </w:p>
    <w:p>
      <w:r/>
      <w:r>
        <w:rPr>
          <w:b/>
        </w:rPr>
        <w:t>Interactions Importantes :</w:t>
      </w:r>
      <w:r/>
    </w:p>
    <w:p>
      <w:pPr>
        <w:pStyle w:val="ListBullet"/>
      </w:pPr>
      <w:r/>
      <w:r>
        <w:rPr>
          <w:b/>
        </w:rPr>
        <w:t>Duloxétine + IMAO</w:t>
      </w:r>
      <w:r>
        <w:t xml:space="preserve"> : CI ABSOLUE. Washout 14 jours.</w:t>
      </w:r>
    </w:p>
    <w:p>
      <w:pPr>
        <w:pStyle w:val="ListBullet"/>
      </w:pPr>
      <w:r/>
      <w:r>
        <w:rPr>
          <w:b/>
        </w:rPr>
        <w:t>Duloxétine + Ciprofloxacine / Fluvoxamine / Énoxacine</w:t>
      </w:r>
      <w:r>
        <w:t xml:space="preserve"> (inhibiteurs puissants de CYP1A2) : CI relative ou éviter — augmentation massive des concentrations de duloxétine → risque de syndrome sérotoninergique et d'hépatotoxicité.</w:t>
      </w:r>
    </w:p>
    <w:p>
      <w:pPr>
        <w:pStyle w:val="ListBullet"/>
      </w:pPr>
      <w:r/>
      <w:r>
        <w:rPr>
          <w:b/>
        </w:rPr>
        <w:t>Duloxétine + Paroxétine / Fluoxétine / Quinidine</w:t>
      </w:r>
      <w:r>
        <w:t xml:space="preserve"> (inhibiteurs puissants de CYP2D6) : augmentation des concentrations de duloxétine — surveillance clinique.</w:t>
      </w:r>
    </w:p>
    <w:p>
      <w:pPr>
        <w:pStyle w:val="ListBullet"/>
      </w:pPr>
      <w:r/>
      <w:r>
        <w:rPr>
          <w:b/>
        </w:rPr>
        <w:t>Duloxétine + Tramadol / Triptans / Péthidine</w:t>
      </w:r>
      <w:r>
        <w:t xml:space="preserve"> : risque de syndrome sérotoninergique.</w:t>
      </w:r>
    </w:p>
    <w:p>
      <w:pPr>
        <w:pStyle w:val="ListBullet"/>
      </w:pPr>
      <w:r/>
      <w:r>
        <w:rPr>
          <w:b/>
        </w:rPr>
        <w:t>Duloxétine + AINS / Anticoagulants oraux</w:t>
      </w:r>
      <w:r>
        <w:t xml:space="preserve"> : majoration du risque hémorragique.</w:t>
      </w:r>
    </w:p>
    <w:p>
      <w:pPr>
        <w:pStyle w:val="ListBullet"/>
      </w:pPr>
      <w:r/>
      <w:r>
        <w:rPr>
          <w:b/>
        </w:rPr>
        <w:t>Duloxétine + Alcool</w:t>
      </w:r>
      <w:r>
        <w:t xml:space="preserve"> : potentialisation de l'hépatotoxicité. À éviter formellement.</w:t>
      </w:r>
    </w:p>
    <w:p>
      <w:pPr>
        <w:pStyle w:val="ListBullet"/>
      </w:pPr>
      <w:r/>
      <w:r>
        <w:rPr>
          <w:b/>
        </w:rPr>
        <w:t>Duloxétine + Médicaments allongeant le QT</w:t>
      </w:r>
      <w:r>
        <w:t xml:space="preserve"> : surveillance ECG.</w:t>
      </w:r>
    </w:p>
    <w:p>
      <w:r/>
      <w:r>
        <w:rPr>
          <w:b/>
        </w:rPr>
        <w:t>Grossesse et Allaitement :</w:t>
      </w:r>
      <w:r/>
    </w:p>
    <w:p>
      <w:pPr>
        <w:pStyle w:val="ListBullet"/>
      </w:pPr>
      <w:r>
        <w:t xml:space="preserve">Grossesse : la duloxétine est utilisable en cours de grossesse selon le CRAT (pas de tératogénicité prouvée), mais la </w:t>
      </w:r>
      <w:r>
        <w:rPr>
          <w:b/>
        </w:rPr>
        <w:t>sertraline reste préférée</w:t>
      </w:r>
      <w:r>
        <w:t>. Risque d'adaptation néonatale au 3e trimestre (30%). Légère augmentation du risque d'HTAPN.</w:t>
      </w:r>
    </w:p>
    <w:p>
      <w:pPr>
        <w:pStyle w:val="ListBullet"/>
      </w:pPr>
      <w:r>
        <w:t>Allaitement : la duloxétine passe dans le lait maternel en faible quantité (rapport lait/plasma ≈ 0,25), mais des concentrations détectables chez le nourrisson ont été rapportées. À éviter selon le CRAT en première intention, ou utiliser avec surveillance clinique étroite du nourrisson. Préférer sertraline ou paroxétine.</w:t>
      </w:r>
    </w:p>
    <w:p>
      <w:pPr>
        <w:pStyle w:val="ListBullet"/>
      </w:pPr>
      <w:r>
        <w:t>Précisions : si une femme est déjà bien équilibrée sous duloxétine et découvre une grossesse, le maintien est possible si le bénéfice attendu l'emporte ; ne jamais arrêter brutalement.</w:t>
      </w:r>
    </w:p>
    <w:p>
      <w:r/>
      <w:r>
        <w:rPr>
          <w:b/>
        </w:rPr>
        <w:t>Posologie et Mode d'administration (Standard) :</w:t>
      </w:r>
      <w:r/>
    </w:p>
    <w:p>
      <w:pPr>
        <w:pStyle w:val="ListBullet"/>
      </w:pPr>
      <w:r>
        <w:t>Adulte : dépression — initialement 30 mg/jour pendant 7 jours puis 60 mg/jour, en une prise unique le matin ; augmentation possible à 90 mg/jour puis 120 mg/jour selon réponse et tolérance, dose usuelle 60 mg/j, dose maximale 120 mg/j. TAG : 30 mg/j initial, 60-120 mg/j.</w:t>
      </w:r>
    </w:p>
    <w:p>
      <w:pPr>
        <w:pStyle w:val="ListBullet"/>
      </w:pPr>
      <w:r>
        <w:t>Sujet âgé : dose initiale 30 mg/jour, augmentation très progressive, dose usuelle 60 mg/j, dose maximale 90 mg/j.</w:t>
      </w:r>
    </w:p>
    <w:p>
      <w:pPr>
        <w:pStyle w:val="ListBullet"/>
      </w:pPr>
      <w:r>
        <w:t>Insuffisance hépatique sévère : CI absolue. Insuffisance hépatique modérée : éviter ou réduire la dose.</w:t>
      </w:r>
    </w:p>
    <w:p>
      <w:pPr>
        <w:pStyle w:val="ListBullet"/>
      </w:pPr>
      <w:r>
        <w:t>Insuffisance rénale sévère (clairance &lt;30 ml/min) : éviter.</w:t>
      </w:r>
    </w:p>
    <w:p>
      <w:pPr>
        <w:pStyle w:val="ListBullet"/>
      </w:pPr>
      <w:r>
        <w:t>Fumeur : la duloxétine est métabolisée par CYP1A2, lui-même inductible par le tabac — les concentrations de duloxétine peuvent être réduites chez le fumeur (&gt;10 cigarettes/j), nécessitant parfois une adaptation posologique.</w:t>
      </w:r>
    </w:p>
    <w:p>
      <w:pPr>
        <w:pStyle w:val="ListBullet"/>
      </w:pPr>
      <w:r>
        <w:t>Durée : épisode dépressif : 6 mois minimum après rémission complète ; prévention des récidives : au long cours (2-5 ans après 2-3 épisodes).</w:t>
      </w:r>
    </w:p>
    <w:p>
      <w:pPr>
        <w:pStyle w:val="ListBullet"/>
      </w:pPr>
      <w:r>
        <w:t>Moment de la prise : le matin (préférentiellement au petit-déjeuner en cas de nausées), en une prise unique.</w:t>
      </w:r>
    </w:p>
    <w:p>
      <w:r/>
      <w:r>
        <w:rPr>
          <w:b/>
        </w:rPr>
        <w:t>Arbitrage et Bénéfices des Formes Galéniques :</w:t>
      </w:r>
      <w:r/>
    </w:p>
    <w:p>
      <w:pPr>
        <w:pStyle w:val="ListBullet"/>
      </w:pPr>
      <w:r/>
      <w:r>
        <w:rPr>
          <w:b/>
        </w:rPr>
        <w:t>Gélule gastro-résistante 30 mg et 60 mg</w:t>
      </w:r>
      <w:r>
        <w:t xml:space="preserve"> (Baltaxine, Cymbalta, Cymoxetine, Dulox, Wyserin, Cyacetine) : forme standard de prescription en ville, en une prise quotidienne. La gélule contient des microgranules gastro-résistants (enrobage polymère résistant au pH gastrique, libération dans l'intestin grêle à pH &gt;5,5) qui protègent la duloxétine de la dégradation acide et réduisent l'intolérance digestive. La gélule peut être ouverte et les microgranules saupoudrés sur un aliment semi-liquide pour l'administration par sonde ou chez le patient incapable de déglutir (sans croquer ni mâcher les microgranules). Cette technique officinale est utile pour les paliers de sevrage très progressifs.</w:t>
      </w:r>
    </w:p>
    <w:p>
      <w:pPr>
        <w:pStyle w:val="ListBullet"/>
      </w:pPr>
      <w:r/>
      <w:r>
        <w:rPr>
          <w:b/>
        </w:rPr>
        <w:t>Microgranules en gélule LP 60 mg (Wyserin)</w:t>
      </w:r>
      <w:r>
        <w:t xml:space="preserve"> : formulation à libération prolongée, permettant une libération continue sur 24 heures — utile chez les patients présentant des effets indésirables marqués avec la forme gastro-résistante standard.</w:t>
      </w:r>
    </w:p>
    <w:p>
      <w:pPr>
        <w:pStyle w:val="ListBullet"/>
      </w:pPr>
      <w:r>
        <w:t>Arbitrage : la forme gastro-résistante est à privilégier pour l'observance et la tolérance digestive. La formulation LP est une option pour les patients intolérants à la forme standard.</w:t>
      </w:r>
    </w:p>
    <w:p>
      <w:r/>
      <w:r>
        <w:rPr>
          <w:b/>
        </w:rPr>
        <w:t>Instructions et Conseils au Patient :</w:t>
      </w:r>
      <w:r/>
    </w:p>
    <w:p>
      <w:pPr>
        <w:pStyle w:val="ListBullet"/>
      </w:pPr>
      <w:r>
        <w:t xml:space="preserve">Communication au comptoir : « Ce médicament est un antidépresseur de la famille des IRSN, agissant sur la sérotonine et la noradrénaline. Prenez-le le matin, à heure fixe, avec ou sans nourriture. </w:t>
      </w:r>
      <w:r>
        <w:rPr>
          <w:b/>
        </w:rPr>
        <w:t>Avalez la gélule entière, ne la croquez pas et n'en saupoudrez pas le contenu sur votre nourriture</w:t>
      </w:r>
      <w:r>
        <w:t xml:space="preserve"> sauf avis médical. Il met 2 à 4 semaines pour faire effet. Les nausées et céphalées des premiers jours sont normales et passagères. Ne l'arrêtez pas seul, le sevrage doit être progressif. </w:t>
      </w:r>
      <w:r>
        <w:rPr>
          <w:b/>
        </w:rPr>
        <w:t>Évitez l'alcool</w:t>
      </w:r>
      <w:r>
        <w:t xml:space="preserve"> (risque de toxicité hépatique). Prévenez votre pharmacien de tous les autres médicaments que vous prenez. »</w:t>
      </w:r>
    </w:p>
    <w:p>
      <w:pPr>
        <w:pStyle w:val="ListBullet"/>
      </w:pPr>
      <w:r>
        <w:t>Mode d'utilisation pratique : prise matinale stricte à heure fixe ; gélule à avaler entière avec un verre d'eau ; tenir un journal de l'humeur ; ne pas interrompre en cas d'oubli isolé ; surveillance du poids, de l'humeur et de la fonction hépatique (en cas d'asthénie, d'ictère, de douleur abdominale) ; consultations psychiatriques rapprochées en début de traitement ; prévenir tous les médecins consultés.</w:t>
      </w:r>
    </w:p>
    <w:p>
      <w:r/>
      <w:r>
        <w:rPr>
          <w:b/>
        </w:rPr>
        <w:t>Notes, Règles d'Or &amp; Pièges au Comptoir :</w:t>
      </w:r>
      <w:r/>
    </w:p>
    <w:p>
      <w:pPr>
        <w:pStyle w:val="ListBullet"/>
      </w:pPr>
      <w:r>
        <w:t xml:space="preserve">Piège classique n°1 : la </w:t>
      </w:r>
      <w:r>
        <w:rPr>
          <w:b/>
        </w:rPr>
        <w:t>duloxétine est contre-indiquée en cas d'insuffisance hépatique sévère</w:t>
      </w:r>
      <w:r>
        <w:t xml:space="preserve"> et en association avec les inhibiteurs puissants du CYP1A2 (ciprofloxacine, fluvoxamine, ésoméprazole à forte dose). Vérifier systématiquement la prescription chez le patient hépatique.</w:t>
      </w:r>
    </w:p>
    <w:p>
      <w:pPr>
        <w:pStyle w:val="ListBullet"/>
      </w:pPr>
      <w:r>
        <w:t xml:space="preserve">Piège classique n°2 : la </w:t>
      </w:r>
      <w:r>
        <w:rPr>
          <w:b/>
        </w:rPr>
        <w:t>hépatotoxicité</w:t>
      </w:r>
      <w:r>
        <w:t xml:space="preserve"> de la duloxétine est rare (1/10 000) mais potentiellement grave. Bilan hépatique à l'instauration et en cas de signes d'appel (ictère, asthénie, douleur abdominale, urines foncées).</w:t>
      </w:r>
    </w:p>
    <w:p>
      <w:pPr>
        <w:pStyle w:val="ListBullet"/>
      </w:pPr>
      <w:r>
        <w:t xml:space="preserve">Piège classique n°3 : la </w:t>
      </w:r>
      <w:r>
        <w:rPr>
          <w:b/>
        </w:rPr>
        <w:t>duloxétine + alcool</w:t>
      </w:r>
      <w:r>
        <w:t xml:space="preserve"> potentialise le risque hépatotoxique. Information systématique du patient sur l'abstinence alcoolique pendant le traitement.</w:t>
      </w:r>
    </w:p>
    <w:p>
      <w:pPr>
        <w:pStyle w:val="ListBullet"/>
      </w:pPr>
      <w:r>
        <w:t>Règle de prise : matin, à heure fixe, gélule gastro-résistante entière.</w:t>
      </w:r>
    </w:p>
    <w:p>
      <w:pPr>
        <w:pStyle w:val="ListBullet"/>
      </w:pPr>
      <w:r>
        <w:t>Préparation et Conservation : conserver à température &lt;25°C, à l'abri de l'humidité et de la lumière.</w:t>
      </w:r>
    </w:p>
    <w:p>
      <w:pPr>
        <w:pStyle w:val="ListBullet"/>
      </w:pPr>
      <w:r>
        <w:t>Piège du surdosage / Substitution : le surdosage en duloxétine peut entraîner syndrome sérotoninergique, convulsions, allongement du QTc, hépatotoxicité aiguë — surveillance en unité de soins intensifs. Lors de substitution entre marques actives (Baltaxine ↔ Cymbalta ↔ Cymoxetine ↔ Dulox ↔ Wyserin ↔ Cyacetine), vérifier l'équivalence de dosage (gélule 30 mg ou 60 mg identique d'une marque à l'autre) et expliquer au patient la substitution générique.</w:t>
      </w:r>
    </w:p>
    <w:p>
      <w:pPr>
        <w:pStyle w:val="Heading2"/>
      </w:pPr>
      <w:r>
        <w:t>SOUS-CLASSE 3 — ANTIDÉPRESSEURS TRICYCLIQUES (ATC)</w:t>
      </w:r>
    </w:p>
    <w:p>
      <w:pPr>
        <w:pStyle w:val="Heading3"/>
      </w:pPr>
      <w:r>
        <w:t>Introduction de la sous-classe</w:t>
      </w:r>
    </w:p>
    <w:p>
      <w:r>
        <w:t>Les antidépresseurs tricycliques (ATC), découverts dans les années 1950 (imipramine par Kuhn, 1957), ont constitué le traitement de référence de la dépression pendant près de trois décennies avant l'avènement des IRS dans les années 1980. Leur nom provient de leur structure chimique tricyclique : un noyau central à 7 chaînons (dibenzazépine, dibenzocycloheptadiène, dibenzoxépine, dibenzothiépine selon les molécules) flanqué de deux noyaux aromatiques. Ils dérivent structurellement des phénothiazines (antipsychotiques) et présentent de ce fait une certaine parenté pharmacologique.</w:t>
      </w:r>
    </w:p>
    <w:p>
      <w:r/>
      <w:r>
        <w:rPr>
          <w:b/>
        </w:rPr>
        <w:t>Cibles moléculaires</w:t>
      </w:r>
      <w:r>
        <w:t xml:space="preserve"> : les ATC exercent leur effet antidépresseur principal par l'inhibition de la recapture de la noradrénaline (via le transporteur NET) et de la sérotonine (via le transporteur SERT), avec une sélectivité variable selon la molécule (la clomipramine est la plus sérotoninergique, la nortriptyline et la désipramine sont les plus noradrénergiques). Cependant, contrairement aux IRS et IRSN, les ATC présentent également des </w:t>
      </w:r>
      <w:r>
        <w:rPr>
          <w:b/>
        </w:rPr>
        <w:t>affinités marquées pour de nombreux récepteurs</w:t>
      </w:r>
      <w:r>
        <w:t xml:space="preserve"> :</w:t>
      </w:r>
    </w:p>
    <w:p>
      <w:pPr>
        <w:pStyle w:val="ListBullet"/>
      </w:pPr>
      <w:r>
        <w:t>Récepteurs muscariniques M1 → effets anticholinergiques (sécheresse buccale, constipation, rétention urinaire, troubles visuels, tachycardie, troubles cognitifs) ;</w:t>
      </w:r>
    </w:p>
    <w:p>
      <w:pPr>
        <w:pStyle w:val="ListBullet"/>
      </w:pPr>
      <w:r>
        <w:t>Récepteurs α1-adrénergiques → hypotension orthostatique, vertiges, sédation ;</w:t>
      </w:r>
    </w:p>
    <w:p>
      <w:pPr>
        <w:pStyle w:val="ListBullet"/>
      </w:pPr>
      <w:r>
        <w:t>Récepteurs α2-adrénergiques → potentialisation de la libération de NA (effet présynaptique pour la mirtazapine, mais blocage postsynaptique pour les ATC) ;</w:t>
      </w:r>
    </w:p>
    <w:p>
      <w:pPr>
        <w:pStyle w:val="ListBullet"/>
      </w:pPr>
      <w:r>
        <w:t>Récepteurs histaminiques H1 → sédation, prise de poids, hypotension ;</w:t>
      </w:r>
    </w:p>
    <w:p>
      <w:pPr>
        <w:pStyle w:val="ListBullet"/>
      </w:pPr>
      <w:r>
        <w:t>Canaux sodiques voltage-dépendants (à forte dose) → cardiotoxicité (allongement du QRS, du QTc, troubles de conduction) — principal facteur de mortalité en surdosage.</w:t>
      </w:r>
    </w:p>
    <w:p>
      <w:r>
        <w:t xml:space="preserve">Ces affinités multiples expliquent à la fois leur </w:t>
      </w:r>
      <w:r>
        <w:rPr>
          <w:b/>
        </w:rPr>
        <w:t>efficacité clinique dans un spectre large</w:t>
      </w:r>
      <w:r>
        <w:t xml:space="preserve"> (dépression, douleurs neuropathiques, TOC, énurésie, troubles du sommeil) et leur </w:t>
      </w:r>
      <w:r>
        <w:rPr>
          <w:b/>
        </w:rPr>
        <w:t>mauvaise tolérance globale</w:t>
      </w:r>
      <w:r>
        <w:t xml:space="preserve"> comparativement aux IRS et IRSN. L'</w:t>
      </w:r>
      <w:r>
        <w:rPr>
          <w:b/>
        </w:rPr>
        <w:t>index thérapeutique étroit</w:t>
      </w:r>
      <w:r>
        <w:t xml:space="preserve"> des ATC (zone thérapeutique 150-250 ng/ml pour la plupart des molécules, concentration toxique &gt;500 ng/ml) les rend particulièrement dangereux en cas de surdosage (intentionnel ou accidentel) — le surdosage en ATC reste une cause majeure de mortalité par intoxication médicamenteuse.</w:t>
      </w:r>
    </w:p>
    <w:p>
      <w:r/>
      <w:r>
        <w:rPr>
          <w:b/>
        </w:rPr>
        <w:t>Spectre d'activité clinique</w:t>
      </w:r>
      <w:r>
        <w:t xml:space="preserve"> : épisode dépressif majeur (surtout mélancolique, avec ralentissement, anesthésie affective), dépression résistante aux IRS, troubles obsessionnels-compulsifs (clomipramine spécifiquement), douleurs neuropathiques (amitriptyline de référence), algies faciales essentielles, migraine prophylaxie (amitriptyline), énurésie de l'enfant (imipramine, amitriptyline), troubles du sommeil avec insomnie d'endormissement, douleurs chroniques non neuropathiques (fibromyalgie), troubles paniques (clomipramine, imipramine). En Algérie, l'usage des ATC reste essentiellement la dépression résistante, la douleur neuropathique (amitriptyline) et le TOC (clomipramine).</w:t>
      </w:r>
    </w:p>
    <w:p>
      <w:r/>
      <w:r>
        <w:rPr>
          <w:b/>
        </w:rPr>
        <w:t>Profil de tolérance</w:t>
      </w:r>
      <w:r>
        <w:t xml:space="preserve"> : effets anticholinergiques (sécheresse buccale, constipation, rétention urinaire, troubles visuels), sédation et prise de poids (effet H1), hypotension orthostatique (effet α1), tachycardie et troubles de conduction (effet stabilisant de membrane), allongement du QTc, dysfonction sexuelle, hyponatrémie par SIADH (rare). </w:t>
      </w:r>
      <w:r>
        <w:rPr>
          <w:b/>
        </w:rPr>
        <w:t>Cardiotoxicité en cas de surdosage</w:t>
      </w:r>
      <w:r>
        <w:t xml:space="preserve"> : troubles de conduction (bloc auriculo-ventriculaire, bloc de branche), élargissement du QRS, allongement du QTc, arythmies ventriculaires (torsades de pointe, tachycardie ventriculaire), collapsus cardiovasculaire — mortalité 5-15% en cas de surdosage massif (&gt;1 g).</w:t>
      </w:r>
    </w:p>
    <w:p>
      <w:r/>
      <w:r>
        <w:rPr>
          <w:b/>
        </w:rPr>
        <w:t>Règle d'or du washout</w:t>
      </w:r>
      <w:r>
        <w:t xml:space="preserve"> : deux semaines (14 jours) minimum entre l'arrêt d'un IMAO et le début d'un ATC, et inversement 7 jours entre l'arrêt d'un ATC et le début d'un IMAO. L'association IRS + ATC est possible mais nécessite une surveillance (potentialisation sérotoninergique).</w:t>
      </w:r>
    </w:p>
    <w:p>
      <w:pPr>
        <w:pStyle w:val="Heading3"/>
      </w:pPr>
      <w:r>
        <w:t>9. DCI : Amitriptyline (Seule)</w:t>
      </w:r>
    </w:p>
    <w:p>
      <w:r/>
      <w:r>
        <w:rPr>
          <w:b/>
        </w:rPr>
        <w:t>Liste des Catégories :</w:t>
      </w:r>
      <w:r>
        <w:t xml:space="preserve"> Antidépresseurs — Tricycliques (ATC) ; Liste I.</w:t>
      </w:r>
    </w:p>
    <w:p>
      <w:r>
        <w:t xml:space="preserve">L'amitriptyline est l'ATC de référence, commercialisé depuis 1961 (Laroxyl® — Roche). C'est l'un des antidépresseurs les plus anciens encore prescrits, principalement en raison de son </w:t>
      </w:r>
      <w:r>
        <w:rPr>
          <w:b/>
        </w:rPr>
        <w:t>efficacité supérieure dans la douleur neuropathique</w:t>
      </w:r>
      <w:r>
        <w:t xml:space="preserve"> (où elle reste un traitement de référence après la gabapentine et la prégabaline), dans la migraine prophylaxie, dans la fibromyalgie et dans l'insomnie chronique. Côté pharmacocinétique, l'amitriptyline subit un effet de premier passage hépatique important (métabolisme via CYP2D6 et CYP2C19) qui la transforme en </w:t>
      </w:r>
      <w:r>
        <w:rPr>
          <w:b/>
        </w:rPr>
        <w:t>nortriptyline</w:t>
      </w:r>
      <w:r>
        <w:t xml:space="preserve">, métabolite actif lui-même commercialisé comme ATC. La demi-vie d'élimination est de 10-28 heures pour l'amitriptyline et 18-44 heures pour la nortriptyline. Le profil de l'amitriptyline est marqué par une </w:t>
      </w:r>
      <w:r>
        <w:rPr>
          <w:b/>
        </w:rPr>
        <w:t>sédation très marquée</w:t>
      </w:r>
      <w:r>
        <w:t xml:space="preserve"> (effet H1 puissant), une </w:t>
      </w:r>
      <w:r>
        <w:rPr>
          <w:b/>
        </w:rPr>
        <w:t>composante anticholinergique importante</w:t>
      </w:r>
      <w:r>
        <w:t xml:space="preserve"> (sécheresse buccale, constipation, rétention urinaire) et un </w:t>
      </w:r>
      <w:r>
        <w:rPr>
          <w:b/>
        </w:rPr>
        <w:t>risque cardiaque</w:t>
      </w:r>
      <w:r>
        <w:t xml:space="preserve"> non négligeable (allongement du QTc, troubles de conduction). Sa prescription doit être prudente chez le sujet âgé en raison de l'effet anticholinergique sur la cognition (risque de syndrome confusionnel).</w:t>
      </w:r>
    </w:p>
    <w:p>
      <w:r/>
      <w:r>
        <w:rPr>
          <w:b/>
        </w:rPr>
        <w:t>Médicaments disponibles en Algérie (Marques, Laboratoires, Formes et Dosages) :</w:t>
      </w:r>
      <w:r/>
    </w:p>
    <w:p>
      <w:pPr>
        <w:pStyle w:val="ListBullet"/>
      </w:pPr>
      <w:r/>
      <w:r>
        <w:rPr>
          <w:b/>
        </w:rPr>
        <w:t>ATRYLINE</w:t>
      </w:r>
      <w:r>
        <w:t xml:space="preserve"> (GENERIC LAB)</w:t>
      </w:r>
    </w:p>
    <w:p>
      <w:pPr>
        <w:pStyle w:val="ListBullet"/>
      </w:pPr>
      <w:r>
        <w:t>Formes et Dosages : Comprimé enrobé 25 mg, boîte de 60 ; Comprimé enrobé 50 mg, boîte de 30 ; Solution buvable en gouttes 4% (40 mg/ml), flacon de 20 ml</w:t>
      </w:r>
    </w:p>
    <w:p>
      <w:pPr>
        <w:pStyle w:val="ListBullet"/>
      </w:pPr>
      <w:r>
        <w:t>Statut : Actif</w:t>
      </w:r>
    </w:p>
    <w:p>
      <w:pPr>
        <w:pStyle w:val="ListBullet"/>
      </w:pPr>
      <w:r/>
      <w:r>
        <w:rPr>
          <w:b/>
        </w:rPr>
        <w:t>LAROXYLINE</w:t>
      </w:r>
      <w:r>
        <w:t xml:space="preserve"> (HUPP PHARMA)</w:t>
      </w:r>
    </w:p>
    <w:p>
      <w:pPr>
        <w:pStyle w:val="ListBullet"/>
      </w:pPr>
      <w:r>
        <w:t>Formes et Dosages : Comprimé pelliculé 25 mg, boîte de 60 ; Comprimé pelliculé 50 mg, boîte de 20</w:t>
      </w:r>
    </w:p>
    <w:p>
      <w:pPr>
        <w:pStyle w:val="ListBullet"/>
      </w:pPr>
      <w:r>
        <w:t>Statut : Actif</w:t>
      </w:r>
    </w:p>
    <w:p>
      <w:pPr>
        <w:pStyle w:val="ListBullet"/>
      </w:pPr>
      <w:r/>
      <w:r>
        <w:rPr>
          <w:b/>
        </w:rPr>
        <w:t>MITRIL</w:t>
      </w:r>
      <w:r>
        <w:t xml:space="preserve"> (SARL GROUPE SANTE)</w:t>
      </w:r>
    </w:p>
    <w:p>
      <w:pPr>
        <w:pStyle w:val="ListBullet"/>
      </w:pPr>
      <w:r>
        <w:t>Formes et Dosages : Comprimé 25 mg, boîte de 60 ; Comprimé 50 mg, boîte de 20 ; Solution buvable en gouttes 4% (40 mg/ml), flacon de 30 ml</w:t>
      </w:r>
    </w:p>
    <w:p>
      <w:pPr>
        <w:pStyle w:val="ListBullet"/>
      </w:pPr>
      <w:r>
        <w:t>Statut : Actif</w:t>
      </w:r>
    </w:p>
    <w:p>
      <w:pPr>
        <w:pStyle w:val="ListBullet"/>
      </w:pPr>
      <w:r/>
      <w:r>
        <w:rPr>
          <w:b/>
        </w:rPr>
        <w:t>AMATRILINE</w:t>
      </w:r>
      <w:r>
        <w:t xml:space="preserve"> (SOMEDIAL)</w:t>
      </w:r>
    </w:p>
    <w:p>
      <w:pPr>
        <w:pStyle w:val="ListBullet"/>
      </w:pPr>
      <w:r>
        <w:t>Formes et Dosages : Solution buvable en gouttes 4% (40 mg/ml), flacon de 30 ml</w:t>
      </w:r>
    </w:p>
    <w:p>
      <w:pPr>
        <w:pStyle w:val="ListBullet"/>
      </w:pPr>
      <w:r>
        <w:t>Statut : Actif</w:t>
      </w:r>
    </w:p>
    <w:p>
      <w:pPr>
        <w:pStyle w:val="ListBullet"/>
      </w:pPr>
      <w:r/>
      <w:r>
        <w:rPr>
          <w:b/>
        </w:rPr>
        <w:t>AMITRIPTYLINE</w:t>
      </w:r>
      <w:r>
        <w:t xml:space="preserve"> (LABORATOIRES PHARMAGHREB)</w:t>
      </w:r>
    </w:p>
    <w:p>
      <w:pPr>
        <w:pStyle w:val="ListBullet"/>
      </w:pPr>
      <w:r>
        <w:t>Formes et Dosages : Solution buvable en gouttes 4% (40 mg/ml), flacon de 20 ml</w:t>
      </w:r>
    </w:p>
    <w:p>
      <w:pPr>
        <w:pStyle w:val="ListBullet"/>
      </w:pPr>
      <w:r>
        <w:t>Statut : Actif</w:t>
      </w:r>
    </w:p>
    <w:p>
      <w:pPr>
        <w:pStyle w:val="ListBullet"/>
      </w:pPr>
      <w:r/>
      <w:r>
        <w:rPr>
          <w:b/>
        </w:rPr>
        <w:t>AMITRIPTYLINE KPMA</w:t>
      </w:r>
      <w:r>
        <w:t xml:space="preserve"> (KPMA BIOTIC)</w:t>
      </w:r>
    </w:p>
    <w:p>
      <w:pPr>
        <w:pStyle w:val="ListBullet"/>
      </w:pPr>
      <w:r>
        <w:t>Formes et Dosages : Solution buvable en gouttes 4% (40 mg/ml), flacon de 20 ml</w:t>
      </w:r>
    </w:p>
    <w:p>
      <w:pPr>
        <w:pStyle w:val="ListBullet"/>
      </w:pPr>
      <w:r>
        <w:t>Statut : Actif</w:t>
      </w:r>
    </w:p>
    <w:p>
      <w:pPr>
        <w:pStyle w:val="ListBullet"/>
      </w:pPr>
      <w:r/>
      <w:r>
        <w:rPr>
          <w:b/>
        </w:rPr>
        <w:t>ANXIOL</w:t>
      </w:r>
      <w:r>
        <w:t xml:space="preserve"> (LAD PHARMA)</w:t>
      </w:r>
    </w:p>
    <w:p>
      <w:pPr>
        <w:pStyle w:val="ListBullet"/>
      </w:pPr>
      <w:r>
        <w:t>Formes et Dosages : Solution buvable en gouttes 4% (40 mg/ml), flacons compte-gouttes de 15 ml, 20 ml, 30 ml et 50 ml</w:t>
      </w:r>
    </w:p>
    <w:p>
      <w:pPr>
        <w:pStyle w:val="ListBullet"/>
      </w:pPr>
      <w:r>
        <w:t>Statut : Actif</w:t>
      </w:r>
    </w:p>
    <w:p>
      <w:pPr>
        <w:pStyle w:val="ListBullet"/>
      </w:pPr>
      <w:r/>
      <w:r>
        <w:rPr>
          <w:b/>
        </w:rPr>
        <w:t>GEROXYL</w:t>
      </w:r>
      <w:r>
        <w:t xml:space="preserve"> (LABORATOIRE ARAB PHARM)</w:t>
      </w:r>
    </w:p>
    <w:p>
      <w:pPr>
        <w:pStyle w:val="ListBullet"/>
      </w:pPr>
      <w:r>
        <w:t>Formes et Dosages : Solution buvable en gouttes 4% (40 mg/ml), flacon de 20 ml</w:t>
      </w:r>
    </w:p>
    <w:p>
      <w:pPr>
        <w:pStyle w:val="ListBullet"/>
      </w:pPr>
      <w:r>
        <w:t>Statut : Actif</w:t>
      </w:r>
    </w:p>
    <w:p>
      <w:pPr>
        <w:pStyle w:val="ListBullet"/>
      </w:pPr>
      <w:r/>
      <w:r>
        <w:rPr>
          <w:b/>
        </w:rPr>
        <w:t>ISOPTYL</w:t>
      </w:r>
      <w:r>
        <w:t xml:space="preserve"> (ISOPHARM ALGERIE)</w:t>
      </w:r>
    </w:p>
    <w:p>
      <w:pPr>
        <w:pStyle w:val="ListBullet"/>
      </w:pPr>
      <w:r>
        <w:t>Formes et Dosages : Solution buvable en gouttes 4% (40 mg/ml), flacon de 20 ml</w:t>
      </w:r>
    </w:p>
    <w:p>
      <w:pPr>
        <w:pStyle w:val="ListBullet"/>
      </w:pPr>
      <w:r>
        <w:t>Statut : Actif</w:t>
      </w:r>
    </w:p>
    <w:p>
      <w:pPr>
        <w:pStyle w:val="ListBullet"/>
      </w:pPr>
      <w:r/>
      <w:r>
        <w:rPr>
          <w:b/>
        </w:rPr>
        <w:t>DEPRESTAT LP</w:t>
      </w:r>
      <w:r>
        <w:t xml:space="preserve"> (NEOMEDIC)</w:t>
      </w:r>
    </w:p>
    <w:p>
      <w:pPr>
        <w:pStyle w:val="ListBullet"/>
      </w:pPr>
      <w:r>
        <w:t>Formes et Dosages : Microgranules en gélule à libération prolongée 25 mg, boîte de 60</w:t>
      </w:r>
    </w:p>
    <w:p>
      <w:pPr>
        <w:pStyle w:val="ListBullet"/>
      </w:pPr>
      <w:r>
        <w:t>Statut : Actif</w:t>
      </w:r>
    </w:p>
    <w:p>
      <w:pPr>
        <w:pStyle w:val="ListBullet"/>
      </w:pPr>
      <w:r/>
      <w:r>
        <w:rPr>
          <w:b/>
        </w:rPr>
        <w:t>AMYZOL</w:t>
      </w:r>
      <w:r>
        <w:t xml:space="preserve"> (LEK)</w:t>
      </w:r>
    </w:p>
    <w:p>
      <w:pPr>
        <w:pStyle w:val="ListBullet"/>
      </w:pPr>
      <w:r>
        <w:t>Formes et Dosages : Comprimé 25 mg, boîte de 60</w:t>
      </w:r>
    </w:p>
    <w:p>
      <w:pPr>
        <w:pStyle w:val="ListBullet"/>
      </w:pPr>
      <w:r>
        <w:t>Statut : Non Renouvelable</w:t>
      </w:r>
    </w:p>
    <w:p>
      <w:pPr>
        <w:pStyle w:val="ListBullet"/>
      </w:pPr>
      <w:r/>
      <w:r>
        <w:rPr>
          <w:b/>
        </w:rPr>
        <w:t>LAROXYL</w:t>
      </w:r>
      <w:r>
        <w:t xml:space="preserve"> (ROCHE)</w:t>
      </w:r>
    </w:p>
    <w:p>
      <w:pPr>
        <w:pStyle w:val="ListBullet"/>
      </w:pPr>
      <w:r>
        <w:t>Formes et Dosages : Comprimé pelliculé 25 mg, boîte de 60 ; Comprimé pelliculé 50 mg, boîte de 20 ; Gouttes buvables 4% (40 mg/ml), flacon de 20 ml</w:t>
      </w:r>
    </w:p>
    <w:p>
      <w:pPr>
        <w:pStyle w:val="ListBullet"/>
      </w:pPr>
      <w:r>
        <w:t>Statut : Non Renouvelable</w:t>
      </w:r>
    </w:p>
    <w:p>
      <w:pPr>
        <w:pStyle w:val="ListBullet"/>
      </w:pPr>
      <w:r/>
      <w:r>
        <w:rPr>
          <w:b/>
        </w:rPr>
        <w:t>UPTONIC</w:t>
      </w:r>
      <w:r>
        <w:t xml:space="preserve"> (LIFEPHARMA)</w:t>
      </w:r>
    </w:p>
    <w:p>
      <w:pPr>
        <w:pStyle w:val="ListBullet"/>
      </w:pPr>
      <w:r>
        <w:t>Formes et Dosages : Comprimé pelliculé 25 mg, boîte de 60 ; Comprimé pelliculé 50 mg, boîte de 20 ; Solution buvable en gouttes 4% (40 mg/ml), flacon de 20 ml</w:t>
      </w:r>
    </w:p>
    <w:p>
      <w:pPr>
        <w:pStyle w:val="ListBullet"/>
      </w:pPr>
      <w:r>
        <w:t>Statut : Non Renouvelable</w:t>
      </w:r>
    </w:p>
    <w:p>
      <w:pPr>
        <w:pStyle w:val="ListBullet"/>
      </w:pPr>
      <w:r/>
      <w:r>
        <w:rPr>
          <w:b/>
        </w:rPr>
        <w:t>TRIPTAMYL</w:t>
      </w:r>
      <w:r>
        <w:t xml:space="preserve"> (GROUPE SAIDAL)</w:t>
      </w:r>
    </w:p>
    <w:p>
      <w:pPr>
        <w:pStyle w:val="ListBullet"/>
      </w:pPr>
      <w:r>
        <w:t>Formes et Dosages : Solution buvable 4% (40 mg/ml), flacon compte-gouttes de 20 ml</w:t>
      </w:r>
    </w:p>
    <w:p>
      <w:pPr>
        <w:pStyle w:val="ListBullet"/>
      </w:pPr>
      <w:r>
        <w:t>Statut : Non Renouvelable</w:t>
      </w:r>
    </w:p>
    <w:p>
      <w:pPr>
        <w:pStyle w:val="ListBullet"/>
      </w:pPr>
      <w:r/>
      <w:r>
        <w:rPr>
          <w:b/>
        </w:rPr>
        <w:t>TREPILINE 25</w:t>
      </w:r>
      <w:r>
        <w:t xml:space="preserve"> (PHARMACARE LIMITED)</w:t>
      </w:r>
    </w:p>
    <w:p>
      <w:pPr>
        <w:pStyle w:val="ListBullet"/>
      </w:pPr>
      <w:r>
        <w:t>Formes et Dosages : Comprimé 25 mg, boîte de 60</w:t>
      </w:r>
    </w:p>
    <w:p>
      <w:pPr>
        <w:pStyle w:val="ListBullet"/>
      </w:pPr>
      <w:r>
        <w:t>Statut : Retiré (R)</w:t>
      </w:r>
    </w:p>
    <w:p>
      <w:pPr>
        <w:pStyle w:val="ListBullet"/>
      </w:pPr>
      <w:r/>
      <w:r>
        <w:rPr>
          <w:b/>
        </w:rPr>
        <w:t>AMITRIPTYLINE</w:t>
      </w:r>
      <w:r>
        <w:t xml:space="preserve"> (RENAUDIN)</w:t>
      </w:r>
    </w:p>
    <w:p>
      <w:pPr>
        <w:pStyle w:val="ListBullet"/>
      </w:pPr>
      <w:r>
        <w:t>Formes et Dosages : Gouttes buvables 4% (40 mg/ml), flacon de 20 ml</w:t>
      </w:r>
    </w:p>
    <w:p>
      <w:pPr>
        <w:pStyle w:val="ListBullet"/>
      </w:pPr>
      <w:r>
        <w:t>Statut : Retiré (R)</w:t>
      </w:r>
    </w:p>
    <w:p>
      <w:pPr>
        <w:pStyle w:val="ListBullet"/>
      </w:pPr>
      <w:r/>
      <w:r>
        <w:rPr>
          <w:b/>
        </w:rPr>
        <w:t>UPTONIC</w:t>
      </w:r>
      <w:r>
        <w:t xml:space="preserve"> (LIFEPHARMA)</w:t>
      </w:r>
    </w:p>
    <w:p>
      <w:pPr>
        <w:pStyle w:val="ListBullet"/>
      </w:pPr>
      <w:r>
        <w:t>Formes et Dosages : Solution buvable en gouttes 4% (40 mg/ml), flacon de 20 ml</w:t>
      </w:r>
    </w:p>
    <w:p>
      <w:pPr>
        <w:pStyle w:val="ListBullet"/>
      </w:pPr>
      <w:r>
        <w:t>Statut : Retiré (R)</w:t>
      </w:r>
    </w:p>
    <w:p>
      <w:pPr>
        <w:pStyle w:val="ListBullet"/>
      </w:pPr>
      <w:r/>
      <w:r>
        <w:rPr>
          <w:b/>
        </w:rPr>
        <w:t>LAROXYL</w:t>
      </w:r>
      <w:r>
        <w:t xml:space="preserve"> (ROCHE)</w:t>
      </w:r>
    </w:p>
    <w:p>
      <w:pPr>
        <w:pStyle w:val="ListBullet"/>
      </w:pPr>
      <w:r>
        <w:t>Formes et Dosages : Gouttes buvables 4% (40 mg/ml), flacon de 20 ml</w:t>
      </w:r>
    </w:p>
    <w:p>
      <w:pPr>
        <w:pStyle w:val="ListBullet"/>
      </w:pPr>
      <w:r>
        <w:t>Statut : Retiré (R)</w:t>
      </w:r>
    </w:p>
    <w:p>
      <w:r/>
      <w:r>
        <w:rPr>
          <w:b/>
        </w:rPr>
        <w:t>Sous-classe et Mécanisme d'action :</w:t>
      </w:r>
      <w:r/>
    </w:p>
    <w:p>
      <w:pPr>
        <w:pStyle w:val="ListBullet"/>
      </w:pPr>
      <w:r>
        <w:t>Sous-classe : ATC de la famille des dibenzocycloheptadiènes (sous-groupe des ATC tertiaires), chef de file historique de la classe.</w:t>
      </w:r>
    </w:p>
    <w:p>
      <w:pPr>
        <w:pStyle w:val="ListBullet"/>
      </w:pPr>
      <w:r>
        <w:t>Mécanisme d'action : inhibition de la recapture de la noradrénaline (via NET) et de la sérotonine (via SERT), avec une prédominance noradrénergique (la clomipramine, à l'inverse, est plus sérotoninergique). Affinité marquée pour les récepteurs muscariniques M1 (effet anticholinergique), α1-adrénergiques (hypotension orthostatique), H1 (sédation, prise de poids) et pour les canaux sodiques voltage-dépendants (cardiotoxicité). Métabolisme hépatique via CYP2D6 et CYP2C19 en nortriptyline (métabolite actif, lui-même ATC commercialisé). Demi-vie d'élimination : 10-28 heures pour l'amitriptyline, 18-44 heures pour la nortriptyline.</w:t>
      </w:r>
    </w:p>
    <w:p>
      <w:r/>
      <w:r>
        <w:rPr>
          <w:b/>
        </w:rPr>
        <w:t>Profil Pharmacologique :</w:t>
      </w:r>
      <w:r/>
    </w:p>
    <w:p>
      <w:pPr>
        <w:pStyle w:val="ListBullet"/>
      </w:pPr>
      <w:r>
        <w:t xml:space="preserve">Indications : épisode dépressif majeur (surtout mélancolique, avec ralentissement et anesthésie affective), dépression résistante aux IRS, </w:t>
      </w:r>
      <w:r>
        <w:rPr>
          <w:b/>
        </w:rPr>
        <w:t>douleurs neuropathiques</w:t>
      </w:r>
      <w:r>
        <w:t xml:space="preserve"> (indication de référence, AMM spécifique), migraine prophylaxie, algies faciales essentielles, fibromyalgie, énurésie de l'enfant (à partir de 6 ans), insomnie chronique (à faible dose). En Algérie, l'usage principal actuel de l'amitriptyline est la douleur neuropathique et la migraine prophylaxie ; l'usage dépressif est devenu plus restreint en raison de la disponibilité des IRS.</w:t>
      </w:r>
    </w:p>
    <w:p>
      <w:pPr>
        <w:pStyle w:val="ListBullet"/>
      </w:pPr>
      <w:r>
        <w:t>Contre-indications : hypersensibilité, association aux IMAO (washout 14 jours), glaucome à angle fermé (effet anticholinergique mydriatique), hypertrophie bénigne de la prostate avec rétention urinaire (effet anticholinergique), infarctus du myocarde récent (&lt;3 mois), troubles de conduction (bloc auriculo-ventriculaire de degré II ou III non appareillé), insuffisance hépatique sévère, allaitement (à éviter). Précautions : sujet âgé (risque de syndrome confusionnel par effet anticholinergique), épilepsie (abaisse le seuil épileptogène), insuffisance rénale, antécédents de rétention urinaire, hyperthyroïdie (potentialisation des effets adrénergiques).</w:t>
      </w:r>
    </w:p>
    <w:p>
      <w:pPr>
        <w:pStyle w:val="ListBullet"/>
      </w:pPr>
      <w:r>
        <w:t xml:space="preserve">Effets Indésirables : </w:t>
      </w:r>
      <w:r>
        <w:rPr>
          <w:b/>
        </w:rPr>
        <w:t>effets anticholinergiques</w:t>
      </w:r>
      <w:r>
        <w:t xml:space="preserve"> très marqués (sécheresse buccale, constipation — parfois jusqu'à iléus paralytique, rétention urinaire, troubles visuels d'accommodation, mydriase, tachycardie sinusale), </w:t>
      </w:r>
      <w:r>
        <w:rPr>
          <w:b/>
        </w:rPr>
        <w:t>sédation et somnolence</w:t>
      </w:r>
      <w:r>
        <w:t xml:space="preserve"> (effet H1 — peut être recherchée dans l'insomnie), </w:t>
      </w:r>
      <w:r>
        <w:rPr>
          <w:b/>
        </w:rPr>
        <w:t>prise de poids</w:t>
      </w:r>
      <w:r>
        <w:t xml:space="preserve"> (effet H1 et 5-HT2C — 2-10 kg en moyenne), </w:t>
      </w:r>
      <w:r>
        <w:rPr>
          <w:b/>
        </w:rPr>
        <w:t>hypotension orthostatique</w:t>
      </w:r>
      <w:r>
        <w:t xml:space="preserve"> (effet α1 — risque de chute chez le sujet âgé), </w:t>
      </w:r>
      <w:r>
        <w:rPr>
          <w:b/>
        </w:rPr>
        <w:t>allongement du QTc et troubles de conduction</w:t>
      </w:r>
      <w:r>
        <w:t xml:space="preserve"> (effet stabilisant de membrane — surveillance ECG), dysfonction sexuelle (baisse de libido, troubles de l'érection), hyponatrémie par SIADH (rare), convulsions (à forte dose ou en cas d'épilepsie sous-jacente), </w:t>
      </w:r>
      <w:r>
        <w:rPr>
          <w:b/>
        </w:rPr>
        <w:t>rash</w:t>
      </w:r>
      <w:r>
        <w:t xml:space="preserve"> cutané, </w:t>
      </w:r>
      <w:r>
        <w:rPr>
          <w:b/>
        </w:rPr>
        <w:t>photosensibilité</w:t>
      </w:r>
      <w:r>
        <w:t xml:space="preserve">, augmentation des transaminases. </w:t>
      </w:r>
      <w:r>
        <w:rPr>
          <w:b/>
        </w:rPr>
        <w:t>Toxicité en surdosage</w:t>
      </w:r>
      <w:r>
        <w:t xml:space="preserve"> : troubles de conduction (élargissement du QRS, allongement du QTc), arythmies ventriculaires (torsades de pointe, tachycardie ventriculaire), collapsus cardiovasculaire, convulsions, coma — mortalité 5-15% en cas de dose &gt;1 g.</w:t>
      </w:r>
    </w:p>
    <w:p>
      <w:r/>
      <w:r>
        <w:rPr>
          <w:b/>
        </w:rPr>
        <w:t>Prévention et Gestion des Effets Indésirables :</w:t>
      </w:r>
      <w:r/>
    </w:p>
    <w:p>
      <w:pPr>
        <w:pStyle w:val="ListBullet"/>
      </w:pPr>
      <w:r>
        <w:t xml:space="preserve">Mesures Préventives : initiation à faible dose (10-25 mg/jour le soir) pendant 7 jours puis augmentation par paliers de 10-25 mg tous les 3-7 jours selon tolérance ; prise vespérale en raison de la sédation ; </w:t>
      </w:r>
      <w:r>
        <w:rPr>
          <w:b/>
        </w:rPr>
        <w:t>ECG avant instauration</w:t>
      </w:r>
      <w:r>
        <w:t xml:space="preserve"> (vérifier absence d'allongement du QTc, de bloc AV, de troubles de conduction) et à chaque palier de dose ; surveillance de la tension artérielle (orthostatique) à l'instauration et à chaque palier ; surveillance natrémie chez le sujet &gt;65 ans ; bilan hépatique à l'instauration ; surveillance de la fonction vésicale chez l'homme âgé (risque de rétention urinaire) ; information du patient sur la sédation (ne pas conduire les premiers jours) et sur l'hygiène buccodentaire (sécheresse buccale → caries) ; éviter la consommation d'alcool (potentialisation de la sédation).</w:t>
      </w:r>
    </w:p>
    <w:p>
      <w:pPr>
        <w:pStyle w:val="ListBullet"/>
      </w:pPr>
      <w:r>
        <w:t xml:space="preserve">Conduite à Tenir : en cas de syndrome sérotoninergique, arrêt immédiat ; en cas d'hypotension orthostatique symptomatique, réduction de la dose et conseil d'hydratation ; en cas de rétention urinaire, arrêt immédiat et bilan urologique ; en cas de rash cutané, arrêt (risque d'érythrodermie) ; arrêt progressif par paliers de 10-25 mg par semaine sur 4 semaines (risque de syndrome de sevrage : anxiété rebond, insomnie) ; </w:t>
      </w:r>
      <w:r>
        <w:rPr>
          <w:b/>
        </w:rPr>
        <w:t>en cas de surdosage</w:t>
      </w:r>
      <w:r>
        <w:t>, hospitalisation urgente en réanimation, ECG continu, administration de bicarbonate de sodium IV (antidote partiel par alcalinisation plasmatique qui déplace l'amitriptyline des canaux sodiques), surveillance neurologique.</w:t>
      </w:r>
    </w:p>
    <w:p>
      <w:r/>
      <w:r>
        <w:rPr>
          <w:b/>
        </w:rPr>
        <w:t>Interactions Importantes :</w:t>
      </w:r>
      <w:r/>
    </w:p>
    <w:p>
      <w:pPr>
        <w:pStyle w:val="ListBullet"/>
      </w:pPr>
      <w:r/>
      <w:r>
        <w:rPr>
          <w:b/>
        </w:rPr>
        <w:t>Amitriptyline + IMAO</w:t>
      </w:r>
      <w:r>
        <w:t xml:space="preserve"> : CI ABSOLUE — syndrome sérotoninergique mortel, accès hypertensif. Washout 14 jours entre IMAO et ATC.</w:t>
      </w:r>
    </w:p>
    <w:p>
      <w:pPr>
        <w:pStyle w:val="ListBullet"/>
      </w:pPr>
      <w:r/>
      <w:r>
        <w:rPr>
          <w:b/>
        </w:rPr>
        <w:t>Amitriptyline + IRS / IRSN</w:t>
      </w:r>
      <w:r>
        <w:t xml:space="preserve"> : potentialisation sérotoninergique — surveillance clinique, débuter à faible dose.</w:t>
      </w:r>
    </w:p>
    <w:p>
      <w:pPr>
        <w:pStyle w:val="ListBullet"/>
      </w:pPr>
      <w:r/>
      <w:r>
        <w:rPr>
          <w:b/>
        </w:rPr>
        <w:t>Amitriptyline + Adrénaline / Noradrénaline</w:t>
      </w:r>
      <w:r>
        <w:t xml:space="preserve"> : potentialisation des effets adrénergiques (blocage de la recapture par NET) → accès hypertensif. Attention en anesthésie.</w:t>
      </w:r>
    </w:p>
    <w:p>
      <w:pPr>
        <w:pStyle w:val="ListBullet"/>
      </w:pPr>
      <w:r/>
      <w:r>
        <w:rPr>
          <w:b/>
        </w:rPr>
        <w:t>Amitriptyline + Antihypertenseurs</w:t>
      </w:r>
      <w:r>
        <w:t xml:space="preserve"> : atténuation de l'effet antihypertenseur (blocage α1) ; surveillance TA.</w:t>
      </w:r>
    </w:p>
    <w:p>
      <w:pPr>
        <w:pStyle w:val="ListBullet"/>
      </w:pPr>
      <w:r/>
      <w:r>
        <w:rPr>
          <w:b/>
        </w:rPr>
        <w:t>Amitriptyline + Médicaments allongeant le QT</w:t>
      </w:r>
      <w:r>
        <w:t xml:space="preserve"> (antiarythmiques Ia et III, certains antipsychotiques, macrolides, fluoroquinolones, méthadone) : majoration du risque d'allongement du QTc et de torsades de pointe. Surveillance ECG ou éviter.</w:t>
      </w:r>
    </w:p>
    <w:p>
      <w:pPr>
        <w:pStyle w:val="ListBullet"/>
      </w:pPr>
      <w:r/>
      <w:r>
        <w:rPr>
          <w:b/>
        </w:rPr>
        <w:t>Amitriptyline + Inhibiteurs du CYP2D6</w:t>
      </w:r>
      <w:r>
        <w:t xml:space="preserve"> (paroxétine, fluoxétine, quinidine) : augmentation des concentrations d'amitriptyline et de nortriptyline → risque de toxicité.</w:t>
      </w:r>
    </w:p>
    <w:p>
      <w:pPr>
        <w:pStyle w:val="ListBullet"/>
      </w:pPr>
      <w:r/>
      <w:r>
        <w:rPr>
          <w:b/>
        </w:rPr>
        <w:t>Amitriptyline + AINS / Anticoagulants oraux</w:t>
      </w:r>
      <w:r>
        <w:t xml:space="preserve"> : majoration du risque hémorragique (baisse de la sérotonine plaquettaire).</w:t>
      </w:r>
    </w:p>
    <w:p>
      <w:pPr>
        <w:pStyle w:val="ListBullet"/>
      </w:pPr>
      <w:r/>
      <w:r>
        <w:rPr>
          <w:b/>
        </w:rPr>
        <w:t>Amitriptyline + Alcool</w:t>
      </w:r>
      <w:r>
        <w:t xml:space="preserve"> : potentialisation de la sédation. À éviter.</w:t>
      </w:r>
    </w:p>
    <w:p>
      <w:pPr>
        <w:pStyle w:val="ListBullet"/>
      </w:pPr>
      <w:r/>
      <w:r>
        <w:rPr>
          <w:b/>
        </w:rPr>
        <w:t>Amitriptyline + Médicaments anticholinergiques</w:t>
      </w:r>
      <w:r>
        <w:t xml:space="preserve"> (atropine, oxybutynine, solifénacine, antihistaminiques H1 sédatifs) : potentialisation des effets anticholinergiques → risque de syndrome atropinique, iléus paralytique, rétention urinaire, glaucome aigu.</w:t>
      </w:r>
    </w:p>
    <w:p>
      <w:r/>
      <w:r>
        <w:rPr>
          <w:b/>
        </w:rPr>
        <w:t>Grossesse et Allaitement :</w:t>
      </w:r>
      <w:r/>
    </w:p>
    <w:p>
      <w:pPr>
        <w:pStyle w:val="ListBullet"/>
      </w:pPr>
      <w:r>
        <w:t>Grossesse : selon le CRAT, l'amitriptyline est compatible avec la grossesse (pas de tératogénicité prouvée, recul important depuis les années 1960). En pratique, l'amitriptyline reste un antidépresseur de choix chez la femme enceinte nécessitant un ATC, en raison du recul le plus important. Risque d'adaptation néonatale au 3e trimestre (sédation, hypotonie, détresse respiratoire, syndrome anticholinergique — surveiller en maternité). À noter : la nortriptyline (métabolite actif) est également compatible.</w:t>
      </w:r>
    </w:p>
    <w:p>
      <w:pPr>
        <w:pStyle w:val="ListBullet"/>
      </w:pPr>
      <w:r>
        <w:t>Allaitement : selon le CRAT, l'amitriptyline est compatible avec l'allaitement (rapport lait/plasma faible, concentrations chez le nourrisson généralement indétectables ou très faibles). Cependant, surveiller le nourrisson (somnolence, prise de poids, signes anticholinergiques). Préférer la nortriptyline si un ATC est nécessaire en cours d'allaitement (recul plus important).</w:t>
      </w:r>
    </w:p>
    <w:p>
      <w:pPr>
        <w:pStyle w:val="ListBullet"/>
      </w:pPr>
      <w:r>
        <w:t>Précisions : en raison du profil de tolérance maternelle (sédation, hypotension orthostatique) et du risque de syndrome d'adaptation néonatale, l'usage de l'amitriptyline chez la femme enceinte nécessite une coordination étroite entre psychiatre, obstétricien et pédiatre.</w:t>
      </w:r>
    </w:p>
    <w:p>
      <w:r/>
      <w:r>
        <w:rPr>
          <w:b/>
        </w:rPr>
        <w:t>Posologie et Mode d'administration (Standard) :</w:t>
      </w:r>
      <w:r/>
    </w:p>
    <w:p>
      <w:pPr>
        <w:pStyle w:val="ListBullet"/>
      </w:pPr>
      <w:r>
        <w:t>Adulte : dépression — initialement 25-75 mg/jour le soir (en raison de la sédation), en une prise unique vespérale ou en deux prises (matin et soir) ; augmentation par paliers de 25 mg tous les 3-7 jours selon tolérance et réponse, dose usuelle 75-150 mg/jour, dose maximale 200-300 mg/jour (sous surveillance spécialisée). Douleur neuropathique : 10-75 mg/jour le soir (à dose beaucoup plus faible que la dépression, en raison de l'effet analgésique à faible dose). Migraine prophylaxie : 10-50 mg/jour le soir. Insomnie chronique : 10-25 mg/jour le soir. Énurésie (enfant &gt;6 ans) : 10-25 mg/jour le soir.</w:t>
      </w:r>
    </w:p>
    <w:p>
      <w:pPr>
        <w:pStyle w:val="ListBullet"/>
      </w:pPr>
      <w:r>
        <w:t>Sujet âgé : dose initiale réduite à 10-25 mg/jour, augmentation très progressive par paliers de 10 mg, dose usuelle 50-75 mg/j, dose maximale 100 mg/j. Vérifier l'absence de glaucome et d'hypertrophie prostatique avant instauration.</w:t>
      </w:r>
    </w:p>
    <w:p>
      <w:pPr>
        <w:pStyle w:val="ListBullet"/>
      </w:pPr>
      <w:r>
        <w:t>Insuffisance hépatique ou rénale : réduire la dose de moitié.</w:t>
      </w:r>
    </w:p>
    <w:p>
      <w:pPr>
        <w:pStyle w:val="ListBullet"/>
      </w:pPr>
      <w:r>
        <w:t>Durée : épisode dépressif : 6 mois minimum après rémission complète ; douleur neuropathique : au long cours (parfois à vie) ; prévention des récidives dépressives : au long cours (2-5 ans après 2-3 épisodes).</w:t>
      </w:r>
    </w:p>
    <w:p>
      <w:pPr>
        <w:pStyle w:val="ListBullet"/>
      </w:pPr>
      <w:r>
        <w:t>Moment de la prise : le soir (en raison de la sédation — prendre 1 heure avant le coucher), en une prise unique vespérale ou en deux prises (matin et soir si dose &gt;150 mg/j).</w:t>
      </w:r>
    </w:p>
    <w:p>
      <w:r/>
      <w:r>
        <w:rPr>
          <w:b/>
        </w:rPr>
        <w:t>Arbitrage et Bénéfices des Formes Galéniques :</w:t>
      </w:r>
      <w:r/>
    </w:p>
    <w:p>
      <w:pPr>
        <w:pStyle w:val="ListBullet"/>
      </w:pPr>
      <w:r/>
      <w:r>
        <w:rPr>
          <w:b/>
        </w:rPr>
        <w:t>Comprimé enrobé/pelliculé 25 mg et 50 mg</w:t>
      </w:r>
      <w:r>
        <w:t xml:space="preserve"> (Atryline, Laroxyline, Mitril) : forme standard de prescription en ville, à prendre le soir. Comprimés généralement sécables pour adaptation à 12,5 mg ou 25 mg (paliers d'initiation et de sevrage, posologie de la douleur neuropathique à 10 mg via quart de comprimé).</w:t>
      </w:r>
    </w:p>
    <w:p>
      <w:pPr>
        <w:pStyle w:val="ListBullet"/>
      </w:pPr>
      <w:r/>
      <w:r>
        <w:rPr>
          <w:b/>
        </w:rPr>
        <w:t>Solution buvable en gouttes 4% (40 mg/ml)</w:t>
      </w:r>
      <w:r>
        <w:t xml:space="preserve"> (Amatrilin, Amitriptyline, Amitriptyline KPMA, Anxiol, Atryline, Geroxyl, Isoptyl, Mitril) : forme particulièrement adaptée aux patients ayant des difficultés de déglutition (sujet âgé, dysphagie), aux posologies pédiatriques (énurésie) et aux paliers de sevrage très progressifs (par goutte, 1 goutte ≈ 1 mg). Permet aussi l'administration par sonde. Concentration : 1 goutte = environ 1 mg d'amitriptyline (varie selon le compte-gouttes). Avantage majeur pour les faibles posologies (douleur neuropathique 10 mg = 10 gouttes ; insomnie 5 mg = 5 gouttes).</w:t>
      </w:r>
    </w:p>
    <w:p>
      <w:pPr>
        <w:pStyle w:val="ListBullet"/>
      </w:pPr>
      <w:r/>
      <w:r>
        <w:rPr>
          <w:b/>
        </w:rPr>
        <w:t>Microgranules en gélule à libération prolongée 25 mg (Deprestat LP — Neomedic)</w:t>
      </w:r>
      <w:r>
        <w:t xml:space="preserve"> : formulation LP permettant une libération continue sur 12 heures, utile chez les patients présentant des effets indésirables matinaux marqués avec la forme standard (sécheresse buccale, somnolence diurne excessive) ou nécessitant une couverture antidépresseure 24 heures.</w:t>
      </w:r>
    </w:p>
    <w:p>
      <w:pPr>
        <w:pStyle w:val="ListBullet"/>
      </w:pPr>
      <w:r/>
      <w:r>
        <w:rPr>
          <w:b/>
        </w:rPr>
        <w:t>Formes non renouvelables (Laroxyl® Roche, Amyzol® Lek, Uptonic® Lifepharma, TRIPTAMYL® Saidal)</w:t>
      </w:r>
      <w:r>
        <w:t xml:space="preserve"> : marques historiques, encore présentes dans les stocks résiduels. Privilégier les formes actives génériques locales (Atryline, Laroxyline, Mitril + solutions buvables).</w:t>
      </w:r>
    </w:p>
    <w:p>
      <w:pPr>
        <w:pStyle w:val="ListBullet"/>
      </w:pPr>
      <w:r>
        <w:t>Arbitrage : la solution buvable en gouttes est à privilégier pour le sujet âgé, l'enfant, les faibles posologies (douleur neuropathique, insomnie) et les paliers de sevrage. Le comprimé 25 mg est la forme standard de la dépression. La forme LP est une option pour les patients intolérants à la forme standard.</w:t>
      </w:r>
    </w:p>
    <w:p>
      <w:r/>
      <w:r>
        <w:rPr>
          <w:b/>
        </w:rPr>
        <w:t>Instructions et Conseils au Patient :</w:t>
      </w:r>
      <w:r/>
    </w:p>
    <w:p>
      <w:pPr>
        <w:pStyle w:val="ListBullet"/>
      </w:pPr>
      <w:r>
        <w:t xml:space="preserve">Communication au comptoir : « Ce médicament est un antidépresseur tricyclique, ancien mais encore très utilisé dans la douleur neuropathique et la dépression. </w:t>
      </w:r>
      <w:r>
        <w:rPr>
          <w:b/>
        </w:rPr>
        <w:t>Prenez-le le soir</w:t>
      </w:r>
      <w:r>
        <w:t xml:space="preserve"> car il donne sommeil. Les premiers jours, vous pouvez ressentir une sécheresse de la bouche, une constipation, des vertiges en vous levant (levez-vous lentement), une vision trouble. </w:t>
      </w:r>
      <w:r>
        <w:rPr>
          <w:b/>
        </w:rPr>
        <w:t>Buvez de l'eau régulièrement, mâchez du chewing-gum sans sucre pour la bouche</w:t>
      </w:r>
      <w:r>
        <w:t xml:space="preserve">. Évitez l'alcool. </w:t>
      </w:r>
      <w:r>
        <w:rPr>
          <w:b/>
        </w:rPr>
        <w:t>Ne dépassez pas la dose prescrite</w:t>
      </w:r>
      <w:r>
        <w:t xml:space="preserve"> : ce médicament est dangereux en surdosage (troubles cardiaques). Prévenez votre médecin si vous avez des palpitations, des malaises, une rétention d'urine. Évitez de conduire les premiers jours. »</w:t>
      </w:r>
    </w:p>
    <w:p>
      <w:pPr>
        <w:pStyle w:val="ListBullet"/>
      </w:pPr>
      <w:r>
        <w:t>Mode d'utilisation pratique : prise vespérale 1 heure avant le coucher ; se lever lentement pour éviter les vertiges orthostatiques ; hydratation abondante pour la sécheresse buccale ; régime riche en fibres pour la constipation ; surveillance du poids et de la TA ; consultations médicales rapprochées en début de traitement ; prévenir tous les médecins consultés (dentiste, anesthésiste, ophtalmologiste — risque de glaucome aigu).</w:t>
      </w:r>
    </w:p>
    <w:p>
      <w:r/>
      <w:r>
        <w:rPr>
          <w:b/>
        </w:rPr>
        <w:t>Notes, Règles d'Or &amp; Pièges au Comptoir :</w:t>
      </w:r>
      <w:r/>
    </w:p>
    <w:p>
      <w:pPr>
        <w:pStyle w:val="ListBullet"/>
      </w:pPr>
      <w:r>
        <w:t xml:space="preserve">Piège classique n°1 : l'amitriptyline est l'ATC le plus prescrit en douleur neuropathique, mais à des </w:t>
      </w:r>
      <w:r>
        <w:rPr>
          <w:b/>
        </w:rPr>
        <w:t>doses 5 à 10 fois inférieures</w:t>
      </w:r>
      <w:r>
        <w:t xml:space="preserve"> à la dose antidépressive usuelle (10-25 mg vs 75-150 mg). Toujours vérifier la dose prescrite en fonction de l'indication.</w:t>
      </w:r>
    </w:p>
    <w:p>
      <w:pPr>
        <w:pStyle w:val="ListBullet"/>
      </w:pPr>
      <w:r>
        <w:t xml:space="preserve">Piège classique n°2 : la </w:t>
      </w:r>
      <w:r>
        <w:rPr>
          <w:b/>
        </w:rPr>
        <w:t>cardiotoxicité en surdosage</w:t>
      </w:r>
      <w:r>
        <w:t xml:space="preserve"> est la première cause de mortalité par intoxication médicamenteuse volontaire. Information du patient et de l'entourage sur la nécessité de limiter la quantité délivrée (boîtes de 30 comprimés maximum, renouvellement hebdomadaire si risque suicidaire).</w:t>
      </w:r>
    </w:p>
    <w:p>
      <w:pPr>
        <w:pStyle w:val="ListBullet"/>
      </w:pPr>
      <w:r>
        <w:t xml:space="preserve">Piège classique n°3 : le </w:t>
      </w:r>
      <w:r>
        <w:rPr>
          <w:b/>
        </w:rPr>
        <w:t>glaucome aigu</w:t>
      </w:r>
      <w:r>
        <w:t xml:space="preserve"> peut être déclenché par l'amitriptyline chez un patient prédisposé (angle fermé). Vérifier l'absence d'antécédents ophtalmologiques avant instauration.</w:t>
      </w:r>
    </w:p>
    <w:p>
      <w:pPr>
        <w:pStyle w:val="ListBullet"/>
      </w:pPr>
      <w:r>
        <w:t xml:space="preserve">Piège classique n°4 : chez le sujet âgé, l'effet anticholinergique peut déclencher un </w:t>
      </w:r>
      <w:r>
        <w:rPr>
          <w:b/>
        </w:rPr>
        <w:t>syndrome confusionnel</w:t>
      </w:r>
      <w:r>
        <w:t>. Réduire la dose de moitié et surveillance rapprochée.</w:t>
      </w:r>
    </w:p>
    <w:p>
      <w:pPr>
        <w:pStyle w:val="ListBullet"/>
      </w:pPr>
      <w:r>
        <w:t>Règle de prise : soir, 1 heure avant le coucher.</w:t>
      </w:r>
    </w:p>
    <w:p>
      <w:pPr>
        <w:pStyle w:val="ListBullet"/>
      </w:pPr>
      <w:r>
        <w:t>Préparation et Conservation : conserver à température &lt;25°C, à l'abri de l'humidité et de la lumière ; solution buvable à utiliser dans le mois qui suit l'ouverture.</w:t>
      </w:r>
    </w:p>
    <w:p>
      <w:pPr>
        <w:pStyle w:val="ListBullet"/>
      </w:pPr>
      <w:r>
        <w:t>Piège du surdosage / Substitution : en cas de surdosage (dose &gt;1 g), hospitalisation urgente en réanimation, ECG continu, bicarbonate de sodium IV (antidote partiel), charbon activé si prise récente (&lt;1 heure). Lors de substitution entre marques actives (Atryline ↔ Laroxyline ↔ Mitril), vérifier l'équivalence de dosage (comprimé 25 mg ou 50 mg identique d'une marque à l'autre) et expliquer au patient la substitution générique. Vérifier que la solution buvable est bien à 4% (40 mg/ml) et adapter le nombre de gouttes à la concentration.</w:t>
      </w:r>
    </w:p>
    <w:p>
      <w:pPr>
        <w:pStyle w:val="Heading3"/>
      </w:pPr>
      <w:r>
        <w:t>10. DCI : Clomipramine (Seule)</w:t>
      </w:r>
    </w:p>
    <w:p>
      <w:r/>
      <w:r>
        <w:rPr>
          <w:b/>
        </w:rPr>
        <w:t>Liste des Catégories :</w:t>
      </w:r>
      <w:r>
        <w:t xml:space="preserve"> Antidépresseurs — Tricycliques (ATC) ; Liste I.</w:t>
      </w:r>
    </w:p>
    <w:p>
      <w:r>
        <w:t xml:space="preserve">La clomipramine (Anafranil® — Novartis) est l'ATC le plus </w:t>
      </w:r>
      <w:r>
        <w:rPr>
          <w:b/>
        </w:rPr>
        <w:t>sérotoninergique</w:t>
      </w:r>
      <w:r>
        <w:t xml:space="preserve"> de la classe, ce qui explique son efficacité particulière dans le </w:t>
      </w:r>
      <w:r>
        <w:rPr>
          <w:b/>
        </w:rPr>
        <w:t>trouble obsessionnel-compulsif (TOC)</w:t>
      </w:r>
      <w:r>
        <w:t xml:space="preserve"> — indication où elle a longtemps été la seule option pharmacologique avant l'avènement des IRS. Elle reste aujourd'hui un traitement de référence du TOC résistant aux IRS, et l'unique ATC disposant d'une AMM spécifique dans cette indication. La clomipramine se distingue de l'amitriptyline par une prédominance sérotoninergique (inhibition plus marquée de SERT), mais conserve un effet anticholinergique, histaminergique et α1-bloquant marqué. Sa </w:t>
      </w:r>
      <w:r>
        <w:rPr>
          <w:b/>
        </w:rPr>
        <w:t>forme injectable IV</w:t>
      </w:r>
      <w:r>
        <w:t xml:space="preserve"> (Anafranil 25 mg/2 ml) est unique parmi les antidépresseurs algériens et est utilisée dans les dépressions mélancoliques sévères en milieu hospitalier (cure de sommeil). Son métabolite actif, la </w:t>
      </w:r>
      <w:r>
        <w:rPr>
          <w:b/>
        </w:rPr>
        <w:t>désméthylclomipramine</w:t>
      </w:r>
      <w:r>
        <w:t>, est noradrénergique, ce qui explique le profil d'action mixte de la molécule.</w:t>
      </w:r>
    </w:p>
    <w:p>
      <w:r/>
      <w:r>
        <w:rPr>
          <w:b/>
        </w:rPr>
        <w:t>Médicaments disponibles en Algérie (Marques, Laboratoires, Formes et Dosages) :</w:t>
      </w:r>
      <w:r/>
    </w:p>
    <w:p>
      <w:pPr>
        <w:pStyle w:val="ListBullet"/>
      </w:pPr>
      <w:r/>
      <w:r>
        <w:rPr>
          <w:b/>
        </w:rPr>
        <w:t>ANAFRANIL</w:t>
      </w:r>
      <w:r>
        <w:t xml:space="preserve"> (DEFIANTE FARMACEUTICA LDA)</w:t>
      </w:r>
    </w:p>
    <w:p>
      <w:pPr>
        <w:pStyle w:val="ListBullet"/>
      </w:pPr>
      <w:r>
        <w:t>Formes et Dosages : Solution injectable 25 mg/2 ml, boîte de 5 ampoules</w:t>
      </w:r>
    </w:p>
    <w:p>
      <w:pPr>
        <w:pStyle w:val="ListBullet"/>
      </w:pPr>
      <w:r>
        <w:t>Statut : Actif</w:t>
      </w:r>
    </w:p>
    <w:p>
      <w:pPr>
        <w:pStyle w:val="ListBullet"/>
      </w:pPr>
      <w:r/>
      <w:r>
        <w:rPr>
          <w:b/>
        </w:rPr>
        <w:t>ANAFRANIL</w:t>
      </w:r>
      <w:r>
        <w:t xml:space="preserve"> (DEFIANTE FARMACEUTICA LTD / SIGMA-TAU FRANCE)</w:t>
      </w:r>
    </w:p>
    <w:p>
      <w:pPr>
        <w:pStyle w:val="ListBullet"/>
      </w:pPr>
      <w:r>
        <w:t>Formes et Dosages : Comprimé enrobé 10 mg, boîte de 60 ; Comprimé enrobé 25 mg, boîte de 50 ; Comprimé enrobé 75 mg, boîte de 20</w:t>
      </w:r>
    </w:p>
    <w:p>
      <w:pPr>
        <w:pStyle w:val="ListBullet"/>
      </w:pPr>
      <w:r>
        <w:t>Statut : Actif</w:t>
      </w:r>
    </w:p>
    <w:p>
      <w:pPr>
        <w:pStyle w:val="ListBullet"/>
      </w:pPr>
      <w:r/>
      <w:r>
        <w:rPr>
          <w:b/>
        </w:rPr>
        <w:t>CLONAPRIME</w:t>
      </w:r>
      <w:r>
        <w:t xml:space="preserve"> (BIOGALENIC)</w:t>
      </w:r>
    </w:p>
    <w:p>
      <w:pPr>
        <w:pStyle w:val="ListBullet"/>
      </w:pPr>
      <w:r>
        <w:t>Formes et Dosages : Comprimé pelliculé 10 mg, boîte de 60 ; Comprimé pelliculé sécable 75 mg, boîte de 20 ; Comprimé pelliculé 25 mg, boîte de 30</w:t>
      </w:r>
    </w:p>
    <w:p>
      <w:pPr>
        <w:pStyle w:val="ListBullet"/>
      </w:pPr>
      <w:r>
        <w:t>Statut : Actif</w:t>
      </w:r>
    </w:p>
    <w:p>
      <w:pPr>
        <w:pStyle w:val="ListBullet"/>
      </w:pPr>
      <w:r/>
      <w:r>
        <w:rPr>
          <w:b/>
        </w:rPr>
        <w:t>CRONIL</w:t>
      </w:r>
      <w:r>
        <w:t xml:space="preserve"> (FARMACEUTICI CROVIS PH.I.L.COM)</w:t>
      </w:r>
    </w:p>
    <w:p>
      <w:pPr>
        <w:pStyle w:val="ListBullet"/>
      </w:pPr>
      <w:r>
        <w:t>Formes et Dosages : Drageés 10 mg, boîte de 60 ; Drageés 25 mg, boîte de 50 ; Drageés 75 mg, boîte de 20</w:t>
      </w:r>
    </w:p>
    <w:p>
      <w:pPr>
        <w:pStyle w:val="ListBullet"/>
      </w:pPr>
      <w:r>
        <w:t>Statut : Actif</w:t>
      </w:r>
    </w:p>
    <w:p>
      <w:pPr>
        <w:pStyle w:val="ListBullet"/>
      </w:pPr>
      <w:r/>
      <w:r>
        <w:rPr>
          <w:b/>
        </w:rPr>
        <w:t>CLOFRANIL</w:t>
      </w:r>
      <w:r>
        <w:t xml:space="preserve"> (SUN PHARMACEUTICALS INDUSTRIES LTD)</w:t>
      </w:r>
    </w:p>
    <w:p>
      <w:pPr>
        <w:pStyle w:val="ListBullet"/>
      </w:pPr>
      <w:r>
        <w:t>Formes et Dosages : Comprimé 25 mg, boîte de 50</w:t>
      </w:r>
    </w:p>
    <w:p>
      <w:pPr>
        <w:pStyle w:val="ListBullet"/>
      </w:pPr>
      <w:r>
        <w:t>Statut : Actif</w:t>
      </w:r>
    </w:p>
    <w:p>
      <w:pPr>
        <w:pStyle w:val="ListBullet"/>
      </w:pPr>
      <w:r/>
      <w:r>
        <w:rPr>
          <w:b/>
        </w:rPr>
        <w:t>TRIANIL</w:t>
      </w:r>
      <w:r>
        <w:t xml:space="preserve"> (RAM PHARMACEUTICAL INDUSTRIES)</w:t>
      </w:r>
    </w:p>
    <w:p>
      <w:pPr>
        <w:pStyle w:val="ListBullet"/>
      </w:pPr>
      <w:r>
        <w:t>Formes et Dosages : Comprimé 25 mg, boîte de 30</w:t>
      </w:r>
    </w:p>
    <w:p>
      <w:pPr>
        <w:pStyle w:val="ListBullet"/>
      </w:pPr>
      <w:r>
        <w:t>Statut : Actif</w:t>
      </w:r>
    </w:p>
    <w:p>
      <w:r/>
      <w:r>
        <w:rPr>
          <w:b/>
        </w:rPr>
        <w:t>Sous-classe et Mécanisme d'action :</w:t>
      </w:r>
      <w:r/>
    </w:p>
    <w:p>
      <w:pPr>
        <w:pStyle w:val="ListBullet"/>
      </w:pPr>
      <w:r>
        <w:t>Sous-classe : ATC de la famille des dibenzazépines (sous-groupe des ATC tertiaires), chef de file des ATC sérotoninergiques.</w:t>
      </w:r>
    </w:p>
    <w:p>
      <w:pPr>
        <w:pStyle w:val="ListBullet"/>
      </w:pPr>
      <w:r>
        <w:t>Mécanisme d'action : inhibition puissante de la recapture de la sérotonine (via SERT) et, dans une moindre mesure, de la noradrénaline (via NET) — prédominance sérotoninergique (la plus sérotoninergique des ATC). Affinité marquée pour les récepteurs muscariniques M1 (effet anticholinergique), α1-adrénergiques (hypotension orthostatique), H1 (sédation, prise de poids) et pour les canaux sodiques voltage-dépendants (cardiotoxicité). Métabolisme hépatique via CYP2D6 et CYP2C19 en désméthylclomipramine (métabolite actif noradrénergique — la molécule mère est surtout sérotoninergique, le métabolite est surtout noradrénergique). Demi-vie d'élimination : 19-37 heures pour la clomipramine, 54-77 heures pour la désméthylclomipramine.</w:t>
      </w:r>
    </w:p>
    <w:p>
      <w:r/>
      <w:r>
        <w:rPr>
          <w:b/>
        </w:rPr>
        <w:t>Profil Pharmacologique :</w:t>
      </w:r>
      <w:r/>
    </w:p>
    <w:p>
      <w:pPr>
        <w:pStyle w:val="ListBullet"/>
      </w:pPr>
      <w:r>
        <w:t xml:space="preserve">Indications : épisode dépressif majeur (surtout mélancolique avec anesthésie affective et ralentissement), </w:t>
      </w:r>
      <w:r>
        <w:rPr>
          <w:b/>
        </w:rPr>
        <w:t>trouble obsessionnel-compulsif (TOC)</w:t>
      </w:r>
      <w:r>
        <w:t xml:space="preserve"> (indication de référence — AMM spécifique, efficace chez l'adulte et l'enfant &gt;5 ans), trouble panique, phobie sociale, cataplexie associée à la narcolepsie, douleurs neuropathiques (off-label), troubles du sommeil paradoxal. En Algérie, indications principales : TOC (résistant aux IRS ou en première intention si TOC sévère), dépression mélancolique, trouble panique.</w:t>
      </w:r>
    </w:p>
    <w:p>
      <w:pPr>
        <w:pStyle w:val="ListBullet"/>
      </w:pPr>
      <w:r>
        <w:t>Contre-indications : hypersensibilité, association aux IMAO (washout 14 jours), glaucome à angle fermé, hypertrophie bénigne de la prostate avec rétention urinaire, infarctus du myocarde récent (&lt;3 mois), troubles de conduction (bloc AV de degré II ou III non appareillé), insuffisance hépatique sévère, allaitement (à éviter). Précautions : sujet âgé (risque de syndrome confusionnel par effet anticholinergique), épilepsie (abaisse le seuil épileptogène — la clomipramine est l'ATC le plus épileptogène), antécédents suicidaires.</w:t>
      </w:r>
    </w:p>
    <w:p>
      <w:pPr>
        <w:pStyle w:val="ListBullet"/>
      </w:pPr>
      <w:r>
        <w:t xml:space="preserve">Effets Indésirables : effets anticholinergiques marqués (sécheresse buccale, constipation, rétention urinaire, troubles visuels, mydriase, tachycardie), sédation et somnolence (effet H1), prise de poids (effet H1 et 5-HT2C — 2-10 kg), hypotension orthostatique (effet α1), allongement du QTc et troubles de conduction (effet stabilisant de membrane), dysfonction sexuelle (baisse de libido, troubles de l'éjaculation — particulièrement marquée pour la clomipramine, parfois recherchée dans l'éjaculation précoce), hyponatrémie par SIADH (rare), </w:t>
      </w:r>
      <w:r>
        <w:rPr>
          <w:b/>
        </w:rPr>
        <w:t>convulsions</w:t>
      </w:r>
      <w:r>
        <w:t xml:space="preserve"> (à forte dose — la clomipramine est l'ATC le plus épileptogène, avec un seuil convulsif abaissé dès 200-250 mg/j), rash cutané, photosensibilité, augmentation des transaminases. </w:t>
      </w:r>
      <w:r>
        <w:rPr>
          <w:b/>
        </w:rPr>
        <w:t>Toxicité en surdosage</w:t>
      </w:r>
      <w:r>
        <w:t xml:space="preserve"> : troubles de conduction (élargissement du QRS, allongement du QTc), arythmies ventriculaires, collapsus cardiovasculaire, convulsions (particulièrement fréquentes avec la clomipramine), coma — mortalité 5-15% en cas de dose &gt;1 g.</w:t>
      </w:r>
    </w:p>
    <w:p>
      <w:r/>
      <w:r>
        <w:rPr>
          <w:b/>
        </w:rPr>
        <w:t>Prévention et Gestion des Effets Indésirables :</w:t>
      </w:r>
      <w:r/>
    </w:p>
    <w:p>
      <w:pPr>
        <w:pStyle w:val="ListBullet"/>
      </w:pPr>
      <w:r>
        <w:t>Mesures Préventives : initiation à faible dose (10-25 mg/jour le soir) pendant 7 jours puis augmentation par paliers de 10-25 mg tous les 3-7 jours selon tolérance ; prise vespérale en raison de la sédation ; ECG avant instauration et à chaque palier de dose ; surveillance de la tension artérielle (orthostatique) à l'instauration et à chaque palier ; surveillance natrémie chez le sujet &gt;65 ans ; bilan hépatique à l'instauration ; surveillance de la fonction vésicale chez l'homme âgé ; information du patient sur la sédation (ne pas conduire les premiers jours) et sur l'hygiène buccodentaire ; éviter la consommation d'alcool ; surveillance EEG en cas de doses élevées (&gt;200 mg/j) ou d'antécédents épileptiques.</w:t>
      </w:r>
    </w:p>
    <w:p>
      <w:pPr>
        <w:pStyle w:val="ListBullet"/>
      </w:pPr>
      <w:r>
        <w:t>Conduite à Tenir : en cas de syndrome sérotoninergique, arrêt immédiat et urgence (la clomipramine est particulièrement à risque en raison de sa puissance sérotoninergique) ; en cas de convulsions, arrêt immédiat et bilan neurologique ; en cas d'hypotension orthostatique symptomatique, réduction de la dose ; en cas de rétention urinaire, arrêt immédiat et bilan urologique ; arrêt progressif par paliers de 10-25 mg par semaine sur 4 semaines (risque de syndrome de sevrage) ; en cas de surdosage, hospitalisation urgente en réanimation, ECG continu, bicarbonate de sodium IV, charbon activé si prise récente.</w:t>
      </w:r>
    </w:p>
    <w:p>
      <w:r/>
      <w:r>
        <w:rPr>
          <w:b/>
        </w:rPr>
        <w:t>Interactions Importantes :</w:t>
      </w:r>
      <w:r/>
    </w:p>
    <w:p>
      <w:pPr>
        <w:pStyle w:val="ListBullet"/>
      </w:pPr>
      <w:r/>
      <w:r>
        <w:rPr>
          <w:b/>
        </w:rPr>
        <w:t>Clomipramine + IMAO</w:t>
      </w:r>
      <w:r>
        <w:t xml:space="preserve"> : CI ABSOLUE — syndrome sérotoninergique mortel (la clomipramine est particulièrement à risque en raison de sa puissance sérotoninergique). Washout 14 jours.</w:t>
      </w:r>
    </w:p>
    <w:p>
      <w:pPr>
        <w:pStyle w:val="ListBullet"/>
      </w:pPr>
      <w:r/>
      <w:r>
        <w:rPr>
          <w:b/>
        </w:rPr>
        <w:t>Clomipramine + IRS / IRSN</w:t>
      </w:r>
      <w:r>
        <w:t xml:space="preserve"> : potentialisation sérotoninergique — surveillance clinique, débuter à faible dose.</w:t>
      </w:r>
    </w:p>
    <w:p>
      <w:pPr>
        <w:pStyle w:val="ListBullet"/>
      </w:pPr>
      <w:r/>
      <w:r>
        <w:rPr>
          <w:b/>
        </w:rPr>
        <w:t>Clomipramine + Adrénaline / Noradrénaline</w:t>
      </w:r>
      <w:r>
        <w:t xml:space="preserve"> : potentialisation des effets adrénergiques → accès hypertensif. Attention en anesthésie.</w:t>
      </w:r>
    </w:p>
    <w:p>
      <w:pPr>
        <w:pStyle w:val="ListBullet"/>
      </w:pPr>
      <w:r/>
      <w:r>
        <w:rPr>
          <w:b/>
        </w:rPr>
        <w:t>Clomipramine + Antihypertenseurs</w:t>
      </w:r>
      <w:r>
        <w:t xml:space="preserve"> : atténuation de l'effet antihypertenseur.</w:t>
      </w:r>
    </w:p>
    <w:p>
      <w:pPr>
        <w:pStyle w:val="ListBullet"/>
      </w:pPr>
      <w:r/>
      <w:r>
        <w:rPr>
          <w:b/>
        </w:rPr>
        <w:t>Clomipramine + Médicaments allongeant le QT</w:t>
      </w:r>
      <w:r>
        <w:t xml:space="preserve"> : majoration du risque d'allongement du QTc et de torsades de pointe. Surveillance ECG ou éviter.</w:t>
      </w:r>
    </w:p>
    <w:p>
      <w:pPr>
        <w:pStyle w:val="ListBullet"/>
      </w:pPr>
      <w:r/>
      <w:r>
        <w:rPr>
          <w:b/>
        </w:rPr>
        <w:t>Clomipramine + Inhibiteurs du CYP2D6</w:t>
      </w:r>
      <w:r>
        <w:t xml:space="preserve"> (paroxétine, fluoxétine, quinidine) : augmentation des concentrations → risque de toxicité.</w:t>
      </w:r>
    </w:p>
    <w:p>
      <w:pPr>
        <w:pStyle w:val="ListBullet"/>
      </w:pPr>
      <w:r/>
      <w:r>
        <w:rPr>
          <w:b/>
        </w:rPr>
        <w:t>Clomipramine + Inhibiteurs du CYP1A2</w:t>
      </w:r>
      <w:r>
        <w:t xml:space="preserve"> (fluvoxamine, ciprofloxacine) : augmentation des concentrations → risque de toxicité.</w:t>
      </w:r>
    </w:p>
    <w:p>
      <w:pPr>
        <w:pStyle w:val="ListBullet"/>
      </w:pPr>
      <w:r/>
      <w:r>
        <w:rPr>
          <w:b/>
        </w:rPr>
        <w:t>Clomipramine + AINS / Anticoagulants oraux</w:t>
      </w:r>
      <w:r>
        <w:t xml:space="preserve"> : majoration du risque hémorragique.</w:t>
      </w:r>
    </w:p>
    <w:p>
      <w:pPr>
        <w:pStyle w:val="ListBullet"/>
      </w:pPr>
      <w:r/>
      <w:r>
        <w:rPr>
          <w:b/>
        </w:rPr>
        <w:t>Clomipramine + Alcool</w:t>
      </w:r>
      <w:r>
        <w:t xml:space="preserve"> : potentialisation de la sédation. À éviter.</w:t>
      </w:r>
    </w:p>
    <w:p>
      <w:pPr>
        <w:pStyle w:val="ListBullet"/>
      </w:pPr>
      <w:r/>
      <w:r>
        <w:rPr>
          <w:b/>
        </w:rPr>
        <w:t>Clomipramine + Médicaments abaisseurs du seuil épileptogène</w:t>
      </w:r>
      <w:r>
        <w:t xml:space="preserve"> (bupropion, tramadol, antipsychotiques, théophylline) : potentialisation du risque convulsif.</w:t>
      </w:r>
    </w:p>
    <w:p>
      <w:r/>
      <w:r>
        <w:rPr>
          <w:b/>
        </w:rPr>
        <w:t>Grossesse et Allaitement :</w:t>
      </w:r>
      <w:r/>
    </w:p>
    <w:p>
      <w:pPr>
        <w:pStyle w:val="ListBullet"/>
      </w:pPr>
      <w:r>
        <w:t>Grossesse : selon le CRAT, la clomipramine est compatible avec la grossesse (pas de tératogénicité prouvée, recul important). Risque d'adaptation néonatale au 3e trimestre (sédation, hypotonie, détresse respiratoire, syndrome anticholinergique). Préférer la sertraline en première intention en cours de grossesse, mais la clomipramine reste utilisable si TOC sévère résistant aux IRS.</w:t>
      </w:r>
    </w:p>
    <w:p>
      <w:pPr>
        <w:pStyle w:val="ListBullet"/>
      </w:pPr>
      <w:r>
        <w:t>Allaitement : la clomipramine et son métabolite passent dans le lait maternel. À éviter selon le CRAT en première intention (préférer sertraline), ou utiliser avec surveillance clinique étroite du nourrisson (sommeil, prise de poids, signes anticholinergiques).</w:t>
      </w:r>
    </w:p>
    <w:p>
      <w:pPr>
        <w:pStyle w:val="ListBullet"/>
      </w:pPr>
      <w:r>
        <w:t>Précisions : en raison de la puissance sérotoninergique de la clomipramine, le risque de syndrome d'adaptation néonatale est potentiellement plus marqué qu'avec les IRS.</w:t>
      </w:r>
    </w:p>
    <w:p>
      <w:r/>
      <w:r>
        <w:rPr>
          <w:b/>
        </w:rPr>
        <w:t>Posologie et Mode d'administration (Standard) :</w:t>
      </w:r>
      <w:r/>
    </w:p>
    <w:p>
      <w:pPr>
        <w:pStyle w:val="ListBullet"/>
      </w:pPr>
      <w:r>
        <w:t>Adulte : dépression — initialement 25-50 mg/jour le soir, en une prise unique vespérale ou en deux prises (matin et soir) ; augmentation par paliers de 25-50 mg tous les 3-7 jours selon tolérance, dose usuelle 75-150 mg/jour, dose maximale 200-250 mg/j (sous surveillance spécialisée et EEG si &gt;200 mg/j). TOC : initialement 25 mg/jour le soir, augmentation progressive jusqu'à 100-250 mg/j (posologie souvent plus élevée que dans la dépression, sous surveillance EEG). Trouble panique : initialement 10 mg/jour, augmentation très progressive jusqu'à 75-100 mg/j (réduction de l'activation anxiogène initiale).</w:t>
      </w:r>
    </w:p>
    <w:p>
      <w:pPr>
        <w:pStyle w:val="ListBullet"/>
      </w:pPr>
      <w:r>
        <w:t>Sujet âgé : dose initiale réduite à 10 mg/jour, augmentation très progressive par paliers de 10 mg, dose usuelle 30-75 mg/j, dose maximale 100 mg/j.</w:t>
      </w:r>
    </w:p>
    <w:p>
      <w:pPr>
        <w:pStyle w:val="ListBullet"/>
      </w:pPr>
      <w:r>
        <w:t>Enfant &gt;5 ans et adolescent (TOC) : initialement 10 mg/jour, augmentation progressive par paliers de 10 mg tous les 15 jours, dose usuelle 1-3 mg/kg/jour, dose maximale 100-200 mg/j selon l'âge et la tolérance.</w:t>
      </w:r>
    </w:p>
    <w:p>
      <w:pPr>
        <w:pStyle w:val="ListBullet"/>
      </w:pPr>
      <w:r>
        <w:t>Insuffisance hépatique ou rénale : réduire la dose de moitié.</w:t>
      </w:r>
    </w:p>
    <w:p>
      <w:pPr>
        <w:pStyle w:val="ListBullet"/>
      </w:pPr>
      <w:r>
        <w:t>Forme injectable (Anafranil 25 mg/2 ml) : réservée à l'usage hospitalier, dans les dépressions mélancoliques sévères avec risque suicidaire. Perfusions IV lentes (2-3 heures) à la dose de 25-100 mg/jour dans 250 ml de sérum salé ou glucosé, en cure de 10-15 jours, relayée par la forme orale.</w:t>
      </w:r>
    </w:p>
    <w:p>
      <w:pPr>
        <w:pStyle w:val="ListBullet"/>
      </w:pPr>
      <w:r>
        <w:t>Durée : épisode dépressif : 6 mois minimum après rémission complète ; TOC : au long cours (souvent à vie) ; prévention des récidives dépressives : au long cours.</w:t>
      </w:r>
    </w:p>
    <w:p>
      <w:pPr>
        <w:pStyle w:val="ListBullet"/>
      </w:pPr>
      <w:r>
        <w:t>Moment de la prise : le soir (en raison de la sédation — prendre 1 heure avant le coucher), en une prise unique vespérale ou en deux prises (matin et soir si dose &gt;100 mg/j).</w:t>
      </w:r>
    </w:p>
    <w:p>
      <w:r/>
      <w:r>
        <w:rPr>
          <w:b/>
        </w:rPr>
        <w:t>Arbitrage et Bénéfices des Formes Galéniques :</w:t>
      </w:r>
      <w:r/>
    </w:p>
    <w:p>
      <w:pPr>
        <w:pStyle w:val="ListBullet"/>
      </w:pPr>
      <w:r/>
      <w:r>
        <w:rPr>
          <w:b/>
        </w:rPr>
        <w:t>Comprimé enrobé 10 mg, 25 mg et 75 mg</w:t>
      </w:r>
      <w:r>
        <w:t xml:space="preserve"> (Anafranil, Clonaprime, Cronil, Clofranil, Trianil) : formes standard de prescription en ville. Le comprimé 10 mg est particulièrement utile pour l'initiation à faible dose (sujet âgé, trouble panique, enfant), les paliers de sevrage et la titration fine. Le comprimé 75 mg est adapté à la dose d'entretien en une prise vespérale. Comprimés généralement sécables pour adaptation posologique fine.</w:t>
      </w:r>
    </w:p>
    <w:p>
      <w:pPr>
        <w:pStyle w:val="ListBullet"/>
      </w:pPr>
      <w:r/>
      <w:r>
        <w:rPr>
          <w:b/>
        </w:rPr>
        <w:t>Solution injectable 25 mg/2 ml (Anafranil — Defiante)</w:t>
      </w:r>
      <w:r>
        <w:t xml:space="preserve"> : forme hospitalière réservée aux dépressions mélancoliques sévères avec risque suicidaire, en cure de perfusion IV lente (10-15 jours). Avantage : effet antidépresseur plus rapide (5-10 jours vs 3-4 semaines pour la forme orale), surveillance médicale rapprochée. Relayée par la forme orale dès amélioration. Inconvénient : nécessite une hospitalisation, risque de phlébite (perfuser lentement, diluer dans 250 ml).</w:t>
      </w:r>
    </w:p>
    <w:p>
      <w:pPr>
        <w:pStyle w:val="ListBullet"/>
      </w:pPr>
      <w:r/>
      <w:r>
        <w:rPr>
          <w:b/>
        </w:rPr>
        <w:t>Formes galéniques complémentaires</w:t>
      </w:r>
      <w:r>
        <w:t xml:space="preserve"> : le comprimé 75 mg est souvent sécable, permettant l'adaptation à 37,5 mg (paliers de sevrage finaux).</w:t>
      </w:r>
    </w:p>
    <w:p>
      <w:pPr>
        <w:pStyle w:val="ListBullet"/>
      </w:pPr>
      <w:r>
        <w:t>Arbitrage : la forme orale est standard en ville, à dose initiale faible (10-25 mg) augmentée progressivement. La forme injectable est réservée à l'usage hospitalier pour dépression mélancolique sévère.</w:t>
      </w:r>
    </w:p>
    <w:p>
      <w:r/>
      <w:r>
        <w:rPr>
          <w:b/>
        </w:rPr>
        <w:t>Instructions et Conseils au Patient :</w:t>
      </w:r>
      <w:r/>
    </w:p>
    <w:p>
      <w:pPr>
        <w:pStyle w:val="ListBullet"/>
      </w:pPr>
      <w:r>
        <w:t xml:space="preserve">Communication au comptoir : « Ce médicament est un antidépresseur tricyclique, particulièrement indiqué dans les troubles obsessionnels-compulsifs (TOC) et les dépressions sévères. </w:t>
      </w:r>
      <w:r>
        <w:rPr>
          <w:b/>
        </w:rPr>
        <w:t>Prenez-le le soir</w:t>
      </w:r>
      <w:r>
        <w:t xml:space="preserve"> car il donne sommeil. Les premiers jours, vous pouvez ressentir une sécheresse de la bouche, une constipation, des vertiges en vous levant, une vision trouble, parfois des tremblements. </w:t>
      </w:r>
      <w:r>
        <w:rPr>
          <w:b/>
        </w:rPr>
        <w:t>Buvez de l'eau régulièrement, mâchez du chewing-gum sans sucre pour la bouche</w:t>
      </w:r>
      <w:r>
        <w:t xml:space="preserve">. Évitez l'alcool. </w:t>
      </w:r>
      <w:r>
        <w:rPr>
          <w:b/>
        </w:rPr>
        <w:t>Ne dépassez pas la dose prescrite</w:t>
      </w:r>
      <w:r>
        <w:t xml:space="preserve"> : ce médicament est dangereux en surdosage. Prévenez votre médecin si vous avez des palpitations, des malaises, une rétention d'urine, des convulsions ou une fièvre inexpliquée. Évitez de conduire les premiers jours. »</w:t>
      </w:r>
    </w:p>
    <w:p>
      <w:pPr>
        <w:pStyle w:val="ListBullet"/>
      </w:pPr>
      <w:r>
        <w:t>Mode d'utilisation pratique : prise vespérale 1 heure avant le coucher ; se lever lentement pour éviter les vertiges orthostatiques ; hydratation abondante ; régime riche en fibres ; surveillance du poids et de la TA ; consultations médicales rapprochées ; prévenir tous les médecins consultés ; éviter l'arrêt brutal (syndrome de sevrage).</w:t>
      </w:r>
    </w:p>
    <w:p>
      <w:r/>
      <w:r>
        <w:rPr>
          <w:b/>
        </w:rPr>
        <w:t>Notes, Règles d'Or &amp; Pièges au Comptoir :</w:t>
      </w:r>
      <w:r/>
    </w:p>
    <w:p>
      <w:pPr>
        <w:pStyle w:val="ListBullet"/>
      </w:pPr>
      <w:r>
        <w:t>Piège classique n°1 : la clomipramine est l'</w:t>
      </w:r>
      <w:r>
        <w:rPr>
          <w:b/>
        </w:rPr>
        <w:t>ATC le plus sérotoninergique</w:t>
      </w:r>
      <w:r>
        <w:t xml:space="preserve"> de la classe — particulièrement à risque de syndrome sérotoninergique en cas d'association aux IMAO, IRS, IRSN, tramadol ou triptans. Vérifier systématiquement la prescription chez le patient sous antidépresseur.</w:t>
      </w:r>
    </w:p>
    <w:p>
      <w:pPr>
        <w:pStyle w:val="ListBullet"/>
      </w:pPr>
      <w:r>
        <w:t>Piège classique n°2 : la clomipramine est l'</w:t>
      </w:r>
      <w:r>
        <w:rPr>
          <w:b/>
        </w:rPr>
        <w:t>ATC le plus épileptogène</w:t>
      </w:r>
      <w:r>
        <w:t xml:space="preserve"> — surveillance EEG à doses élevées (&gt;200 mg/j) et chez le patient épileptique.</w:t>
      </w:r>
    </w:p>
    <w:p>
      <w:pPr>
        <w:pStyle w:val="ListBullet"/>
      </w:pPr>
      <w:r>
        <w:t xml:space="preserve">Piège classique n°3 : la </w:t>
      </w:r>
      <w:r>
        <w:rPr>
          <w:b/>
        </w:rPr>
        <w:t>forme injectable</w:t>
      </w:r>
      <w:r>
        <w:t xml:space="preserve"> est exclusivement réservée à l'usage hospitalier en cure de perfusion IV lente — risque de phlébite et d'effets indésirables aigus si perfusion trop rapide.</w:t>
      </w:r>
    </w:p>
    <w:p>
      <w:pPr>
        <w:pStyle w:val="ListBullet"/>
      </w:pPr>
      <w:r>
        <w:t xml:space="preserve">Piège classique n°4 : la </w:t>
      </w:r>
      <w:r>
        <w:rPr>
          <w:b/>
        </w:rPr>
        <w:t>dysfonction sexuelle</w:t>
      </w:r>
      <w:r>
        <w:t xml:space="preserve"> de la clomipramine (troubles de l'éjaculation, anorgasmie) est particulièrement marquée — parfois utilisée comme effet thérapeutique recherché dans l'éjaculation précoce off-label.</w:t>
      </w:r>
    </w:p>
    <w:p>
      <w:pPr>
        <w:pStyle w:val="ListBullet"/>
      </w:pPr>
      <w:r>
        <w:t>Règle de prise : soir, 1 heure avant le coucher.</w:t>
      </w:r>
    </w:p>
    <w:p>
      <w:pPr>
        <w:pStyle w:val="ListBullet"/>
      </w:pPr>
      <w:r>
        <w:t>Préparation et Conservation : conserver à température &lt;25°C, à l'abri de l'humidité et de la lumière ; solution injectable à conserver à l'abri de la lumière.</w:t>
      </w:r>
    </w:p>
    <w:p>
      <w:pPr>
        <w:pStyle w:val="ListBullet"/>
      </w:pPr>
      <w:r>
        <w:t>Piège du surdosage / Substitution : en cas de surdosage, hospitalisation urgente en réanimation, ECG continu, bicarbonate de sodium IV, charbon activé si prise récente, surveillance EEG (convulsions particulièrement fréquentes avec la clomipramine). Lors de substitution entre marques actives (Anafranil ↔ Clonaprime ↔ Cronil ↔ Clofranil ↔ Trianil), vérifier l'équivalence de dosage (comprimé 10 mg, 25 mg ou 75 mg identique d'une marque à l'autre) et expliquer au patient la substitution générique.</w:t>
      </w:r>
    </w:p>
    <w:p>
      <w:pPr>
        <w:pStyle w:val="Heading3"/>
      </w:pPr>
      <w:r>
        <w:t>11. DCI : Trimipramine (Seule)</w:t>
      </w:r>
    </w:p>
    <w:p>
      <w:r/>
      <w:r>
        <w:rPr>
          <w:b/>
        </w:rPr>
        <w:t>Liste des Catégories :</w:t>
      </w:r>
      <w:r>
        <w:t xml:space="preserve"> Antidépresseurs — Tricycliques (ATC) ; Liste I.</w:t>
      </w:r>
    </w:p>
    <w:p>
      <w:r>
        <w:t xml:space="preserve">La trimipramine (Surmontil® — Sanofi-Aventis) est un ATC atypique de la famille des dibenzazépines, présentant la particularité d'avoir un </w:t>
      </w:r>
      <w:r>
        <w:rPr>
          <w:b/>
        </w:rPr>
        <w:t>effet sédatif très marqué</w:t>
      </w:r>
      <w:r>
        <w:t xml:space="preserve"> sans inhibition significative de la recapture de la sérotonine ou de la noradrénaline — son mécanisme d'action exact reste imparfaitement compris et semble impliquer une modulation de la transmission dopaminergique et de la sécréion d'hormones hypophysaires (prolactine). La trimipramine est utilisée principalement dans les </w:t>
      </w:r>
      <w:r>
        <w:rPr>
          <w:b/>
        </w:rPr>
        <w:t>dépressions anxieuses avec insomnie marquée</w:t>
      </w:r>
      <w:r>
        <w:t xml:space="preserve"> et dans certaines insomnies chroniques rebelles, en raison de son effet sédatif puissant (effet H1 et α1 marqués) sans effet anticholinergique aussi prononcé que l'amitriptyline. Sa disponibilité en Algérie est limitée (Surmontil® comprimés et solution buvable — Biopharm).</w:t>
      </w:r>
    </w:p>
    <w:p>
      <w:r/>
      <w:r>
        <w:rPr>
          <w:b/>
        </w:rPr>
        <w:t>Médicaments disponibles en Algérie (Marques, Laboratoires, Formes et Dosages) :</w:t>
      </w:r>
      <w:r/>
    </w:p>
    <w:p>
      <w:pPr>
        <w:pStyle w:val="ListBullet"/>
      </w:pPr>
      <w:r/>
      <w:r>
        <w:rPr>
          <w:b/>
        </w:rPr>
        <w:t>SURMONTIL</w:t>
      </w:r>
      <w:r>
        <w:t xml:space="preserve"> (SANOFI AVENTIS FRANCE)</w:t>
      </w:r>
    </w:p>
    <w:p>
      <w:pPr>
        <w:pStyle w:val="ListBullet"/>
      </w:pPr>
      <w:r>
        <w:t>Formes et Dosages : Comprimé sécable 25 mg, boîte de 50</w:t>
      </w:r>
    </w:p>
    <w:p>
      <w:pPr>
        <w:pStyle w:val="ListBullet"/>
      </w:pPr>
      <w:r>
        <w:t>Statut : Actif</w:t>
      </w:r>
    </w:p>
    <w:p>
      <w:pPr>
        <w:pStyle w:val="ListBullet"/>
      </w:pPr>
      <w:r/>
      <w:r>
        <w:rPr>
          <w:b/>
        </w:rPr>
        <w:t>SURMONTIL</w:t>
      </w:r>
      <w:r>
        <w:t xml:space="preserve"> (BIOPHARM)</w:t>
      </w:r>
    </w:p>
    <w:p>
      <w:pPr>
        <w:pStyle w:val="ListBullet"/>
      </w:pPr>
      <w:r>
        <w:t>Formes et Dosages : Solution buvable en gouttes 0,04 (40 mg/ml), flacon de 30 ml</w:t>
      </w:r>
    </w:p>
    <w:p>
      <w:pPr>
        <w:pStyle w:val="ListBullet"/>
      </w:pPr>
      <w:r>
        <w:t>Statut : Actif</w:t>
      </w:r>
    </w:p>
    <w:p>
      <w:pPr>
        <w:pStyle w:val="ListBullet"/>
      </w:pPr>
      <w:r/>
      <w:r>
        <w:rPr>
          <w:b/>
        </w:rPr>
        <w:t>TRIMIANIN</w:t>
      </w:r>
      <w:r>
        <w:t xml:space="preserve"> (CROVIS PHILCOM)</w:t>
      </w:r>
    </w:p>
    <w:p>
      <w:pPr>
        <w:pStyle w:val="ListBullet"/>
      </w:pPr>
      <w:r>
        <w:t>Formes et Dosages : Solution buvable en gouttes 0,04, flacon de 30 ml</w:t>
      </w:r>
    </w:p>
    <w:p>
      <w:pPr>
        <w:pStyle w:val="ListBullet"/>
      </w:pPr>
      <w:r>
        <w:t>Statut : Non Renouvelable</w:t>
      </w:r>
    </w:p>
    <w:p>
      <w:r/>
      <w:r>
        <w:rPr>
          <w:b/>
        </w:rPr>
        <w:t>Sous-classe et Mécanisme d'action :</w:t>
      </w:r>
      <w:r/>
    </w:p>
    <w:p>
      <w:pPr>
        <w:pStyle w:val="ListBullet"/>
      </w:pPr>
      <w:r>
        <w:t>Sous-classe : ATC atypique de la famille des dibenzazépines, chef de file des ATC sédatifs sans inhibition significative de la recapture monoaminergique.</w:t>
      </w:r>
    </w:p>
    <w:p>
      <w:pPr>
        <w:pStyle w:val="ListBullet"/>
      </w:pPr>
      <w:r>
        <w:t xml:space="preserve">Mécanisme d'action : à la différence des autres ATC, la trimipramine n'inhibe pas de façon significative la recapture de la sérotonine ou de la noradrénaline. Son effet antidépresseur semble impliquer : (1) un </w:t>
      </w:r>
      <w:r>
        <w:rPr>
          <w:b/>
        </w:rPr>
        <w:t>blocage des récepteurs présynaptiques α2</w:t>
      </w:r>
      <w:r>
        <w:t xml:space="preserve"> (augmentation de la libération de NA), (2) une </w:t>
      </w:r>
      <w:r>
        <w:rPr>
          <w:b/>
        </w:rPr>
        <w:t>modulation de la transmission dopaminergique</w:t>
      </w:r>
      <w:r>
        <w:t xml:space="preserve"> mésolimbique et mésocorticale, (3) un </w:t>
      </w:r>
      <w:r>
        <w:rPr>
          <w:b/>
        </w:rPr>
        <w:t>blocage des récepteurs 5-HT2A</w:t>
      </w:r>
      <w:r>
        <w:t xml:space="preserve"> (effet anxiolytique et amélioration du sommeil), (4) une </w:t>
      </w:r>
      <w:r>
        <w:rPr>
          <w:b/>
        </w:rPr>
        <w:t>augmentation de la sécrétion de prolactine</w:t>
      </w:r>
      <w:r>
        <w:t xml:space="preserve"> (effet secondaire mais aussi marqueur d'action centrale). Affinité marquée pour les récepteurs H1 (sédation), α1 (hypotension orthostatique), 5-HT2A/2C et D2 (faible). Métabolisme hépatique via CYP2D6 et CYP2C19 en métabolites actifs (désméthyltrimipramine). Demi-vie d'élimination : 20-30 heures.</w:t>
      </w:r>
    </w:p>
    <w:p>
      <w:r/>
      <w:r>
        <w:rPr>
          <w:b/>
        </w:rPr>
        <w:t>Profil Pharmacologique :</w:t>
      </w:r>
      <w:r/>
    </w:p>
    <w:p>
      <w:pPr>
        <w:pStyle w:val="ListBullet"/>
      </w:pPr>
      <w:r>
        <w:t>Indications : épisode dépressif majeur avec anxiété marquée et insomnie (indication de référence), trouble anxieux avec composante dépressive, insomnie chronique rebelle (en seconde intention, hors AMM). En Algérie, usage essentiellement la dépression anxieuse avec insomnie.</w:t>
      </w:r>
    </w:p>
    <w:p>
      <w:pPr>
        <w:pStyle w:val="ListBullet"/>
      </w:pPr>
      <w:r>
        <w:t>Contre-indications : hypersensibilité, association aux IMAO (washout 14 jours), glaucome à angle fermé, hypertrophie bénigne de la prostate avec rétention urinaire, infarctus du myocarde récent (&lt;3 mois), troubles de conduction (bloc AV non appareillé), insuffisance hépatique sévère. Précautions : sujet âgé (risque de syndrome confusionnel), épilepsie, antécédents de rétention urinaire, hyperthyroïdie.</w:t>
      </w:r>
    </w:p>
    <w:p>
      <w:pPr>
        <w:pStyle w:val="ListBullet"/>
      </w:pPr>
      <w:r>
        <w:t xml:space="preserve">Effets Indésirables : effets anticholinergiques (sécheresse buccale, constipation, rétention urinaire, troubles visuels — moins marqués qu'avec l'amitriptyline), </w:t>
      </w:r>
      <w:r>
        <w:rPr>
          <w:b/>
        </w:rPr>
        <w:t>sédation et somnolence très marquées</w:t>
      </w:r>
      <w:r>
        <w:t xml:space="preserve"> (effet H1 puissant — particulièrement recherché dans l'indication), prise de poids (effet H1 et 5-HT2C — 2-8 kg), hypotension orthostatique (effet α1), allongement du QTc et troubles de conduction (effet stabilisant de membrane), dysfonction sexuelle (baisse de libido, troubles de l'éjaculation), </w:t>
      </w:r>
      <w:r>
        <w:rPr>
          <w:b/>
        </w:rPr>
        <w:t>hyperprolactinémie</w:t>
      </w:r>
      <w:r>
        <w:t xml:space="preserve"> (galactorrhée, aménorrhée, gynécomastie — effet spécifique de la trimipramine), hyponatrémie par SIADH (rare), convulsions à forte dose, rash cutané, photosensibilité. Toxicité en surdosage identique aux autres ATC : troubles de conduction, arythmies ventriculaires, collapsus cardiovasculaire, convulsions, coma.</w:t>
      </w:r>
    </w:p>
    <w:p>
      <w:r/>
      <w:r>
        <w:rPr>
          <w:b/>
        </w:rPr>
        <w:t>Prévention et Gestion des Effets Indésirables :</w:t>
      </w:r>
      <w:r/>
    </w:p>
    <w:p>
      <w:pPr>
        <w:pStyle w:val="ListBullet"/>
      </w:pPr>
      <w:r>
        <w:t>Mesures Préventives : initiation à faible dose (25-50 mg/jour le soir) pendant 7 jours puis augmentation par paliers de 25 mg tous les 3-7 jours selon tolérance ; prise vespérale stricte en raison de la sédation ; ECG avant instauration et à chaque palier de dose ; surveillance de la tension artérielle (orthostatique) ; surveillance natrémie chez le sujet &gt;65 ans ; bilan hépatique à l'instauration ; information du patient sur la sédation (ne pas conduire les premiers jours) et sur l'hygiène buccodentaire.</w:t>
      </w:r>
    </w:p>
    <w:p>
      <w:pPr>
        <w:pStyle w:val="ListBullet"/>
      </w:pPr>
      <w:r>
        <w:t>Conduite à Tenir : en cas de syndrome sérotoninergique, arrêt immédiat (rare en raison du mécanisme atypique) ; en cas d'hyperprolactinémie symptomatique (galactorrhée, aménorrhée), arrêt ou switch vers un autre ATC ; arrêt progressif par paliers de 25 mg par semaine sur 4 semaines ; en cas de surdosage, hospitalisation urgente en réanimation, ECG continu, bicarbonate de sodium IV.</w:t>
      </w:r>
    </w:p>
    <w:p>
      <w:r/>
      <w:r>
        <w:rPr>
          <w:b/>
        </w:rPr>
        <w:t>Interactions Importantes :</w:t>
      </w:r>
      <w:r/>
    </w:p>
    <w:p>
      <w:pPr>
        <w:pStyle w:val="ListBullet"/>
      </w:pPr>
      <w:r/>
      <w:r>
        <w:rPr>
          <w:b/>
        </w:rPr>
        <w:t>Trimipramine + IMAO</w:t>
      </w:r>
      <w:r>
        <w:t xml:space="preserve"> : CI ABSOLUE. Washout 14 jours.</w:t>
      </w:r>
    </w:p>
    <w:p>
      <w:pPr>
        <w:pStyle w:val="ListBullet"/>
      </w:pPr>
      <w:r/>
      <w:r>
        <w:rPr>
          <w:b/>
        </w:rPr>
        <w:t>Trimipramine + IRS / IRSN</w:t>
      </w:r>
      <w:r>
        <w:t xml:space="preserve"> : potentialisation sérotoninergique modérée — surveillance clinique.</w:t>
      </w:r>
    </w:p>
    <w:p>
      <w:pPr>
        <w:pStyle w:val="ListBullet"/>
      </w:pPr>
      <w:r/>
      <w:r>
        <w:rPr>
          <w:b/>
        </w:rPr>
        <w:t>Trimipramine + Adrénaline / Noradrénaline</w:t>
      </w:r>
      <w:r>
        <w:t xml:space="preserve"> : potentialisation des effets adrénergiques → accès hypertensif.</w:t>
      </w:r>
    </w:p>
    <w:p>
      <w:pPr>
        <w:pStyle w:val="ListBullet"/>
      </w:pPr>
      <w:r/>
      <w:r>
        <w:rPr>
          <w:b/>
        </w:rPr>
        <w:t>Trimipramine + Antihypertenseurs</w:t>
      </w:r>
      <w:r>
        <w:t xml:space="preserve"> : atténuation de l'effet antihypertenseur.</w:t>
      </w:r>
    </w:p>
    <w:p>
      <w:pPr>
        <w:pStyle w:val="ListBullet"/>
      </w:pPr>
      <w:r/>
      <w:r>
        <w:rPr>
          <w:b/>
        </w:rPr>
        <w:t>Trimipramine + Médicaments allongeant le QT</w:t>
      </w:r>
      <w:r>
        <w:t xml:space="preserve"> : majoration du risque d'allongement du QTc.</w:t>
      </w:r>
    </w:p>
    <w:p>
      <w:pPr>
        <w:pStyle w:val="ListBullet"/>
      </w:pPr>
      <w:r/>
      <w:r>
        <w:rPr>
          <w:b/>
        </w:rPr>
        <w:t>Trimipramine + Inhibiteurs du CYP2D6</w:t>
      </w:r>
      <w:r>
        <w:t xml:space="preserve"> (paroxétine, fluoxétine, quinidine) : augmentation des concentrations → risque de toxicité.</w:t>
      </w:r>
    </w:p>
    <w:p>
      <w:pPr>
        <w:pStyle w:val="ListBullet"/>
      </w:pPr>
      <w:r/>
      <w:r>
        <w:rPr>
          <w:b/>
        </w:rPr>
        <w:t>Trimipramine + AINS / Anticoagulants oraux</w:t>
      </w:r>
      <w:r>
        <w:t xml:space="preserve"> : majoration du risque hémorragique.</w:t>
      </w:r>
    </w:p>
    <w:p>
      <w:pPr>
        <w:pStyle w:val="ListBullet"/>
      </w:pPr>
      <w:r/>
      <w:r>
        <w:rPr>
          <w:b/>
        </w:rPr>
        <w:t>Trimipramine + Alcool</w:t>
      </w:r>
      <w:r>
        <w:t xml:space="preserve"> : potentialisation de la sédation. À éviter formellement.</w:t>
      </w:r>
    </w:p>
    <w:p>
      <w:pPr>
        <w:pStyle w:val="ListBullet"/>
      </w:pPr>
      <w:r/>
      <w:r>
        <w:rPr>
          <w:b/>
        </w:rPr>
        <w:t>Trimipramine + Médicaments hyperprolactinémiants</w:t>
      </w:r>
      <w:r>
        <w:t xml:space="preserve"> (antipsychotiques, métoclopramide, véralipride) : potentialisation du risque d'hyperprolactinémie.</w:t>
      </w:r>
    </w:p>
    <w:p>
      <w:r/>
      <w:r>
        <w:rPr>
          <w:b/>
        </w:rPr>
        <w:t>Grossesse et Allaitement :</w:t>
      </w:r>
      <w:r/>
    </w:p>
    <w:p>
      <w:pPr>
        <w:pStyle w:val="ListBullet"/>
      </w:pPr>
      <w:r>
        <w:t>Grossesse : selon le CRAT, la trimipramine est compatible avec la grossesse (pas de tératogénicité prouvée, recul limité mais rassurant). Risque d'adaptation néonatale au 3e trimestre (sédation, hypotonie, détresse respiratoire). Préférer la sertraline en première intention, mais la trimipramine reste utilisable si bénéfice attendu supérieur.</w:t>
      </w:r>
    </w:p>
    <w:p>
      <w:pPr>
        <w:pStyle w:val="ListBullet"/>
      </w:pPr>
      <w:r>
        <w:t>Allaitement : la trimipramine et son métabolite passent dans le lait maternel. À éviter selon le CRAT en première intention (préférer sertraline), ou utiliser avec surveillance clinique étroite du nourrisson (sommeil, prise de poids).</w:t>
      </w:r>
    </w:p>
    <w:p>
      <w:pPr>
        <w:pStyle w:val="ListBullet"/>
      </w:pPr>
      <w:r>
        <w:t>Précisions : en raison de l'hyperprolactinémie induite, la trimipramine peut perturber la lactation (diminution de la production de lait).</w:t>
      </w:r>
    </w:p>
    <w:p>
      <w:r/>
      <w:r>
        <w:rPr>
          <w:b/>
        </w:rPr>
        <w:t>Posologie et Mode d'administration (Standard) :</w:t>
      </w:r>
      <w:r/>
    </w:p>
    <w:p>
      <w:pPr>
        <w:pStyle w:val="ListBullet"/>
      </w:pPr>
      <w:r>
        <w:t>Adulte : dépression anxieuse avec insomnie — initialement 25-50 mg/jour le soir, en une prise unique vespérale ; augmentation par paliers de 25-50 mg tous les 3-7 jours selon tolérance, dose usuelle 75-150 mg/jour, dose maximale 200-300 mg/jour. Insomnie chronique : 25-50 mg/jour le soir (en seconde intention, hors AMM).</w:t>
      </w:r>
    </w:p>
    <w:p>
      <w:pPr>
        <w:pStyle w:val="ListBullet"/>
      </w:pPr>
      <w:r>
        <w:t>Sujet âgé : dose initiale réduite à 10-25 mg/jour, augmentation très progressive par paliers de 10-25 mg, dose usuelle 25-75 mg/j, dose maximale 100 mg/j.</w:t>
      </w:r>
    </w:p>
    <w:p>
      <w:pPr>
        <w:pStyle w:val="ListBullet"/>
      </w:pPr>
      <w:r>
        <w:t>Insuffisance hépatique ou rénale : réduire la dose de moitié.</w:t>
      </w:r>
    </w:p>
    <w:p>
      <w:pPr>
        <w:pStyle w:val="ListBullet"/>
      </w:pPr>
      <w:r>
        <w:t>Durée : épisode dépressif : 6 mois minimum après rémission complète ; prévention des récidives dépressives : au long cours (2-5 ans après 2-3 épisodes) ; insomnie chronique : traitement de courte durée (4-8 semaines maximum en raison du risque de tolérance et de dépendance psychique).</w:t>
      </w:r>
    </w:p>
    <w:p>
      <w:pPr>
        <w:pStyle w:val="ListBullet"/>
      </w:pPr>
      <w:r>
        <w:t>Moment de la prise : le soir (en raison de la sédation — prendre 1-2 heures avant le coucher), en une prise unique vespérale.</w:t>
      </w:r>
    </w:p>
    <w:p>
      <w:r/>
      <w:r>
        <w:rPr>
          <w:b/>
        </w:rPr>
        <w:t>Arbitrage et Bénéfices des Formes Galéniques :</w:t>
      </w:r>
      <w:r/>
    </w:p>
    <w:p>
      <w:pPr>
        <w:pStyle w:val="ListBullet"/>
      </w:pPr>
      <w:r/>
      <w:r>
        <w:rPr>
          <w:b/>
        </w:rPr>
        <w:t>Comprimé sécable 25 mg (Surmontil — Sanofi-Aventis)</w:t>
      </w:r>
      <w:r>
        <w:t xml:space="preserve"> : forme standard de prescription en ville. La sécabilité permet l'adaptation à 12,5 mg (paliers d'initiation chez le sujet âgé, posologie de l'insomnie chronique, paliers de sevrage).</w:t>
      </w:r>
    </w:p>
    <w:p>
      <w:pPr>
        <w:pStyle w:val="ListBullet"/>
      </w:pPr>
      <w:r/>
      <w:r>
        <w:rPr>
          <w:b/>
        </w:rPr>
        <w:t>Solution buvable en gouttes 0,04 (40 mg/ml) (Surmontil — Biopharm)</w:t>
      </w:r>
      <w:r>
        <w:t xml:space="preserve"> : forme particulièrement adaptée aux patients ayant des difficultés de déglutition (sujet âgé, dysphagie), aux posologies pédiatriques et aux paliers de sevrage très progressifs. Concentration : 1 goutte ≈ 1 mg de trimipramine (varie selon le compte-gouttes). Avantage majeur pour les faibles posologies (insomnie 10-25 mg = 10-25 gouttes).</w:t>
      </w:r>
    </w:p>
    <w:p>
      <w:pPr>
        <w:pStyle w:val="ListBullet"/>
      </w:pPr>
      <w:r/>
      <w:r>
        <w:rPr>
          <w:b/>
        </w:rPr>
        <w:t>Forme non renouvelable (Trimianin — Crovis Philcom)</w:t>
      </w:r>
      <w:r>
        <w:t xml:space="preserve"> : marque historique de solution buvable, encore présente dans les stocks résiduels. Privilégier la forme active (Surmontil — Biopharm).</w:t>
      </w:r>
    </w:p>
    <w:p>
      <w:pPr>
        <w:pStyle w:val="ListBullet"/>
      </w:pPr>
      <w:r>
        <w:t>Arbitrage : la solution buvable en gouttes est à privilégier pour le sujet âgé, l'enfant, les faibles posologies et les paliers de sevrage. Le comprimé sécable 25 mg est la forme standard de la dépression.</w:t>
      </w:r>
    </w:p>
    <w:p>
      <w:r/>
      <w:r>
        <w:rPr>
          <w:b/>
        </w:rPr>
        <w:t>Instructions et Conseils au Patient :</w:t>
      </w:r>
      <w:r/>
    </w:p>
    <w:p>
      <w:pPr>
        <w:pStyle w:val="ListBullet"/>
      </w:pPr>
      <w:r>
        <w:t xml:space="preserve">Communication au comptoir : « Ce médicament est un antidépresseur tricyclique à effet sédatif, particulièrement indiqué dans les dépressions avec anxiété et insomnie. </w:t>
      </w:r>
      <w:r>
        <w:rPr>
          <w:b/>
        </w:rPr>
        <w:t>Prenez-le le soir, 1 à 2 heures avant le coucher</w:t>
      </w:r>
      <w:r>
        <w:t xml:space="preserve">. Les premiers jours, vous pouvez ressentir une sécheresse de la bouche, une constipation, des vertiges en vous levant, une vision trouble. </w:t>
      </w:r>
      <w:r>
        <w:rPr>
          <w:b/>
        </w:rPr>
        <w:t>Buvez de l'eau régulièrement</w:t>
      </w:r>
      <w:r>
        <w:t xml:space="preserve">. Évitez l'alcool. </w:t>
      </w:r>
      <w:r>
        <w:rPr>
          <w:b/>
        </w:rPr>
        <w:t>Ne dépassez pas la dose prescrite</w:t>
      </w:r>
      <w:r>
        <w:t xml:space="preserve"> : ce médicament est dangereux en surdosage. Prévenez votre médecin si vous avez des palpitations, des malaises, une rétention d'urine, une galactorrhée (écoulement de lait) ou une aménorrhée (absence de règles). Évitez de conduire les premiers jours. »</w:t>
      </w:r>
    </w:p>
    <w:p>
      <w:pPr>
        <w:pStyle w:val="ListBullet"/>
      </w:pPr>
      <w:r>
        <w:t>Mode d'utilisation pratiques : prise vespérale 1-2 heures avant le coucher ; se lever lentement pour éviter les vertiges orthostatiques ; hydratation abondante ; régime riche en fibres ; surveillance du poids et de la TA ; consultations médicales rapprochées ; prévenir tous les médecins consultés ; éviter l'arrêt brutal.</w:t>
      </w:r>
    </w:p>
    <w:p>
      <w:r/>
      <w:r>
        <w:rPr>
          <w:b/>
        </w:rPr>
        <w:t>Notes, Règles d'Or &amp; Pièges au Comptoir :</w:t>
      </w:r>
      <w:r/>
    </w:p>
    <w:p>
      <w:pPr>
        <w:pStyle w:val="ListBullet"/>
      </w:pPr>
      <w:r>
        <w:t>Piège classique n°1 : la trimipramine est l'</w:t>
      </w:r>
      <w:r>
        <w:rPr>
          <w:b/>
        </w:rPr>
        <w:t>ATC le plus sédatif</w:t>
      </w:r>
      <w:r>
        <w:t xml:space="preserve"> de la classe — particulièrement indiqué dans les dépressions anxieuses avec insomnie marquée, mais à éviter chez le sujet âgé en raison du risque de chute et de syndrome confusionnel.</w:t>
      </w:r>
    </w:p>
    <w:p>
      <w:pPr>
        <w:pStyle w:val="ListBullet"/>
      </w:pPr>
      <w:r>
        <w:t>Piège classique n°2 : l'</w:t>
      </w:r>
      <w:r>
        <w:rPr>
          <w:b/>
        </w:rPr>
        <w:t>hyperprolactinémie</w:t>
      </w:r>
      <w:r>
        <w:t xml:space="preserve"> est un effet indésirable spécifique de la trimipramine (galactorrhée, aménorrhée, gynécomastie) — à évoquer devant tout symptôme endocrinien chez un patient traité.</w:t>
      </w:r>
    </w:p>
    <w:p>
      <w:pPr>
        <w:pStyle w:val="ListBullet"/>
      </w:pPr>
      <w:r>
        <w:t>Piège classique n°3 : la trimipramine est parfois confondue avec l'imipramine (ATC standard) ou l'amitriptyline (ATC sédatif) — vérifier la prescription et l'indication.</w:t>
      </w:r>
    </w:p>
    <w:p>
      <w:pPr>
        <w:pStyle w:val="ListBullet"/>
      </w:pPr>
      <w:r>
        <w:t>Règle de prise : soir, 1-2 heures avant le coucher.</w:t>
      </w:r>
    </w:p>
    <w:p>
      <w:pPr>
        <w:pStyle w:val="ListBullet"/>
      </w:pPr>
      <w:r>
        <w:t>Préparation et Conservation : conserver à température &lt;25°C, à l'abri de l'humidité et de la lumière ; solution buvable à utiliser dans le mois qui suit l'ouverture.</w:t>
      </w:r>
    </w:p>
    <w:p>
      <w:pPr>
        <w:pStyle w:val="ListBullet"/>
      </w:pPr>
      <w:r>
        <w:t>Piège du surdosage / Substitution : en cas de surdosage, hospitalisation urgente en réanimation, ECG continu, bicarbonate de sodium IV. Lors de substitution entre formes (comprimé ↔ solution buvable), vérifier l'équivalence de dosage (1 goutte ≈ 1 mg, soit 25 mg = 25 gouttes = 1 comprimé) et expliquer au patient le mode d'administration.</w:t>
      </w:r>
    </w:p>
    <w:p>
      <w:pPr>
        <w:pStyle w:val="Heading2"/>
      </w:pPr>
      <w:r>
        <w:t>SOUS-CLASSE 4 — ANTIDÉPRESSEURS TÉTRACYCLIQUES</w:t>
      </w:r>
    </w:p>
    <w:p>
      <w:pPr>
        <w:pStyle w:val="Heading3"/>
      </w:pPr>
      <w:r>
        <w:t>Introduction de la sous-classe</w:t>
      </w:r>
    </w:p>
    <w:p>
      <w:r>
        <w:t xml:space="preserve">Les antidépresseurs tétracycliques, apparus dans les années 1970, constituent une classe intermédiaire entre les tricycliques (ATC) et les antidépresseurs modernes (IRS, IRSN, NaSSA). Leur structure chimique comporte un noyau central à 7 chaînons flanqué de deux noyaux aromatiques — comme les ATC — avec en plus un quatrième cycle accolé, d'où leur nom. La classe comprend principalement la </w:t>
      </w:r>
      <w:r>
        <w:rPr>
          <w:b/>
        </w:rPr>
        <w:t>maprotiline</w:t>
      </w:r>
      <w:r>
        <w:t xml:space="preserve"> (Ludiomil® — Novartis), qui est le chef de file historique, et la </w:t>
      </w:r>
      <w:r>
        <w:rPr>
          <w:b/>
        </w:rPr>
        <w:t>miansérine</w:t>
      </w:r>
      <w:r>
        <w:t>, souvent classée parmi les tétracycliques atypiques en raison de son mécanisme distinct.</w:t>
      </w:r>
    </w:p>
    <w:p>
      <w:r/>
      <w:r>
        <w:rPr>
          <w:b/>
        </w:rPr>
        <w:t>Cibles moléculaires</w:t>
      </w:r>
      <w:r>
        <w:t xml:space="preserve"> :</w:t>
      </w:r>
    </w:p>
    <w:p>
      <w:pPr>
        <w:pStyle w:val="ListBullet"/>
      </w:pPr>
      <w:r/>
      <w:r>
        <w:rPr>
          <w:b/>
        </w:rPr>
        <w:t>Maprotiline</w:t>
      </w:r>
      <w:r>
        <w:t xml:space="preserve"> : inhibition sélective de la recapture de la noradrénaline (via NET) avec une faible affinité pour SERT, sans affinité significative pour les récepteurs muscariniques (peu d'effets anticholinergiques), mais avec une affinité marquée pour les récepteurs H1 (sédation, prise de poids), α1 (hypotension orthostatique) et pour les canaux sodiques (cardiotoxicité en surdosage, similaire aux ATC). Profil proche de la nortriptyline et de la désipramine (ATC noradrénergiques).</w:t>
      </w:r>
    </w:p>
    <w:p>
      <w:pPr>
        <w:pStyle w:val="ListBullet"/>
      </w:pPr>
      <w:r/>
      <w:r>
        <w:rPr>
          <w:b/>
        </w:rPr>
        <w:t>Miansérine</w:t>
      </w:r>
      <w:r>
        <w:t xml:space="preserve"> : mécanisme atypique avec </w:t>
      </w:r>
      <w:r>
        <w:rPr>
          <w:b/>
        </w:rPr>
        <w:t>blocage des récepteurs α2 présynaptiques</w:t>
      </w:r>
      <w:r>
        <w:t xml:space="preserve"> (qui sont normalement des autorécepteurs inhibiteurs de la libération de NA), entraînant une augmentation de la libération de noradrénaline au niveau des terminaisons sympathiques centrales. Affinité marquée pour les récepteurs H1 (sédation), 5-HT2A/2C, 5-HT3 et α1. Sans affinité pour les récepteurs muscariniques (pas d'effets anticholinergiques) ni pour les canaux sodiques (peu de cardiotoxicité en surdosage — avantage majeur par rapport aux ATC).</w:t>
      </w:r>
    </w:p>
    <w:p>
      <w:r/>
      <w:r>
        <w:rPr>
          <w:b/>
        </w:rPr>
        <w:t>Spectre d'activité clinique</w:t>
      </w:r>
      <w:r>
        <w:t xml:space="preserve"> : dépression majeure (surtout anxieuse pour la miansérine, avec ralentissement pour la maprotiline), dépression résistante aux IRS, dépression du sujet âgé (miansérine en raison de sa bonne tolérance cardiaque), insomnie associée à la dépression. En Algérie, l'usage de cette classe est devenu marginal avec l'avènement des IRS, mais la miansérine conserve une place dans la dépression du sujet âgé anxieux.</w:t>
      </w:r>
    </w:p>
    <w:p>
      <w:r/>
      <w:r>
        <w:rPr>
          <w:b/>
        </w:rPr>
        <w:t>Profil de tolérance</w:t>
      </w:r>
      <w:r>
        <w:t xml:space="preserve"> :</w:t>
      </w:r>
    </w:p>
    <w:p>
      <w:pPr>
        <w:pStyle w:val="ListBullet"/>
      </w:pPr>
      <w:r/>
      <w:r>
        <w:rPr>
          <w:b/>
        </w:rPr>
        <w:t>Maprotiline</w:t>
      </w:r>
      <w:r>
        <w:t xml:space="preserve"> : sédation, prise de poids, hypotension orthostatique, allongement du QTc et troubles de conduction (proche des ATC), </w:t>
      </w:r>
      <w:r>
        <w:rPr>
          <w:b/>
        </w:rPr>
        <w:t>risque convulsif dose-dépendant</w:t>
      </w:r>
      <w:r>
        <w:t xml:space="preserve"> (particulièrement marqué pour la maprotiline — incidence 4% à 200 mg/j, 15% à 300 mg/j — CI relative chez l'épileptique), dysfonction sexuelle. Cardiotoxicité en surdosage similaire aux ATC.</w:t>
      </w:r>
    </w:p>
    <w:p>
      <w:pPr>
        <w:pStyle w:val="ListBullet"/>
      </w:pPr>
      <w:r/>
      <w:r>
        <w:rPr>
          <w:b/>
        </w:rPr>
        <w:t>Miansérine</w:t>
      </w:r>
      <w:r>
        <w:t xml:space="preserve"> : sédation marquée, prise de poids (effet H1), hypotension orthostatique modérée, </w:t>
      </w:r>
      <w:r>
        <w:rPr>
          <w:b/>
        </w:rPr>
        <w:t>agranulocytose rare mais grave</w:t>
      </w:r>
      <w:r>
        <w:t xml:space="preserve"> (surveillance NFS — recommandation historique de surveillance mensuelle la première année), rash cutané, hyponatrémie par SIADH (rare). Absence de cardiotoxicité en surdosage — avantage majeur par rapport aux ATC chez le patient à risque suicidaire.</w:t>
      </w:r>
    </w:p>
    <w:p>
      <w:r/>
      <w:r>
        <w:rPr>
          <w:b/>
        </w:rPr>
        <w:t>Règle d'or du washout</w:t>
      </w:r>
      <w:r>
        <w:t xml:space="preserve"> : deux semaines (14 jours) minimum entre l'arrêt d'un IMAO et le début d'un tétracyclique, et inversement 7 jours.</w:t>
      </w:r>
    </w:p>
    <w:p>
      <w:pPr>
        <w:pStyle w:val="Heading3"/>
      </w:pPr>
      <w:r>
        <w:t>12. DCI : Maprotiline (Seule)</w:t>
      </w:r>
    </w:p>
    <w:p>
      <w:r/>
      <w:r>
        <w:rPr>
          <w:b/>
        </w:rPr>
        <w:t>Liste des Catégories :</w:t>
      </w:r>
      <w:r>
        <w:t xml:space="preserve"> Antidépresseurs — Tétracycliques ; Liste I.</w:t>
      </w:r>
    </w:p>
    <w:p>
      <w:r>
        <w:t xml:space="preserve">La maprotiline (Ludiomil® — Novartis), commercialisée depuis 1973, est le chef de file des antidépresseurs tétracycliques. C'est un </w:t>
      </w:r>
      <w:r>
        <w:rPr>
          <w:b/>
        </w:rPr>
        <w:t>inhibiteur sélectif de la recapture de la noradrénaline</w:t>
      </w:r>
      <w:r>
        <w:t xml:space="preserve"> (IRSN « de fait ») avec une faible affinité pour SERT, sans affinité significative pour les récepteurs muscariniques (peu d'effets anticholinergiques, ce qui la distingue des ATC). Cependant, sa </w:t>
      </w:r>
      <w:r>
        <w:rPr>
          <w:b/>
        </w:rPr>
        <w:t>tolérance est globalement proche de celle des ATC</w:t>
      </w:r>
      <w:r>
        <w:t xml:space="preserve"> en raison d'affinités marquées pour H1 (sédation, prise de poids), α1 (hypotension orthostatique) et pour les canaux sodiques (cardiotoxicité). Sa particularité la plus importante est un </w:t>
      </w:r>
      <w:r>
        <w:rPr>
          <w:b/>
        </w:rPr>
        <w:t>risque convulsif dose-dépendant</w:t>
      </w:r>
      <w:r>
        <w:t xml:space="preserve"> nettement plus élevé que les autres antidépresseurs — la maprotiline est contre-indiquée chez l'épileptique non équilibré et nécessite une surveillance EEG à doses élevées. En Algérie, la maprotiline est actuellement en statut </w:t>
      </w:r>
      <w:r>
        <w:rPr>
          <w:b/>
        </w:rPr>
        <w:t>non renouvelable</w:t>
      </w:r>
      <w:r>
        <w:t xml:space="preserve"> (Ludiomil® — Novartis), ce qui limite son usage clinique en ville.</w:t>
      </w:r>
    </w:p>
    <w:p>
      <w:r/>
      <w:r>
        <w:rPr>
          <w:b/>
        </w:rPr>
        <w:t>Médicaments disponibles en Algérie (Marques, Laboratoires, Formes et Dosages) :</w:t>
      </w:r>
      <w:r/>
    </w:p>
    <w:p>
      <w:pPr>
        <w:pStyle w:val="ListBullet"/>
      </w:pPr>
      <w:r/>
      <w:r>
        <w:rPr>
          <w:b/>
        </w:rPr>
        <w:t>LUDIOMIL</w:t>
      </w:r>
      <w:r>
        <w:t xml:space="preserve"> (NOVARTIS PHARMA S.A.)</w:t>
      </w:r>
    </w:p>
    <w:p>
      <w:pPr>
        <w:pStyle w:val="ListBullet"/>
      </w:pPr>
      <w:r>
        <w:t>Formes et Dosages : Comprimé pelliculé sécable 25 mg, boîte de 50 ; Comprimé pelliculé sécable 75 mg, boîte de 28</w:t>
      </w:r>
    </w:p>
    <w:p>
      <w:pPr>
        <w:pStyle w:val="ListBullet"/>
      </w:pPr>
      <w:r>
        <w:t>Statut : Non Renouvelable</w:t>
      </w:r>
    </w:p>
    <w:p>
      <w:r/>
      <w:r>
        <w:rPr>
          <w:i/>
        </w:rPr>
        <w:t>(Note : À l'heure actuelle, la marque Ludiomil® (Novartis Pharma) est en statut NON RENOUVELABLE dans la nomenclature algérienne. La maprotiline n'est donc plus disponible en routine en officine. Les patients antérieurement traités par maprotiline doivent être orientés vers un autre antidépresseur noradrénergique ou à double action — IRSN (venlafaxine, duloxétine), ATC (amitriptyline), ou NaSSA (mirtazapine).)</w:t>
      </w:r>
      <w:r/>
    </w:p>
    <w:p>
      <w:r/>
      <w:r>
        <w:rPr>
          <w:b/>
        </w:rPr>
        <w:t>Sous-classe et Mécanisme d'action :</w:t>
      </w:r>
      <w:r/>
    </w:p>
    <w:p>
      <w:pPr>
        <w:pStyle w:val="ListBullet"/>
      </w:pPr>
      <w:r>
        <w:t>Sous-classe : Tétracyclique de structure dibenzo-bicyclo-octadiène, chef de file de la classe, apparentée aux ATC noradrénergiques (nortriptyline, désipramine).</w:t>
      </w:r>
    </w:p>
    <w:p>
      <w:pPr>
        <w:pStyle w:val="ListBullet"/>
      </w:pPr>
      <w:r>
        <w:t>Mécanisme d'action : inhibition sélective et puissante de la recapture de la noradrénaline (via NET, Ki ≈ 11 nM) avec une faible affinité pour SERT (Ki ≈ 580 nM — soit un rapport NA/5-HT ≈ 50, marquant la sélectivité noradrénergique). Affinité marquée pour les récepteurs H1 (sédation, prise de poids), α1 (hypotension orthostatique) et pour les canaux sodiques voltage-dépendants (cardiotoxicité). Sans affinité significative pour les récepteurs muscariniques (faibles effets anticholinergiques, ce qui la distingue des ATC). Métabolisme hépatique via CYP2D6 en métabolites inactifs. Demi-vie d'élimination : 27-58 heures (longue, autorisant une seule prise quotidienne).</w:t>
      </w:r>
    </w:p>
    <w:p>
      <w:r/>
      <w:r>
        <w:rPr>
          <w:b/>
        </w:rPr>
        <w:t>Profil Pharmacologique :</w:t>
      </w:r>
      <w:r/>
    </w:p>
    <w:p>
      <w:pPr>
        <w:pStyle w:val="ListBullet"/>
      </w:pPr>
      <w:r>
        <w:t>Indications : épisode dépressif majeur (surtout avec ralentissement et anesthésie affective), dépression résistante aux IRS, dépression du sujet âgé (en raison de l'absence d'effets anticholinergiques, mais sédation marquée), troubles anxieux avec composante dépressive. En Algérie, l'usage est devenu marginal en raison de l'indisponibilité actuelle.</w:t>
      </w:r>
    </w:p>
    <w:p>
      <w:pPr>
        <w:pStyle w:val="ListBullet"/>
      </w:pPr>
      <w:r>
        <w:t xml:space="preserve">Contre-indications : hypersensibilité, association aux IMAO (washout 14 jours), </w:t>
      </w:r>
      <w:r>
        <w:rPr>
          <w:b/>
        </w:rPr>
        <w:t>épilepsie non équilibrée</w:t>
      </w:r>
      <w:r>
        <w:t xml:space="preserve"> (CI relative — risque convulsif dose-dépendant particulièrement marqué), infarctus du myocarde récent (&lt;3 mois), troubles de conduction (bloc AV non appareillé), insuffisance hépatique sévère, allaitement (à éviter). Précautions : sujet âgé (risque de sédation excessive et de chute), antécédents de convulsions, insuffisance rénale, hyperthyroïdie.</w:t>
      </w:r>
    </w:p>
    <w:p>
      <w:pPr>
        <w:pStyle w:val="ListBullet"/>
      </w:pPr>
      <w:r>
        <w:t xml:space="preserve">Effets Indésirables : </w:t>
      </w:r>
      <w:r>
        <w:rPr>
          <w:b/>
        </w:rPr>
        <w:t>sédation et somnolence marquées</w:t>
      </w:r>
      <w:r>
        <w:t xml:space="preserve"> (effet H1 puissant), </w:t>
      </w:r>
      <w:r>
        <w:rPr>
          <w:b/>
        </w:rPr>
        <w:t>prise de poids</w:t>
      </w:r>
      <w:r>
        <w:t xml:space="preserve"> (effet H1 et 5-HT2C — 2-8 kg), </w:t>
      </w:r>
      <w:r>
        <w:rPr>
          <w:b/>
        </w:rPr>
        <w:t>hypotension orthostatique</w:t>
      </w:r>
      <w:r>
        <w:t xml:space="preserve"> (effet α1), allongement du QTc et troubles de conduction (effet stabilisant de membrane), dysfonction sexuelle (baisse de libido, troubles de l'éjaculation), hyponatrémie par SIADH (rare), </w:t>
      </w:r>
      <w:r>
        <w:rPr>
          <w:b/>
        </w:rPr>
        <w:t>convulsions dose-dépendantes</w:t>
      </w:r>
      <w:r>
        <w:t xml:space="preserve"> (particulièrement marquées pour la maprotiline — incidence 4% à 200 mg/j, 15% à 300 mg/j, d'où la surveillance EEG obligatoire à forte dose et la CI relative chez l'épileptique), rash cutané, photosensibilité, augmentation des transaminases. </w:t>
      </w:r>
      <w:r>
        <w:rPr>
          <w:b/>
        </w:rPr>
        <w:t>Toxicité en surdosage</w:t>
      </w:r>
      <w:r>
        <w:t xml:space="preserve"> : troubles de conduction, arythmies ventriculaires, collapsus cardiovasculaire, convulsions (particulièrement fréquentes avec la maprotiline), coma.</w:t>
      </w:r>
    </w:p>
    <w:p>
      <w:r/>
      <w:r>
        <w:rPr>
          <w:b/>
        </w:rPr>
        <w:t>Prévention et Gestion des Effets Indésirables :</w:t>
      </w:r>
      <w:r/>
    </w:p>
    <w:p>
      <w:pPr>
        <w:pStyle w:val="ListBullet"/>
      </w:pPr>
      <w:r>
        <w:t>Mesures Préventives : initiation à faible dose (25-50 mg/jour le soir) pendant 7 jours puis augmentation par paliers de 25 mg tous les 7 jours selon tolérance ; prise vespérale en raison de la sédation ; ECG avant instauration et à chaque palier de dose ; surveillance de la tension artérielle (orthostatique) ; surveillance EEG si dose &gt;150 mg/j ou antécédents épileptiques ; surveillance natrémie chez le sujet &gt;65 ans ; bilan hépatique à l'instauration ; information du patient sur la sédation et l'hygiène buccodentaire ; éviter la consommation d'alcool.</w:t>
      </w:r>
    </w:p>
    <w:p>
      <w:pPr>
        <w:pStyle w:val="ListBullet"/>
      </w:pPr>
      <w:r>
        <w:t>Conduite à Tenir : en cas de convulsions, arrêt immédiat et bilan neurologique ; en cas d'hypotension orthostatique symptomatique, réduction de la dose ; arrêt progressif par paliers de 25 mg par semaine sur 4 semaines (risque de syndrome de sevrage) ; en cas de surdosage, hospitalisation urgente en réanimation, ECG continu, bicarbonate de sodium IV, surveillance EEG.</w:t>
      </w:r>
    </w:p>
    <w:p>
      <w:r/>
      <w:r>
        <w:rPr>
          <w:b/>
        </w:rPr>
        <w:t>Interactions Importantes :</w:t>
      </w:r>
      <w:r/>
    </w:p>
    <w:p>
      <w:pPr>
        <w:pStyle w:val="ListBullet"/>
      </w:pPr>
      <w:r/>
      <w:r>
        <w:rPr>
          <w:b/>
        </w:rPr>
        <w:t>Maprotiline + IMAO</w:t>
      </w:r>
      <w:r>
        <w:t xml:space="preserve"> : CI ABSOLUE. Washout 14 jours.</w:t>
      </w:r>
    </w:p>
    <w:p>
      <w:pPr>
        <w:pStyle w:val="ListBullet"/>
      </w:pPr>
      <w:r/>
      <w:r>
        <w:rPr>
          <w:b/>
        </w:rPr>
        <w:t>Maprotiline + IRS / IRSN</w:t>
      </w:r>
      <w:r>
        <w:t xml:space="preserve"> : potentialisation sérotoninergique modérée — surveillance clinique.</w:t>
      </w:r>
    </w:p>
    <w:p>
      <w:pPr>
        <w:pStyle w:val="ListBullet"/>
      </w:pPr>
      <w:r/>
      <w:r>
        <w:rPr>
          <w:b/>
        </w:rPr>
        <w:t>Maprotiline + Adrénaline / Noradrénaline</w:t>
      </w:r>
      <w:r>
        <w:t xml:space="preserve"> : potentialisation des effets adrénergiques → accès hypertensif.</w:t>
      </w:r>
    </w:p>
    <w:p>
      <w:pPr>
        <w:pStyle w:val="ListBullet"/>
      </w:pPr>
      <w:r/>
      <w:r>
        <w:rPr>
          <w:b/>
        </w:rPr>
        <w:t>Maprotiline + Antihypertenseurs</w:t>
      </w:r>
      <w:r>
        <w:t xml:space="preserve"> : atténuation de l'effet antihypertenseur.</w:t>
      </w:r>
    </w:p>
    <w:p>
      <w:pPr>
        <w:pStyle w:val="ListBullet"/>
      </w:pPr>
      <w:r/>
      <w:r>
        <w:rPr>
          <w:b/>
        </w:rPr>
        <w:t>Maprotiline + Médicaments allongeant le QT</w:t>
      </w:r>
      <w:r>
        <w:t xml:space="preserve"> : majoration du risque d'allongement du QTc et de torsades de pointe.</w:t>
      </w:r>
    </w:p>
    <w:p>
      <w:pPr>
        <w:pStyle w:val="ListBullet"/>
      </w:pPr>
      <w:r/>
      <w:r>
        <w:rPr>
          <w:b/>
        </w:rPr>
        <w:t>Maprotiline + Inhibiteurs du CYP2D6</w:t>
      </w:r>
      <w:r>
        <w:t xml:space="preserve"> (paroxétine, fluoxétine, quinidine) : augmentation des concentrations → risque de toxicité.</w:t>
      </w:r>
    </w:p>
    <w:p>
      <w:pPr>
        <w:pStyle w:val="ListBullet"/>
      </w:pPr>
      <w:r/>
      <w:r>
        <w:rPr>
          <w:b/>
        </w:rPr>
        <w:t>Maprotiline + Médicaments abaisseurs du seuil épileptogène</w:t>
      </w:r>
      <w:r>
        <w:t xml:space="preserve"> (bupropion, tramadol, antipsychotiques, théophylline) : potentialisation du risque convulsif — CI relative.</w:t>
      </w:r>
    </w:p>
    <w:p>
      <w:pPr>
        <w:pStyle w:val="ListBullet"/>
      </w:pPr>
      <w:r/>
      <w:r>
        <w:rPr>
          <w:b/>
        </w:rPr>
        <w:t>Maprotiline + AINS / Anticoagulants oraux</w:t>
      </w:r>
      <w:r>
        <w:t xml:space="preserve"> : majoration du risque hémorragique.</w:t>
      </w:r>
    </w:p>
    <w:p>
      <w:pPr>
        <w:pStyle w:val="ListBullet"/>
      </w:pPr>
      <w:r/>
      <w:r>
        <w:rPr>
          <w:b/>
        </w:rPr>
        <w:t>Maprotiline + Alcool</w:t>
      </w:r>
      <w:r>
        <w:t xml:space="preserve"> : potentialisation de la sédation. À éviter formellement.</w:t>
      </w:r>
    </w:p>
    <w:p>
      <w:r/>
      <w:r>
        <w:rPr>
          <w:b/>
        </w:rPr>
        <w:t>Grossesse et Allaitement :</w:t>
      </w:r>
      <w:r/>
    </w:p>
    <w:p>
      <w:pPr>
        <w:pStyle w:val="ListBullet"/>
      </w:pPr>
      <w:r>
        <w:t>Grossesse : selon le CRAT, la maprotiline est compatible avec la grossesse (pas de tératogénicité prouvée, recul limité mais rassurant). Risque d'adaptation néonatale au 3e trimestre (sédation, hypotonie). Préférer la sertraline en première intention, mais la maprotiline reste utilisable si bénéfice attendu supérieur.</w:t>
      </w:r>
    </w:p>
    <w:p>
      <w:pPr>
        <w:pStyle w:val="ListBullet"/>
      </w:pPr>
      <w:r>
        <w:t>Allaitement : la maprotiline passe dans le lait maternel. À éviter selon le CRAT en première intention, ou utiliser avec surveillance clinique étroite du nourrisson (sommeil, prise de poids).</w:t>
      </w:r>
    </w:p>
    <w:p>
      <w:pPr>
        <w:pStyle w:val="ListBullet"/>
      </w:pPr>
      <w:r>
        <w:t>Précisions : en raison du risque convulsif, la maprotiline est généralement évitée chez la femme enceinte épileptique.</w:t>
      </w:r>
    </w:p>
    <w:p>
      <w:r/>
      <w:r>
        <w:rPr>
          <w:b/>
        </w:rPr>
        <w:t>Posologie et Mode d'administration (Standard) :</w:t>
      </w:r>
      <w:r/>
    </w:p>
    <w:p>
      <w:pPr>
        <w:pStyle w:val="ListBullet"/>
      </w:pPr>
      <w:r>
        <w:t>Adulte : dépression — initialement 25-50 mg/jour le soir, en une prise unique vespérale ou en deux prises (matin et soir) ; augmentation par paliers de 25 mg tous les 7 jours selon tolérance, dose usuelle 75-150 mg/jour, dose maximale 150-225 mg/j (sous surveillance EEG si &gt;150 mg/j).</w:t>
      </w:r>
    </w:p>
    <w:p>
      <w:pPr>
        <w:pStyle w:val="ListBullet"/>
      </w:pPr>
      <w:r>
        <w:t>Sujet âgé : dose initiale réduite à 10-25 mg/jour, augmentation très progressive par paliers de 10-25 mg, dose usuelle 25-75 mg/j, dose maximale 100-150 mg/j.</w:t>
      </w:r>
    </w:p>
    <w:p>
      <w:pPr>
        <w:pStyle w:val="ListBullet"/>
      </w:pPr>
      <w:r>
        <w:t>Insuffisance hépatique ou rénale : réduire la dose de moitié.</w:t>
      </w:r>
    </w:p>
    <w:p>
      <w:pPr>
        <w:pStyle w:val="ListBullet"/>
      </w:pPr>
      <w:r>
        <w:t>Durée : épisode dépressif : 6 mois minimum après rémission complète ; prévention des récidives dépressives : au long cours.</w:t>
      </w:r>
    </w:p>
    <w:p>
      <w:pPr>
        <w:pStyle w:val="ListBullet"/>
      </w:pPr>
      <w:r>
        <w:t>Moment de la prise : le soir (en raison de la sédation — prendre 1 heure avant le coucher), en une prise unique vespérale ou en deux prises (matin et soir si dose &gt;150 mg/j).</w:t>
      </w:r>
    </w:p>
    <w:p>
      <w:r/>
      <w:r>
        <w:rPr>
          <w:b/>
        </w:rPr>
        <w:t>Arbitrage et Bénéfices des Formes Galéniques :</w:t>
      </w:r>
      <w:r/>
    </w:p>
    <w:p>
      <w:pPr>
        <w:pStyle w:val="ListBullet"/>
      </w:pPr>
      <w:r/>
      <w:r>
        <w:rPr>
          <w:b/>
        </w:rPr>
        <w:t>Comprimé pelliculé sécable 25 mg et 75 mg (Ludiomil — Novartis)</w:t>
      </w:r>
      <w:r>
        <w:t xml:space="preserve"> : formes standard de prescription en ville. La sécabilité permet l'adaptation à 12,5 mg (paliers d'initiation chez le sujet âgé, paliers de sevrage) et à 37,5 mg (palier intermédiaire entre 25 et 75 mg). Le comprimé 75 mg est adapté à la dose d'entretien en une prise vespérale.</w:t>
      </w:r>
    </w:p>
    <w:p>
      <w:pPr>
        <w:pStyle w:val="ListBullet"/>
      </w:pPr>
      <w:r/>
      <w:r>
        <w:rPr>
          <w:b/>
        </w:rPr>
        <w:t>Forme non renouvelable (Ludiomil® — Novartis)</w:t>
      </w:r>
      <w:r>
        <w:t xml:space="preserve"> : actuellement indisponible en officine algérienne. Switch recommandé vers IRSN (venlafaxine), ATC (amitriptyline) ou NaSSA (mirtazapine) selon le profil clinique.</w:t>
      </w:r>
    </w:p>
    <w:p>
      <w:pPr>
        <w:pStyle w:val="ListBullet"/>
      </w:pPr>
      <w:r>
        <w:t xml:space="preserve">Arbitrage : en cas d'indisponibilité, le switch vers la </w:t>
      </w:r>
      <w:r>
        <w:rPr>
          <w:b/>
        </w:rPr>
        <w:t>mirtazapine</w:t>
      </w:r>
      <w:r>
        <w:t xml:space="preserve"> (profil sédatif proche, bonne tolérance cardiaque) ou la </w:t>
      </w:r>
      <w:r>
        <w:rPr>
          <w:b/>
        </w:rPr>
        <w:t>venlafaxine</w:t>
      </w:r>
      <w:r>
        <w:t xml:space="preserve"> (double action noradrénergique et sérotoninergique) est possible.</w:t>
      </w:r>
    </w:p>
    <w:p>
      <w:r/>
      <w:r>
        <w:rPr>
          <w:b/>
        </w:rPr>
        <w:t>Instructions et Conseils au Patient :</w:t>
      </w:r>
      <w:r/>
    </w:p>
    <w:p>
      <w:pPr>
        <w:pStyle w:val="ListBullet"/>
      </w:pPr>
      <w:r>
        <w:t xml:space="preserve">Communication au comptoir : « Ce médicament est un antidépresseur tétracyclique, particulièrement actif sur la noradrénaline. </w:t>
      </w:r>
      <w:r>
        <w:rPr>
          <w:b/>
        </w:rPr>
        <w:t>Prenez-le le soir</w:t>
      </w:r>
      <w:r>
        <w:t xml:space="preserve"> car il donne sommeil. Les premiers jours, vous pouvez ressentir une sécheresse de la bouche, une constipation, des vertiges en vous levant, une vision trouble. </w:t>
      </w:r>
      <w:r>
        <w:rPr>
          <w:b/>
        </w:rPr>
        <w:t>Buvez de l'eau régulièrement</w:t>
      </w:r>
      <w:r>
        <w:t xml:space="preserve">. Évitez l'alcool. </w:t>
      </w:r>
      <w:r>
        <w:rPr>
          <w:b/>
        </w:rPr>
        <w:t>Ne dépassez pas la dose prescrite</w:t>
      </w:r>
      <w:r>
        <w:t xml:space="preserve"> : ce médicament est dangereux en surdosage et peut provoquer des convulsions à forte dose. Prévenez votre médecin si vous avez des palpitations, des malaises, des convulsions, des vertiges importants. Évitez de conduire les premiers jours. »</w:t>
      </w:r>
    </w:p>
    <w:p>
      <w:pPr>
        <w:pStyle w:val="ListBullet"/>
      </w:pPr>
      <w:r>
        <w:t>Mode d'utilisation pratique : prise vespérale 1 heure avant le coucher ; se lever lentement pour éviter les vertiges orthostatiques ; hydratation abondante ; régime riche en fibres ; surveillance du poids et de la TA ; consultations médicales rapprochées ; prévenir tous les médecins consultés ; éviter l'arrêt brutal.</w:t>
      </w:r>
    </w:p>
    <w:p>
      <w:r/>
      <w:r>
        <w:rPr>
          <w:b/>
        </w:rPr>
        <w:t>Notes, Règles d'Or &amp; Pièges au Comptoir :</w:t>
      </w:r>
      <w:r/>
    </w:p>
    <w:p>
      <w:pPr>
        <w:pStyle w:val="ListBullet"/>
      </w:pPr>
      <w:r>
        <w:t xml:space="preserve">Piège classique n°1 : la </w:t>
      </w:r>
      <w:r>
        <w:rPr>
          <w:b/>
        </w:rPr>
        <w:t>maprotiline est l'antidépresseur le plus épileptogène</w:t>
      </w:r>
      <w:r>
        <w:t xml:space="preserve"> de la classe — surveillance EEG obligatoire à dose &gt;150 mg/j et CI relative chez l'épileptique.</w:t>
      </w:r>
    </w:p>
    <w:p>
      <w:pPr>
        <w:pStyle w:val="ListBullet"/>
      </w:pPr>
      <w:r>
        <w:t xml:space="preserve">Piège classique n°2 : la </w:t>
      </w:r>
      <w:r>
        <w:rPr>
          <w:b/>
        </w:rPr>
        <w:t>cardiotoxicité en surdosage</w:t>
      </w:r>
      <w:r>
        <w:t xml:space="preserve"> est similaire à celle des ATC (élargissement du QRS, allongement du QTc, troubles de conduction) — information du patient et de l'entourage sur la nécessité de limiter la quantité délivrée.</w:t>
      </w:r>
    </w:p>
    <w:p>
      <w:pPr>
        <w:pStyle w:val="ListBullet"/>
      </w:pPr>
      <w:r>
        <w:t xml:space="preserve">Piège classique n°3 : la maprotiline est actuellement </w:t>
      </w:r>
      <w:r>
        <w:rPr>
          <w:b/>
        </w:rPr>
        <w:t>non renouvelable</w:t>
      </w:r>
      <w:r>
        <w:t xml:space="preserve"> en Algérie — vérifier la disponibilité avant instauration et prévoir un switch thérapeutique si nécessaire.</w:t>
      </w:r>
    </w:p>
    <w:p>
      <w:pPr>
        <w:pStyle w:val="ListBullet"/>
      </w:pPr>
      <w:r>
        <w:t>Règle de prise : soir, 1 heure avant le coucher.</w:t>
      </w:r>
    </w:p>
    <w:p>
      <w:pPr>
        <w:pStyle w:val="ListBullet"/>
      </w:pPr>
      <w:r>
        <w:t>Préparation et Conservation : conserver à température &lt;25°C, à l'abri de l'humidité et de la lumière.</w:t>
      </w:r>
    </w:p>
    <w:p>
      <w:pPr>
        <w:pStyle w:val="ListBullet"/>
      </w:pPr>
      <w:r>
        <w:t>Piège du surdosage / Substitution : en cas de surdosage, hospitalisation urgente en réanimation, ECG continu, bicarbonate de sodium IV, surveillance EEG (convulsions particulièrement fréquentes). En cas d'indisponibilité, switch vers mirtazapine (profil sédatif) ou venlafaxine (double action).</w:t>
      </w:r>
    </w:p>
    <w:p>
      <w:pPr>
        <w:pStyle w:val="Heading2"/>
      </w:pPr>
      <w:r>
        <w:t>SOUS-CLASSE 5 — ANTIDÉPRESSEURS TÉTRACYCLIQUES ATYPIQUES</w:t>
      </w:r>
    </w:p>
    <w:p>
      <w:pPr>
        <w:pStyle w:val="Heading3"/>
      </w:pPr>
      <w:r>
        <w:t>Introduction de la sous-classe</w:t>
      </w:r>
    </w:p>
    <w:p>
      <w:r>
        <w:t xml:space="preserve">Les antidépresseurs tétracycliques atypiques, représentés principalement par la </w:t>
      </w:r>
      <w:r>
        <w:rPr>
          <w:b/>
        </w:rPr>
        <w:t>miansérine</w:t>
      </w:r>
      <w:r>
        <w:t xml:space="preserve">, se distinguent des tétracycliques classiques (maprotiline) par un mécanisme d'action original : ils n'inhibent pas directement la recapture des monoamines, mais agissent par </w:t>
      </w:r>
      <w:r>
        <w:rPr>
          <w:b/>
        </w:rPr>
        <w:t>blocage des récepteurs α2 présynaptiques</w:t>
      </w:r>
      <w:r>
        <w:t>, qui sont normalement des autorécepteurs inhibiteurs de la libération de noradrénaline. Ce blocage lève l'inhibition physiologique et entraîne une augmentation de la libération de noradrénaline au niveau des terminaisons sympathiques centrales. En parallèle, la miansérine bloque les récepteurs 5-HT2A/2C et 5-HT3, ce qui potentialise l'effet antidépresseur et améliore la tolérance digestive.</w:t>
      </w:r>
    </w:p>
    <w:p>
      <w:r/>
      <w:r>
        <w:rPr>
          <w:b/>
        </w:rPr>
        <w:t>Cibles moléculaires</w:t>
      </w:r>
      <w:r>
        <w:t xml:space="preserve"> :</w:t>
      </w:r>
    </w:p>
    <w:p>
      <w:pPr>
        <w:pStyle w:val="ListBullet"/>
      </w:pPr>
      <w:r>
        <w:t xml:space="preserve">Blocage des </w:t>
      </w:r>
      <w:r>
        <w:rPr>
          <w:b/>
        </w:rPr>
        <w:t>autorécepteurs α2 présynaptiques</w:t>
      </w:r>
      <w:r>
        <w:t xml:space="preserve"> ( augmentation de la libération de NA et, indirectement, de 5-HT via les voies sérotoninergiques issues du raphé qui sont régulées par la NA) ;</w:t>
      </w:r>
    </w:p>
    <w:p>
      <w:pPr>
        <w:pStyle w:val="ListBullet"/>
      </w:pPr>
      <w:r>
        <w:t xml:space="preserve">Blocage des récepteurs </w:t>
      </w:r>
      <w:r>
        <w:rPr>
          <w:b/>
        </w:rPr>
        <w:t>5-HT2A</w:t>
      </w:r>
      <w:r>
        <w:t xml:space="preserve"> (effet anxiolytique et amélioration du sommeil) ;</w:t>
      </w:r>
    </w:p>
    <w:p>
      <w:pPr>
        <w:pStyle w:val="ListBullet"/>
      </w:pPr>
      <w:r>
        <w:t xml:space="preserve">Blocage des récepteurs </w:t>
      </w:r>
      <w:r>
        <w:rPr>
          <w:b/>
        </w:rPr>
        <w:t>5-HT2C</w:t>
      </w:r>
      <w:r>
        <w:t xml:space="preserve"> (effet antidépresseur, anxiolytique) ;</w:t>
      </w:r>
    </w:p>
    <w:p>
      <w:pPr>
        <w:pStyle w:val="ListBullet"/>
      </w:pPr>
      <w:r>
        <w:t xml:space="preserve">Blocage des récepteurs </w:t>
      </w:r>
      <w:r>
        <w:rPr>
          <w:b/>
        </w:rPr>
        <w:t>5-HT3</w:t>
      </w:r>
      <w:r>
        <w:t xml:space="preserve"> (réduction des nausées — particularité de la miansérine) ;</w:t>
      </w:r>
    </w:p>
    <w:p>
      <w:pPr>
        <w:pStyle w:val="ListBullet"/>
      </w:pPr>
      <w:r>
        <w:t xml:space="preserve">Affinité marquée pour les récepteurs </w:t>
      </w:r>
      <w:r>
        <w:rPr>
          <w:b/>
        </w:rPr>
        <w:t>H1</w:t>
      </w:r>
      <w:r>
        <w:t xml:space="preserve"> (sédation, prise de poids — mais moins marquée que pour les ATC) ;</w:t>
      </w:r>
    </w:p>
    <w:p>
      <w:pPr>
        <w:pStyle w:val="ListBullet"/>
      </w:pPr>
      <w:r>
        <w:t xml:space="preserve">Affinité modérée pour les récepteurs </w:t>
      </w:r>
      <w:r>
        <w:rPr>
          <w:b/>
        </w:rPr>
        <w:t>α1</w:t>
      </w:r>
      <w:r>
        <w:t xml:space="preserve"> (hypotension orthostatique modérée) ;</w:t>
      </w:r>
    </w:p>
    <w:p>
      <w:pPr>
        <w:pStyle w:val="ListBullet"/>
      </w:pPr>
      <w:r/>
      <w:r>
        <w:rPr>
          <w:b/>
        </w:rPr>
        <w:t>Sans affinité</w:t>
      </w:r>
      <w:r>
        <w:t xml:space="preserve"> significative pour les récepteurs muscariniques (pas d'effets anticholinergiques — avantage majeur par rapport aux ATC) ni pour les canaux sodiques (peu de cardiotoxicité en surdosage — avantage majeur par rapport aux ATC chez le patient à risque suicidaire).</w:t>
      </w:r>
    </w:p>
    <w:p>
      <w:r/>
      <w:r>
        <w:rPr>
          <w:b/>
        </w:rPr>
        <w:t>Spectre d'activité clinique</w:t>
      </w:r>
      <w:r>
        <w:t xml:space="preserve"> : dépression majeure (surtout anxieuse, avec insomnie), dépression du sujet âgé (en raison de la bonne tolérance cardiaque), insomnie associée à la dépression. En Algérie, l'usage est devenu marginal avec l'avènement des IRS, mais la miansérine conserve une place dans la dépression du sujet âgé anxieux.</w:t>
      </w:r>
    </w:p>
    <w:p>
      <w:r/>
      <w:r>
        <w:rPr>
          <w:b/>
        </w:rPr>
        <w:t>Profil de tolérance</w:t>
      </w:r>
      <w:r>
        <w:t xml:space="preserve"> : sédation modérée (effet H1), prise de poids (modérée, 2-5 kg), hypotension orthostatique modérée, </w:t>
      </w:r>
      <w:r>
        <w:rPr>
          <w:b/>
        </w:rPr>
        <w:t>agranulocytose rare mais grave</w:t>
      </w:r>
      <w:r>
        <w:t xml:space="preserve"> (incidence 1/10 000 — surveillance NFS mensuelle la première année, recommandation historique), rash cutané, hyponatrémie par SIADH (rare), vertiges. </w:t>
      </w:r>
      <w:r>
        <w:rPr>
          <w:b/>
        </w:rPr>
        <w:t>Absence de cardiotoxicité en surdosage</w:t>
      </w:r>
      <w:r>
        <w:t xml:space="preserve"> — avantage majeur par rapport aux ATC et à la maprotiline chez le patient à risque suicidaire.</w:t>
      </w:r>
    </w:p>
    <w:p>
      <w:r/>
      <w:r>
        <w:rPr>
          <w:b/>
        </w:rPr>
        <w:t>Règle d'or du washout</w:t>
      </w:r>
      <w:r>
        <w:t xml:space="preserve"> : deux semaines (14 jours) minimum entre l'arrêt d'un IMAO et le début de miansérine, et inversement 7 jours.</w:t>
      </w:r>
    </w:p>
    <w:p>
      <w:pPr>
        <w:pStyle w:val="Heading3"/>
      </w:pPr>
      <w:r>
        <w:t>13. DCI : Miansérine (Seule)</w:t>
      </w:r>
    </w:p>
    <w:p>
      <w:r/>
      <w:r>
        <w:rPr>
          <w:b/>
        </w:rPr>
        <w:t>Liste des Catégories :</w:t>
      </w:r>
      <w:r>
        <w:t xml:space="preserve"> Antidépresseurs — Tétracycliques (atypiques) ; Liste I.</w:t>
      </w:r>
    </w:p>
    <w:p>
      <w:r>
        <w:t xml:space="preserve">La miansérine (Tolvon® — Organon, Athymil®), commercialisée depuis 1975, est un antidépresseur tétracyclique atypique au mécanisme original : </w:t>
      </w:r>
      <w:r>
        <w:rPr>
          <w:b/>
        </w:rPr>
        <w:t>blocage des récepteurs α2 présynaptiques</w:t>
      </w:r>
      <w:r>
        <w:t xml:space="preserve"> (qui lève l'inhibition physiologique de la libération de noradrénaline), sans inhibition directe de la recapture monoaminergique. Cette particularité en fait un antidépresseur particulièrement indiqué chez le </w:t>
      </w:r>
      <w:r>
        <w:rPr>
          <w:b/>
        </w:rPr>
        <w:t>sujet âgé anxieux avec insomnie</w:t>
      </w:r>
      <w:r>
        <w:t xml:space="preserve"> en raison de sa bonne tolérance cardiaque (absence d'affinité pour les canaux sodiques, donc pas de cardiotoxicité en surdosage), de l'absence d'effets anticholinergiques (pas de syndrome confusionnel) et de son effet sédatif modéré (effet H1). Sa tolérance est globalement supérieure à celle des ATC, à l'exception du risque d'</w:t>
      </w:r>
      <w:r>
        <w:rPr>
          <w:b/>
        </w:rPr>
        <w:t>agranulocytose rare mais grave</w:t>
      </w:r>
      <w:r>
        <w:t xml:space="preserve"> (incidence 1/10 000), qui justifie historiquement une surveillance NFS mensuelle la première année de traitement. En Algérie, la miansérine est disponible sous la marque Tolmil (Biogalenic) en comprimés pelliculés 10 mg, et Tolvon (Organon) en comprimés 30 mg.</w:t>
      </w:r>
    </w:p>
    <w:p>
      <w:r/>
      <w:r>
        <w:rPr>
          <w:b/>
        </w:rPr>
        <w:t>Médicaments disponibles en Algérie (Marques, Laboratoires, Formes et Dosages) :</w:t>
      </w:r>
      <w:r/>
    </w:p>
    <w:p>
      <w:pPr>
        <w:pStyle w:val="ListBullet"/>
      </w:pPr>
      <w:r/>
      <w:r>
        <w:rPr>
          <w:b/>
        </w:rPr>
        <w:t>TOLMIL</w:t>
      </w:r>
      <w:r>
        <w:t xml:space="preserve"> (BIOGALENIC)</w:t>
      </w:r>
    </w:p>
    <w:p>
      <w:pPr>
        <w:pStyle w:val="ListBullet"/>
      </w:pPr>
      <w:r>
        <w:t>Formes et Dosages : Comprimé pelliculé 10 mg, boîte de 30</w:t>
      </w:r>
    </w:p>
    <w:p>
      <w:pPr>
        <w:pStyle w:val="ListBullet"/>
      </w:pPr>
      <w:r>
        <w:t>Statut : Actif</w:t>
      </w:r>
    </w:p>
    <w:p>
      <w:pPr>
        <w:pStyle w:val="ListBullet"/>
      </w:pPr>
      <w:r/>
      <w:r>
        <w:rPr>
          <w:b/>
        </w:rPr>
        <w:t>TOLVON</w:t>
      </w:r>
      <w:r>
        <w:t xml:space="preserve"> (ORGANON HEALTHCARE GMBH)</w:t>
      </w:r>
    </w:p>
    <w:p>
      <w:pPr>
        <w:pStyle w:val="ListBullet"/>
      </w:pPr>
      <w:r>
        <w:t>Formes et Dosages : Comprimé 30 mg, boîte de 20</w:t>
      </w:r>
    </w:p>
    <w:p>
      <w:pPr>
        <w:pStyle w:val="ListBullet"/>
      </w:pPr>
      <w:r>
        <w:t>Statut : Actif</w:t>
      </w:r>
    </w:p>
    <w:p>
      <w:pPr>
        <w:pStyle w:val="ListBullet"/>
      </w:pPr>
      <w:r/>
      <w:r>
        <w:rPr>
          <w:b/>
        </w:rPr>
        <w:t>ATHYMIL</w:t>
      </w:r>
      <w:r>
        <w:t xml:space="preserve"> (ORGANON — GROUPE AKZO NOBEL)</w:t>
      </w:r>
    </w:p>
    <w:p>
      <w:pPr>
        <w:pStyle w:val="ListBullet"/>
      </w:pPr>
      <w:r>
        <w:t>Formes et Dosages : Comprimé 10 mg, boîte de 30</w:t>
      </w:r>
    </w:p>
    <w:p>
      <w:pPr>
        <w:pStyle w:val="ListBullet"/>
      </w:pPr>
      <w:r>
        <w:t>Statut : Retiré (R)</w:t>
      </w:r>
    </w:p>
    <w:p>
      <w:r/>
      <w:r>
        <w:rPr>
          <w:b/>
        </w:rPr>
        <w:t>Sous-classe et Mécanisme d'action :</w:t>
      </w:r>
      <w:r/>
    </w:p>
    <w:p>
      <w:pPr>
        <w:pStyle w:val="ListBullet"/>
      </w:pPr>
      <w:r>
        <w:t>Sous-classe : Tétracyclique atypique, apparentée structurellement aux ATC mais au mécanisme distinct (pas d'inhibition directe de la recapture monoaminergique).</w:t>
      </w:r>
    </w:p>
    <w:p>
      <w:pPr>
        <w:pStyle w:val="ListBullet"/>
      </w:pPr>
      <w:r>
        <w:t xml:space="preserve">Mécanisme d'action : </w:t>
      </w:r>
      <w:r>
        <w:rPr>
          <w:b/>
        </w:rPr>
        <w:t>blocage des récepteurs α2 présynaptiques</w:t>
      </w:r>
      <w:r>
        <w:t xml:space="preserve"> (autorécepteurs inhibiteurs de la libération de NA) → augmentation de la libération de noradrénaline au niveau des terminaisons sympathiques centrales et, indirectement, de la sérotonine via les voies sérotoninergiques issues du raphé qui sont régulées par la NA. En parallèle : blocage des récepteurs 5-HT2A/2C (effet anxiolytique, amélioration du sommeil), 5-HT3 (réduction des nausées), affinité marquée pour H1 (sédation, prise de poids), affinité modérée pour α1 (hypotension orthostatique modérée), sans affinité significative pour les récepteurs muscariniques (pas d'effets anticholinergiques) ni pour les canaux sodiques (peu de cardiotoxicité en surdosage). Métabolisme hépatique via CYP2D6 et CYP1A2 en métabolites inactifs. Demi-vie d'élimination : 14-33 heures (longue, autorisant une seule prise quotidienne).</w:t>
      </w:r>
    </w:p>
    <w:p>
      <w:r/>
      <w:r>
        <w:rPr>
          <w:b/>
        </w:rPr>
        <w:t>Profil Pharmacologique :</w:t>
      </w:r>
      <w:r/>
    </w:p>
    <w:p>
      <w:pPr>
        <w:pStyle w:val="ListBullet"/>
      </w:pPr>
      <w:r>
        <w:t>Indications : épisode dépressif majeur (surtout anxieux avec insomnie), dépression du sujet âgé (indication de référence en raison de la bonne tolérance cardiaque), insomnie associée à la dépression. En Algérie, usage essentiellement la dépression du sujet âgé anxieux.</w:t>
      </w:r>
    </w:p>
    <w:p>
      <w:pPr>
        <w:pStyle w:val="ListBullet"/>
      </w:pPr>
      <w:r>
        <w:t xml:space="preserve">Contre-indications : hypersensibilité, association aux IMAO (washout 14 jours), </w:t>
      </w:r>
      <w:r>
        <w:rPr>
          <w:b/>
        </w:rPr>
        <w:t>manie non contrôlée</w:t>
      </w:r>
      <w:r>
        <w:t xml:space="preserve">, </w:t>
      </w:r>
      <w:r>
        <w:rPr>
          <w:b/>
        </w:rPr>
        <w:t>antécédents d'agranulocytose</w:t>
      </w:r>
      <w:r>
        <w:t xml:space="preserve"> (CI absolue), insuffisance hépatique sévère, allaitement (à éviter). Précautions : sujet âgé (surveillance NFS), antécédents hématologiques, épilepsie (abaisse le seuil épileptogène à dose élevée).</w:t>
      </w:r>
    </w:p>
    <w:p>
      <w:pPr>
        <w:pStyle w:val="ListBullet"/>
      </w:pPr>
      <w:r>
        <w:t xml:space="preserve">Effets Indésirables : sédation modérée (effet H1 — moins marquée que pour les ATC), prise de poids (modérée, 2-5 kg), hypotension orthostatique modérée (effet α1 — moins marquée que pour les ATC), </w:t>
      </w:r>
      <w:r>
        <w:rPr>
          <w:b/>
        </w:rPr>
        <w:t>agranulocytose rare mais grave</w:t>
      </w:r>
      <w:r>
        <w:t xml:space="preserve"> (incidence 1/10 000 — surveillance NFS mensuelle la première année, recommandation historique ANSM), rash cutané, hyponatrémie par SIADH (rare), vertiges, dysfonction sexuelle (modérée, moins marquée que pour les IRS), augmentation des transaminases. </w:t>
      </w:r>
      <w:r>
        <w:rPr>
          <w:b/>
        </w:rPr>
        <w:t>Absence de cardiotoxicité en surdosage</w:t>
      </w:r>
      <w:r>
        <w:t xml:space="preserve"> — avantage majeur par rapport aux ATC, à la maprotiline et à la clomipramine chez le patient à risque suicidaire.</w:t>
      </w:r>
    </w:p>
    <w:p>
      <w:r/>
      <w:r>
        <w:rPr>
          <w:b/>
        </w:rPr>
        <w:t>Prévention et Gestion des Effets Indésirables :</w:t>
      </w:r>
      <w:r/>
    </w:p>
    <w:p>
      <w:pPr>
        <w:pStyle w:val="ListBullet"/>
      </w:pPr>
      <w:r>
        <w:t xml:space="preserve">Mesures Préventives : initiation à 30 mg/jour le soir pendant 7 jours puis augmentation par paliers de 30 mg tous les 7 jours selon tolérance ; prise vespérale en raison de la sédation ; </w:t>
      </w:r>
      <w:r>
        <w:rPr>
          <w:b/>
        </w:rPr>
        <w:t>surveillance NFS mensuelle pendant les 6 à 12 premiers mois</w:t>
      </w:r>
      <w:r>
        <w:t xml:space="preserve"> (recommandation historique ANSM en raison du risque d'agranulocytose) ; surveillance de la tension artérielle (orthostatique) ; surveillance natrémie chez le sujet &gt;65 ans ; information du patient sur les signes d'appel d'une agranulocytose (fièvre, angine, infection) — consulter en urgence en cas de survenue.</w:t>
      </w:r>
    </w:p>
    <w:p>
      <w:pPr>
        <w:pStyle w:val="ListBullet"/>
      </w:pPr>
      <w:r>
        <w:t>Conduite à Tenir : en cas d'agranulocytose (PNN &lt;1500/mm³), arrêt immédiat et hospitalisation pour isolement protecteur et antibiothérapie prophylactique ; en cas d'hypotension orthostatique symptomatique, réduction de la dose ; arrêt progressif par paliers de 10-30 mg par semaine sur 4 semaines (risque de syndrome de sevrage modéré).</w:t>
      </w:r>
    </w:p>
    <w:p>
      <w:r/>
      <w:r>
        <w:rPr>
          <w:b/>
        </w:rPr>
        <w:t>Interactions Importantes :</w:t>
      </w:r>
      <w:r/>
    </w:p>
    <w:p>
      <w:pPr>
        <w:pStyle w:val="ListBullet"/>
      </w:pPr>
      <w:r/>
      <w:r>
        <w:rPr>
          <w:b/>
        </w:rPr>
        <w:t>Miansérine + IMAO</w:t>
      </w:r>
      <w:r>
        <w:t xml:space="preserve"> : CI ABSOLUE. Washout 14 jours.</w:t>
      </w:r>
    </w:p>
    <w:p>
      <w:pPr>
        <w:pStyle w:val="ListBullet"/>
      </w:pPr>
      <w:r/>
      <w:r>
        <w:rPr>
          <w:b/>
        </w:rPr>
        <w:t>Miansérine + IRS / IRSN</w:t>
      </w:r>
      <w:r>
        <w:t xml:space="preserve"> : potentialisation sérotoninergique modérée — surveillance clinique.</w:t>
      </w:r>
    </w:p>
    <w:p>
      <w:pPr>
        <w:pStyle w:val="ListBullet"/>
      </w:pPr>
      <w:r/>
      <w:r>
        <w:rPr>
          <w:b/>
        </w:rPr>
        <w:t>Miansérine + Médicaments myélosuppressiveurs</w:t>
      </w:r>
      <w:r>
        <w:t xml:space="preserve"> (clozapine, carbamazépine, antithyroïdiens de synthèse, chimiothérapies) : potentialisation du risque d'agranulocytose. À éviter.</w:t>
      </w:r>
    </w:p>
    <w:p>
      <w:pPr>
        <w:pStyle w:val="ListBullet"/>
      </w:pPr>
      <w:r/>
      <w:r>
        <w:rPr>
          <w:b/>
        </w:rPr>
        <w:t>Miansérine + Médicaments allongeant le QT</w:t>
      </w:r>
      <w:r>
        <w:t xml:space="preserve"> : surveillance ECG (la miansérine a un effet modéré sur le QTc, mais à surveiller en association).</w:t>
      </w:r>
    </w:p>
    <w:p>
      <w:pPr>
        <w:pStyle w:val="ListBullet"/>
      </w:pPr>
      <w:r/>
      <w:r>
        <w:rPr>
          <w:b/>
        </w:rPr>
        <w:t>Miansérine + Inhibiteurs du CYP2D6</w:t>
      </w:r>
      <w:r>
        <w:t xml:space="preserve"> (paroxétine, fluoxétine, quinidine) : augmentation des concentrations → risque de toxicité.</w:t>
      </w:r>
    </w:p>
    <w:p>
      <w:pPr>
        <w:pStyle w:val="ListBullet"/>
      </w:pPr>
      <w:r/>
      <w:r>
        <w:rPr>
          <w:b/>
        </w:rPr>
        <w:t>Miansérine + AINS / Anticoagulants oraux</w:t>
      </w:r>
      <w:r>
        <w:t xml:space="preserve"> : majoration du risque hémorragique (modérée, moins marquée qu'avec les IRS).</w:t>
      </w:r>
    </w:p>
    <w:p>
      <w:pPr>
        <w:pStyle w:val="ListBullet"/>
      </w:pPr>
      <w:r/>
      <w:r>
        <w:rPr>
          <w:b/>
        </w:rPr>
        <w:t>Miansérine + Alcool</w:t>
      </w:r>
      <w:r>
        <w:t xml:space="preserve"> : potentialisation de la sédation. À éviter formellement.</w:t>
      </w:r>
    </w:p>
    <w:p>
      <w:r/>
      <w:r>
        <w:rPr>
          <w:b/>
        </w:rPr>
        <w:t>Grossesse et Allaitement :</w:t>
      </w:r>
      <w:r/>
    </w:p>
    <w:p>
      <w:pPr>
        <w:pStyle w:val="ListBullet"/>
      </w:pPr>
      <w:r>
        <w:t>Grossesse : selon le CRAT, la miansérine est compatible avec la grossesse (pas de tératogénicité prouvée, recul limité mais rassurant). Risque d'adaptation néonatale au 3e trimestre (sédation, hypotonie). Préférer la sertraline en première intention, mais la miansérine reste utilisable chez la femme enceinte âgée anxieuse.</w:t>
      </w:r>
    </w:p>
    <w:p>
      <w:pPr>
        <w:pStyle w:val="ListBullet"/>
      </w:pPr>
      <w:r>
        <w:t>Allaitement : la miansérine passe dans le lait maternel. À éviter selon le CRAT en première intention (préférer sertraline), ou utiliser avec surveillance clinique étroite du nourrisson.</w:t>
      </w:r>
    </w:p>
    <w:p>
      <w:pPr>
        <w:pStyle w:val="ListBullet"/>
      </w:pPr>
      <w:r>
        <w:t>Précisions : en raison du risque d'agranulocytose, la miansérine est généralement évitée chez la femme enceinte en raison du risque théorique de myélotoxicité fœtale.</w:t>
      </w:r>
    </w:p>
    <w:p>
      <w:r/>
      <w:r>
        <w:rPr>
          <w:b/>
        </w:rPr>
        <w:t>Posologie et Mode d'administration (Standard) :</w:t>
      </w:r>
      <w:r/>
    </w:p>
    <w:p>
      <w:pPr>
        <w:pStyle w:val="ListBullet"/>
      </w:pPr>
      <w:r>
        <w:t>Adulte : dépression — initialement 30 mg/jour le soir, en une prise unique vespérale ou en deux prises (matin et soir) ; augmentation par paliers de 30 mg tous les 7 jours selon tolérance, dose usuelle 60-90 mg/jour, dose maximale 120-150 mg/jour. Sujet âgé : initialement 10-30 mg/jour, dose usuelle 30-60 mg/j, dose maximale 60-90 mg/j.</w:t>
      </w:r>
    </w:p>
    <w:p>
      <w:pPr>
        <w:pStyle w:val="ListBullet"/>
      </w:pPr>
      <w:r>
        <w:t>Insuffisance hépatique ou rénale : réduire la dose de moitié.</w:t>
      </w:r>
    </w:p>
    <w:p>
      <w:pPr>
        <w:pStyle w:val="ListBullet"/>
      </w:pPr>
      <w:r>
        <w:t>Durée : épisode dépressif : 6 mois minimum après rémission complète ; prévention des récidives dépressives : au long cours.</w:t>
      </w:r>
    </w:p>
    <w:p>
      <w:pPr>
        <w:pStyle w:val="ListBullet"/>
      </w:pPr>
      <w:r>
        <w:t>Moment de la prise : le soir (en raison de la sédation — prendre 1 heure avant le coucher), en une prise unique vespérale ou en deux prises (matin et soir si dose &gt;60 mg/j).</w:t>
      </w:r>
    </w:p>
    <w:p>
      <w:r/>
      <w:r>
        <w:rPr>
          <w:b/>
        </w:rPr>
        <w:t>Arbitrage et Bénéfices des Formes Galéniques :</w:t>
      </w:r>
      <w:r/>
    </w:p>
    <w:p>
      <w:pPr>
        <w:pStyle w:val="ListBullet"/>
      </w:pPr>
      <w:r/>
      <w:r>
        <w:rPr>
          <w:b/>
        </w:rPr>
        <w:t>Comprimé pelliculé 10 mg (Tolmil — Biogalenic)</w:t>
      </w:r>
      <w:r>
        <w:t xml:space="preserve"> : forme standard de prescription en ville, particulièrement adaptée à l'initiation à faible dose (sujet âgé) et aux paliers de sevrage progressif. Permet une titration fine par paliers de 10 mg.</w:t>
      </w:r>
    </w:p>
    <w:p>
      <w:pPr>
        <w:pStyle w:val="ListBullet"/>
      </w:pPr>
      <w:r/>
      <w:r>
        <w:rPr>
          <w:b/>
        </w:rPr>
        <w:t>Comprimé 30 mg (Tolvon — Organon)</w:t>
      </w:r>
      <w:r>
        <w:t xml:space="preserve"> : forme de maintenance, en une prise vespérale. Adapté à la dose usuelle d'entretien (60-90 mg/jour = 2-3 comprimés par jour).</w:t>
      </w:r>
    </w:p>
    <w:p>
      <w:pPr>
        <w:pStyle w:val="ListBullet"/>
      </w:pPr>
      <w:r/>
      <w:r>
        <w:rPr>
          <w:b/>
        </w:rPr>
        <w:t>Forme retirée (Athymil® — Organon)</w:t>
      </w:r>
      <w:r>
        <w:t xml:space="preserve"> : marque historique, encore présente dans les stocks résiduels. Privilégier les formes actives (Tolmil, Tolvon).</w:t>
      </w:r>
    </w:p>
    <w:p>
      <w:pPr>
        <w:pStyle w:val="ListBullet"/>
      </w:pPr>
      <w:r>
        <w:t>Arbitrage : le comprimé 10 mg est à privilégier pour le sujet âgé, l'initiation à dose réduite et les paliers de sevrage. Le comprimé 30 mg est la forme standard de maintenance.</w:t>
      </w:r>
    </w:p>
    <w:p>
      <w:r/>
      <w:r>
        <w:rPr>
          <w:b/>
        </w:rPr>
        <w:t>Instructions et Conseils au Patient :</w:t>
      </w:r>
      <w:r/>
    </w:p>
    <w:p>
      <w:pPr>
        <w:pStyle w:val="ListBullet"/>
      </w:pPr>
      <w:r>
        <w:t xml:space="preserve">Communication au comptoir : « Ce médicament est un antidépresseur tétracyclique atypique, particulièrement indiqué chez le sujet âgé anxieux avec insomnie. </w:t>
      </w:r>
      <w:r>
        <w:rPr>
          <w:b/>
        </w:rPr>
        <w:t>Prenez-le le soir</w:t>
      </w:r>
      <w:r>
        <w:t xml:space="preserve"> car il donne sommeil. Les premiers jours, vous pouvez ressentir une sécheresse de la bouche, une constipation, des vertiges en vous levant. </w:t>
      </w:r>
      <w:r>
        <w:rPr>
          <w:b/>
        </w:rPr>
        <w:t>Buvez de l'eau régulièrement</w:t>
      </w:r>
      <w:r>
        <w:t xml:space="preserve">. Évitez l'alcool. </w:t>
      </w:r>
      <w:r>
        <w:rPr>
          <w:b/>
        </w:rPr>
        <w:t>Prévenez immédiatement votre médecin si vous avez de la fièvre, une angine, une infection</w:t>
      </w:r>
      <w:r>
        <w:t xml:space="preserve"> (signes possibles d'une baisse des globules blancs). Évitez de conduire les premiers jours. »</w:t>
      </w:r>
    </w:p>
    <w:p>
      <w:pPr>
        <w:pStyle w:val="ListBullet"/>
      </w:pPr>
      <w:r>
        <w:t>Mode d'utilisation pratique : prise vespérale 1 heure avant le coucher ; surveillance de la température corporelle (signe d'appel d'agranulocytose) ; hydratation abondante ; surveillance du poids et de la TA ; consultations médicales rapprochées ; prévenir tous les médecins consultés ; éviter l'arrêt brutal.</w:t>
      </w:r>
    </w:p>
    <w:p>
      <w:r/>
      <w:r>
        <w:rPr>
          <w:b/>
        </w:rPr>
        <w:t>Notes, Règles d'Or &amp; Pièges au Comptoir :</w:t>
      </w:r>
      <w:r/>
    </w:p>
    <w:p>
      <w:pPr>
        <w:pStyle w:val="ListBullet"/>
      </w:pPr>
      <w:r>
        <w:t>Piège classique n°1 : l'</w:t>
      </w:r>
      <w:r>
        <w:rPr>
          <w:b/>
        </w:rPr>
        <w:t>agranulocytose</w:t>
      </w:r>
      <w:r>
        <w:t xml:space="preserve"> de la miansérine est rare (1/10 000) mais potentiellement grave. Surveillance NFS mensuelle pendant les 6-12 premiers mois (recommandation historique ANSM) — en pratique, souvent limitée à une NFS de référence à l'instauration et à la surveillance clinique des signes d'appel (fièvre, angine, infection).</w:t>
      </w:r>
    </w:p>
    <w:p>
      <w:pPr>
        <w:pStyle w:val="ListBullet"/>
      </w:pPr>
      <w:r>
        <w:t xml:space="preserve">Piège classique n°2 : la miansérine est un antidépresseur de choix chez le </w:t>
      </w:r>
      <w:r>
        <w:rPr>
          <w:b/>
        </w:rPr>
        <w:t>sujet âgé à risque suicidaire</w:t>
      </w:r>
      <w:r>
        <w:t xml:space="preserve"> en raison de son absence de cardiotoxicité en surdosage (avantage majeur par rapport aux ATC).</w:t>
      </w:r>
    </w:p>
    <w:p>
      <w:pPr>
        <w:pStyle w:val="ListBullet"/>
      </w:pPr>
      <w:r>
        <w:t>Règle de prise : soir, 1 heure avant le coucher.</w:t>
      </w:r>
    </w:p>
    <w:p>
      <w:pPr>
        <w:pStyle w:val="ListBullet"/>
      </w:pPr>
      <w:r>
        <w:t>Préparation et Conservation : conserver à température &lt;25°C, à l'abri de l'humidité et de la lumière.</w:t>
      </w:r>
    </w:p>
    <w:p>
      <w:pPr>
        <w:pStyle w:val="ListBullet"/>
      </w:pPr>
      <w:r>
        <w:t>Piège du surdosage / Substitution : en cas de surdosage, surveillance clinique (sédation, hypotension), pas de toxicité cardiaque majeure — avantage par rapport aux ATC. En cas d'agranulocytose, arrêt immédiat et hospitalisation. Lors de substitution entre marques actives (Tolmil ↔ Tolvon), vérifier l'équivalence de dosage (10 mg ou 30 mg) et adapter le nombre de comprimés.</w:t>
      </w:r>
    </w:p>
    <w:p>
      <w:pPr>
        <w:pStyle w:val="Heading2"/>
      </w:pPr>
      <w:r>
        <w:t>SOUS-CLASSE 6 — NORADRÉNERGIQUES ET SPÉCIFIQUES SÉROTONINERGIQUES (NaSSA)</w:t>
      </w:r>
    </w:p>
    <w:p>
      <w:pPr>
        <w:pStyle w:val="Heading3"/>
      </w:pPr>
      <w:r>
        <w:t>Introduction de la sous-classe</w:t>
      </w:r>
    </w:p>
    <w:p>
      <w:r>
        <w:t xml:space="preserve">Les antidépresseurs noradrénergiques et spécifiques sérotoninergiques (NaSSA), classe représentée en pratique par la </w:t>
      </w:r>
      <w:r>
        <w:rPr>
          <w:b/>
        </w:rPr>
        <w:t>mirtazapine</w:t>
      </w:r>
      <w:r>
        <w:t xml:space="preserve"> (Remeron® — Organon, commercialisée depuis 1994), se distinguent des autres antidépresseurs par un mécanisme d'action original combinant </w:t>
      </w:r>
      <w:r>
        <w:rPr>
          <w:b/>
        </w:rPr>
        <w:t>blocage des récepteurs α2 présynaptiques</w:t>
      </w:r>
      <w:r>
        <w:t xml:space="preserve"> (qui lève l'inhibition physiologique de la libération de noradrénaline et de sérotonine) et </w:t>
      </w:r>
      <w:r>
        <w:rPr>
          <w:b/>
        </w:rPr>
        <w:t>blocage de certains récepteurs postsynaptiques sérotoninergiques</w:t>
      </w:r>
      <w:r>
        <w:t xml:space="preserve"> (5-HT2A, 5-HT2C, 5-HT3), ce qui potentialise l'effet antidépresseur tout en améliorant la tolérance, particulièrement digestive et sexuelle.</w:t>
      </w:r>
    </w:p>
    <w:p>
      <w:r/>
      <w:r>
        <w:rPr>
          <w:b/>
        </w:rPr>
        <w:t>Cibles moléculaires</w:t>
      </w:r>
      <w:r>
        <w:t xml:space="preserve"> :</w:t>
      </w:r>
    </w:p>
    <w:p>
      <w:pPr>
        <w:pStyle w:val="ListBullet"/>
      </w:pPr>
      <w:r>
        <w:t xml:space="preserve">Blocage des </w:t>
      </w:r>
      <w:r>
        <w:rPr>
          <w:b/>
        </w:rPr>
        <w:t>autorécepteurs α2 présynaptiques noradrénergiques</w:t>
      </w:r>
      <w:r>
        <w:t xml:space="preserve"> → augmentation de la libération de noradrénaline au niveau du locus coeruleus et de ses projections corticales ;</w:t>
      </w:r>
    </w:p>
    <w:p>
      <w:pPr>
        <w:pStyle w:val="ListBullet"/>
      </w:pPr>
      <w:r>
        <w:t xml:space="preserve">Blocage des </w:t>
      </w:r>
      <w:r>
        <w:rPr>
          <w:b/>
        </w:rPr>
        <w:t>hététorécepteurs α2 présynaptiques sérotoninergiques</w:t>
      </w:r>
      <w:r>
        <w:t xml:space="preserve"> (qui sont normalement inhibiteurs de la libération de 5-HT par l'NA) → augmentation de la libération de sérotonine au niveau des noyaux du raphé et de leurs projections cortico-limbiques ;</w:t>
      </w:r>
    </w:p>
    <w:p>
      <w:pPr>
        <w:pStyle w:val="ListBullet"/>
      </w:pPr>
      <w:r>
        <w:t xml:space="preserve">Blocage des récepteurs </w:t>
      </w:r>
      <w:r>
        <w:rPr>
          <w:b/>
        </w:rPr>
        <w:t>5-HT2A</w:t>
      </w:r>
      <w:r>
        <w:t xml:space="preserve"> (effet anxiolytique, amélioration du sommeil, réduction des effets indésirables sexuels) ;</w:t>
      </w:r>
    </w:p>
    <w:p>
      <w:pPr>
        <w:pStyle w:val="ListBullet"/>
      </w:pPr>
      <w:r>
        <w:t xml:space="preserve">Blocage des récepteurs </w:t>
      </w:r>
      <w:r>
        <w:rPr>
          <w:b/>
        </w:rPr>
        <w:t>5-HT2C</w:t>
      </w:r>
      <w:r>
        <w:t xml:space="preserve"> (effet antidépresseur, anxiolytique, prise de poids — effet H1 et 5-HT2C) ;</w:t>
      </w:r>
    </w:p>
    <w:p>
      <w:pPr>
        <w:pStyle w:val="ListBullet"/>
      </w:pPr>
      <w:r>
        <w:t xml:space="preserve">Blocage des récepteurs </w:t>
      </w:r>
      <w:r>
        <w:rPr>
          <w:b/>
        </w:rPr>
        <w:t>5-HT3</w:t>
      </w:r>
      <w:r>
        <w:t xml:space="preserve"> (réduction des nausées — la mirtazapine est l'antidépresseur qui donne le moins de nausées avec la miansérine) ;</w:t>
      </w:r>
    </w:p>
    <w:p>
      <w:pPr>
        <w:pStyle w:val="ListBullet"/>
      </w:pPr>
      <w:r>
        <w:t xml:space="preserve">Affinité marquée pour les récepteurs </w:t>
      </w:r>
      <w:r>
        <w:rPr>
          <w:b/>
        </w:rPr>
        <w:t>H1</w:t>
      </w:r>
      <w:r>
        <w:t xml:space="preserve"> (sédation, prise de poids — effet dose-dépendant paradoxal : à faible dose 15 mg/j, sédation marquée par effet H1 ; à dose plus élevée 30-45 mg/j, l'augmentation de la transmission noradrénergique contrebalance l'effet H1 et la sédation diminue) ;</w:t>
      </w:r>
    </w:p>
    <w:p>
      <w:pPr>
        <w:pStyle w:val="ListBullet"/>
      </w:pPr>
      <w:r/>
      <w:r>
        <w:rPr>
          <w:b/>
        </w:rPr>
        <w:t>Sans affinité</w:t>
      </w:r>
      <w:r>
        <w:t xml:space="preserve"> significative pour les récepteurs muscariniques (pas d'effets anticholinergiques) ni pour les canaux sodiques (peu de cardiotoxicité en surdosage).</w:t>
      </w:r>
    </w:p>
    <w:p>
      <w:r/>
      <w:r>
        <w:rPr>
          <w:b/>
        </w:rPr>
        <w:t>Spectre d'activité clinique</w:t>
      </w:r>
      <w:r>
        <w:t xml:space="preserve"> : dépression majeure (surtout avec insomnie, anxiété, anorexie, perte de poids — la mirtazapine a un effet orexigène et anti-émétique), dépression résistante aux IRS, dépression du sujet âgé (en raison de la bonne tolérance cardiaque), insomnie associée à la dépression, troubles anxieux avec insomnie, nausées et vomissements induits par la chimiothérapie (off-label à faible dose). En Algérie, l'usage de la mirtazapine est limité mais croissant, particulièrement dans la dépression anxieuse avec insomnie.</w:t>
      </w:r>
    </w:p>
    <w:p>
      <w:r/>
      <w:r>
        <w:rPr>
          <w:b/>
        </w:rPr>
        <w:t>Profil de tolérance</w:t>
      </w:r>
      <w:r>
        <w:t xml:space="preserve"> : </w:t>
      </w:r>
      <w:r>
        <w:rPr>
          <w:b/>
        </w:rPr>
        <w:t>sédation marquée à faible dose</w:t>
      </w:r>
      <w:r>
        <w:t xml:space="preserve"> (effet H1, particulièrement à 15 mg/j), prise de poids (effet H1 et 5-HT2C — 2-8 kg en moyenne, parfois recherchée chez le patient déprimé anorexique), hypotension orthostatique modérée (effet α1), vertiges, asthénie diurne, oedèmes périphériques (rare), augmentation des transaminases, </w:t>
      </w:r>
      <w:r>
        <w:rPr>
          <w:b/>
        </w:rPr>
        <w:t>agranulocytose exceptionnelle</w:t>
      </w:r>
      <w:r>
        <w:t xml:space="preserve"> (incidence &lt;1/100 000, mais à surveiller), rash cutané, hyponatrémie par SIADH (rare), rêves étranges. </w:t>
      </w:r>
      <w:r>
        <w:rPr>
          <w:b/>
        </w:rPr>
        <w:t>Absence d'effets anticholinergiques</w:t>
      </w:r>
      <w:r>
        <w:t xml:space="preserve">, </w:t>
      </w:r>
      <w:r>
        <w:rPr>
          <w:b/>
        </w:rPr>
        <w:t>absence de dysfonction sexuelle</w:t>
      </w:r>
      <w:r>
        <w:t xml:space="preserve"> (avantage majeur par rapport aux IRS), </w:t>
      </w:r>
      <w:r>
        <w:rPr>
          <w:b/>
        </w:rPr>
        <w:t>absence de nausées</w:t>
      </w:r>
      <w:r>
        <w:t xml:space="preserve"> (avantage majeur par rapport aux IRS et IRSN), </w:t>
      </w:r>
      <w:r>
        <w:rPr>
          <w:b/>
        </w:rPr>
        <w:t>absence de cardiotoxicité en surdosage</w:t>
      </w:r>
      <w:r>
        <w:t xml:space="preserve"> (avantage majeur par rapport aux ATC). Le syndrome de sevrage à l'arrêt brutal est modéré.</w:t>
      </w:r>
    </w:p>
    <w:p>
      <w:r/>
      <w:r>
        <w:rPr>
          <w:b/>
        </w:rPr>
        <w:t>Règle d'or du washout</w:t>
      </w:r>
      <w:r>
        <w:t xml:space="preserve"> : deux semaines (14 jours) minimum entre l'arrêt d'un IMAO et le début de mirtazapine, et inversement 7 jours.</w:t>
      </w:r>
    </w:p>
    <w:p>
      <w:pPr>
        <w:pStyle w:val="Heading3"/>
      </w:pPr>
      <w:r>
        <w:t>14. DCI : Mirtazapine (Seule)</w:t>
      </w:r>
    </w:p>
    <w:p>
      <w:r/>
      <w:r>
        <w:rPr>
          <w:b/>
        </w:rPr>
        <w:t>Liste des Catégories :</w:t>
      </w:r>
      <w:r>
        <w:t xml:space="preserve"> Antidépresseurs — Noradrénergiques et sérotoninergiques spécifiques (NaSSA) ; Liste I.</w:t>
      </w:r>
    </w:p>
    <w:p>
      <w:r>
        <w:t xml:space="preserve">La mirtazapine (Remeron® — Organon, commercialisée depuis 1994) est le chef de file des NaSSA et l'un des antidépresseurs modernes les plus originaux par son mécanisme d'action. Elle se distingue des IRS et IRSN par plusieurs caractéristiques cliniques : (1) </w:t>
      </w:r>
      <w:r>
        <w:rPr>
          <w:b/>
        </w:rPr>
        <w:t>effet sédatif marqué à faible dose</w:t>
      </w:r>
      <w:r>
        <w:t xml:space="preserve"> (effet H1 puissant, particulièrement à 15 mg/j — paradoxalement, la sédation diminue à dose plus élevée car l'augmentation de la transmission noradrénergique contrebalance l'effet H1) ; (2) </w:t>
      </w:r>
      <w:r>
        <w:rPr>
          <w:b/>
        </w:rPr>
        <w:t>effet orexigène et prise de poids</w:t>
      </w:r>
      <w:r>
        <w:t xml:space="preserve"> (effet H1 et 5-HT2C — parfois recherchée chez le patient déprimé anorexique) ; (3) </w:t>
      </w:r>
      <w:r>
        <w:rPr>
          <w:b/>
        </w:rPr>
        <w:t>absence de nausées</w:t>
      </w:r>
      <w:r>
        <w:t xml:space="preserve"> (blocage 5-HT3) ; (4) </w:t>
      </w:r>
      <w:r>
        <w:rPr>
          <w:b/>
        </w:rPr>
        <w:t>absence de dysfonction sexuelle</w:t>
      </w:r>
      <w:r>
        <w:t xml:space="preserve"> (blocage 5-HT2A — avantage majeur par rapport aux IRS) ; (5) </w:t>
      </w:r>
      <w:r>
        <w:rPr>
          <w:b/>
        </w:rPr>
        <w:t>absence de cardiotoxicité en surdosage</w:t>
      </w:r>
      <w:r>
        <w:t xml:space="preserve"> — avantage majeur par rapport aux ATC. Ces propriétés en font un antidépresseur de choix dans la dépression du sujet âgé anxieux avec insomnie et perte d'appétit, ainsi que dans la dépression résistante aux IRS (en association potentialisatrice). En Algérie, la mirtazapine est disponible sous la marque Moncitra (CPCM) en comprimés pelliculés 30 mg.</w:t>
      </w:r>
    </w:p>
    <w:p>
      <w:r/>
      <w:r>
        <w:rPr>
          <w:b/>
        </w:rPr>
        <w:t>Médicaments disponibles en Algérie (Marques, Laboratoires, Formes et Dosages) :</w:t>
      </w:r>
      <w:r/>
    </w:p>
    <w:p>
      <w:pPr>
        <w:pStyle w:val="ListBullet"/>
      </w:pPr>
      <w:r/>
      <w:r>
        <w:rPr>
          <w:b/>
        </w:rPr>
        <w:t>MONCITRA</w:t>
      </w:r>
      <w:r>
        <w:t xml:space="preserve"> (CHIMIE PHARMACIE COMMERCE MULTIPLE — CPCM)</w:t>
      </w:r>
    </w:p>
    <w:p>
      <w:pPr>
        <w:pStyle w:val="ListBullet"/>
      </w:pPr>
      <w:r>
        <w:t>Formes et Dosages : Comprimé pelliculé 30 mg, boîte de 30</w:t>
      </w:r>
    </w:p>
    <w:p>
      <w:pPr>
        <w:pStyle w:val="ListBullet"/>
      </w:pPr>
      <w:r>
        <w:t>Statut : Actif</w:t>
      </w:r>
    </w:p>
    <w:p>
      <w:pPr>
        <w:pStyle w:val="ListBullet"/>
      </w:pPr>
      <w:r/>
      <w:r>
        <w:rPr>
          <w:b/>
        </w:rPr>
        <w:t>REMERON</w:t>
      </w:r>
      <w:r>
        <w:t xml:space="preserve"> (ORGANON — GROUPE AKZO NOBEL)</w:t>
      </w:r>
    </w:p>
    <w:p>
      <w:pPr>
        <w:pStyle w:val="ListBullet"/>
      </w:pPr>
      <w:r>
        <w:t>Formes et Dosages : Comprimé enrobé 30 mg, boîte de 30 ; Comprimé enrobé 45 mg, boîte de 30</w:t>
      </w:r>
    </w:p>
    <w:p>
      <w:pPr>
        <w:pStyle w:val="ListBullet"/>
      </w:pPr>
      <w:r>
        <w:t>Statut : Retiré (R)</w:t>
      </w:r>
    </w:p>
    <w:p>
      <w:r/>
      <w:r>
        <w:rPr>
          <w:i/>
        </w:rPr>
        <w:t>(Note : À l'heure actuelle, seule la marque Moncitra (CPCM) en comprimé 30 mg est disponible en officine algérienne. La marque historique Remeron® (Organon) en comprimés 30 mg et 45 mg est en statut RETIRÉ. Les patients antérieurement traités par Remeron® doivent être orientés vers Moncitra (équivalence stricte de dosage pour le 30 mg). Le dosage 45 mg n'est actuellement pas disponible en forme active — il est remplacé en pratique par 1 comprimé et demi de Moncitra 30 mg.)</w:t>
      </w:r>
      <w:r/>
    </w:p>
    <w:p>
      <w:r/>
      <w:r>
        <w:rPr>
          <w:b/>
        </w:rPr>
        <w:t>Sous-classe et Mécanisme d'action :</w:t>
      </w:r>
      <w:r/>
    </w:p>
    <w:p>
      <w:pPr>
        <w:pStyle w:val="ListBullet"/>
      </w:pPr>
      <w:r>
        <w:t>Sous-classe : NaSSA, chef de file de la classe, dérivé piperazinoprototricyclique.</w:t>
      </w:r>
    </w:p>
    <w:p>
      <w:pPr>
        <w:pStyle w:val="ListBullet"/>
      </w:pPr>
      <w:r>
        <w:t xml:space="preserve">Mécanisme d'action : </w:t>
      </w:r>
      <w:r>
        <w:rPr>
          <w:b/>
        </w:rPr>
        <w:t>blocage des récepteurs α2 présynaptiques</w:t>
      </w:r>
      <w:r>
        <w:t xml:space="preserve"> (autorécepteurs noradrénergiques et hététorécepteurs sérotoninergiques) → augmentation de la libération de noradrénaline et de sérotonine au niveau central ; blocage des récepteurs 5-HT2A/2C (effet anxiolytique, amélioration du sommeil, absence de dysfonction sexuelle) ; blocage des récepteurs 5-HT3 (absence de nausées) ; affinité marquée pour H1 (sédation, prise de poids — effet dose-dépendant paradoxal : sédation marquée à 15 mg/j, sédation réduite à 30-45 mg/j par contrebalancement noradrénergique) ; sans affinité significative pour les récepteurs muscariniques (pas d'effets anticholinergiques) ni pour les canaux sodiques (peu de cardiotoxicité en surdosage). Métabolisme hépatique via CYP1A2, CYP2D6 et CYP3A4 en métabolites inactifs. Demi-vie d'élimination : 20-40 heures (longue, autorisant une seule prise quotidienne).</w:t>
      </w:r>
    </w:p>
    <w:p>
      <w:r/>
      <w:r>
        <w:rPr>
          <w:b/>
        </w:rPr>
        <w:t>Profil Pharmacologique :</w:t>
      </w:r>
      <w:r/>
    </w:p>
    <w:p>
      <w:pPr>
        <w:pStyle w:val="ListBullet"/>
      </w:pPr>
      <w:r>
        <w:t>Indications : épisode dépressif majeur (surtout avec insomnie, anxiété, anorexie, perte de poids), dépression résistante aux IRS (en association potentialisatrice — combinaison IRS + mirtazapine, dite « California Rocket Fuel », particulièrement efficace), dépression du sujet âgé (indication de référence en raison de la bonne tolérance cardiaque), insomnie associée à la dépression, troubles anxieux avec insomnie. En Algérie, indications principales : dépression du sujet âgé anxieux avec insomnie, dépression résistante aux IRS.</w:t>
      </w:r>
    </w:p>
    <w:p>
      <w:pPr>
        <w:pStyle w:val="ListBullet"/>
      </w:pPr>
      <w:r>
        <w:t>Contre-indications : hypersensibilité, association aux IMAO (washout 14 jours), manie non contrôlée, insuffisance hépatique sévère, allaitement (à éviter). Précautions : sujet âgé (surveillance NFS en raison du risque exceptionnel d'agranulocytose), antécédents hématologiques, épilepsie (abaisse le seuil épileptogène à dose élevée), hyperphagie ou trouble bipolaire (en raison de l'effet orexigène).</w:t>
      </w:r>
    </w:p>
    <w:p>
      <w:pPr>
        <w:pStyle w:val="ListBullet"/>
      </w:pPr>
      <w:r>
        <w:t xml:space="preserve">Effets Indésirables : </w:t>
      </w:r>
      <w:r>
        <w:rPr>
          <w:b/>
        </w:rPr>
        <w:t>sédation marquée à faible dose</w:t>
      </w:r>
      <w:r>
        <w:t xml:space="preserve"> (effet H1, particulièrement à 15 mg/j — diminue paradoxalement à dose plus élevée 30-45 mg/j), </w:t>
      </w:r>
      <w:r>
        <w:rPr>
          <w:b/>
        </w:rPr>
        <w:t>prise de poids</w:t>
      </w:r>
      <w:r>
        <w:t xml:space="preserve"> (effet H1 et 5-HT2C — 2-8 kg en moyenne, parfois recherchée chez le patient déprimé anorexique), hypotension orthostatique modérée (effet α1), vertiges, asthénie diurne, </w:t>
      </w:r>
      <w:r>
        <w:rPr>
          <w:b/>
        </w:rPr>
        <w:t>oedèmes périphériques</w:t>
      </w:r>
      <w:r>
        <w:t xml:space="preserve"> (rare, effet minéralocorticoïde indirect), augmentation des transaminases, </w:t>
      </w:r>
      <w:r>
        <w:rPr>
          <w:b/>
        </w:rPr>
        <w:t>agranulocytose exceptionnelle</w:t>
      </w:r>
      <w:r>
        <w:t xml:space="preserve"> (incidence &lt;1/100 000 — surveillance clinique des signes d'appel : fièvre, angine, infection), rash cutané, hyponatrémie par SIADH (rare), </w:t>
      </w:r>
      <w:r>
        <w:rPr>
          <w:b/>
        </w:rPr>
        <w:t>rêves étranges et cauchemars</w:t>
      </w:r>
      <w:r>
        <w:t xml:space="preserve"> (effet 5-HT2A), syndrome des jambes sans repos (rare). </w:t>
      </w:r>
      <w:r>
        <w:rPr>
          <w:b/>
        </w:rPr>
        <w:t>Absence d'effets anticholinergiques</w:t>
      </w:r>
      <w:r>
        <w:t xml:space="preserve">, </w:t>
      </w:r>
      <w:r>
        <w:rPr>
          <w:b/>
        </w:rPr>
        <w:t>absence de dysfonction sexuelle</w:t>
      </w:r>
      <w:r>
        <w:t xml:space="preserve"> (avantage majeur par rapport aux IRS), </w:t>
      </w:r>
      <w:r>
        <w:rPr>
          <w:b/>
        </w:rPr>
        <w:t>absence de nausées</w:t>
      </w:r>
      <w:r>
        <w:t xml:space="preserve"> (avantage majeur par rapport aux IRS et IRSN), </w:t>
      </w:r>
      <w:r>
        <w:rPr>
          <w:b/>
        </w:rPr>
        <w:t>absence de cardiotoxicité en surdosage</w:t>
      </w:r>
      <w:r>
        <w:t xml:space="preserve"> (avantage majeur par rapport aux ATC).</w:t>
      </w:r>
    </w:p>
    <w:p>
      <w:r/>
      <w:r>
        <w:rPr>
          <w:b/>
        </w:rPr>
        <w:t>Prévention et Gestion des Effets Indésirables :</w:t>
      </w:r>
      <w:r/>
    </w:p>
    <w:p>
      <w:pPr>
        <w:pStyle w:val="ListBullet"/>
      </w:pPr>
      <w:r>
        <w:t>Mesures Préventives : initiation à 15 mg/jour le soir pendant 7 jours puis augmentation à 30 mg/jour selon tolérance (à 30 mg, la sédation est moindre qu'à 15 mg en raison du contrebalancement noradrénergique) ; prise vespérale stricte en raison de la sédation ; surveillance de la tension artérielle (orthostatique) ; surveillance clinique des signes d'appel d'agranulocytose (fièvre, angine, infection) — pas de surveillance NFS systématique en raison de l'incidence exceptionnellement faible ; surveillance natrémie chez le sujet &gt;65 ans ; bilan hépatique à l'instauration ; information du patient sur la prise de poids (régime adapté, surveillance pondérale) ; éviter la consommation d'alcool (potentialisation de la sédation).</w:t>
      </w:r>
    </w:p>
    <w:p>
      <w:pPr>
        <w:pStyle w:val="ListBullet"/>
      </w:pPr>
      <w:r>
        <w:t>Conduite à Tenir : en cas d'agranulocytose (PNN &lt;1500/mm³), arrêt immédiat et hospitalisation (exceptionnel) ; en cas de sédation excessive diurne à 15 mg, augmentation à 30 mg/j (effet paradoxal de réduction de la sédation) ; en cas de prise de poids excessive (&gt;5 kg), réduction de la dose ou switch vers un autre antidépresseur (IRS de préférence) ; arrêt progressif par paliers de 15 mg par semaine sur 4 semaines (risque de syndrome de sevrage modéré).</w:t>
      </w:r>
    </w:p>
    <w:p>
      <w:r/>
      <w:r>
        <w:rPr>
          <w:b/>
        </w:rPr>
        <w:t>Interactions Importantes :</w:t>
      </w:r>
      <w:r/>
    </w:p>
    <w:p>
      <w:pPr>
        <w:pStyle w:val="ListBullet"/>
      </w:pPr>
      <w:r/>
      <w:r>
        <w:rPr>
          <w:b/>
        </w:rPr>
        <w:t>Mirtazapine + IMAO</w:t>
      </w:r>
      <w:r>
        <w:t xml:space="preserve"> : CI ABSOLUE. Washout 14 jours.</w:t>
      </w:r>
    </w:p>
    <w:p>
      <w:pPr>
        <w:pStyle w:val="ListBullet"/>
      </w:pPr>
      <w:r/>
      <w:r>
        <w:rPr>
          <w:b/>
        </w:rPr>
        <w:t>Mirtazapine + IRS / IRSN</w:t>
      </w:r>
      <w:r>
        <w:t xml:space="preserve"> : potentialisation sérotoninergique — surveillance clinique, mais association possible et particulièrement efficace (combinaison IRS + mirtazapine, dite « California Rocket Fuel », dans la dépression résistante).</w:t>
      </w:r>
    </w:p>
    <w:p>
      <w:pPr>
        <w:pStyle w:val="ListBullet"/>
      </w:pPr>
      <w:r/>
      <w:r>
        <w:rPr>
          <w:b/>
        </w:rPr>
        <w:t>Mirtazapine + Médicaments sédatifs</w:t>
      </w:r>
      <w:r>
        <w:t xml:space="preserve"> (benzodiazépines, antipsychotiques, antihistaminiques H1, opioïdes) : potentialisation de la sédation. Surveillance clinique.</w:t>
      </w:r>
    </w:p>
    <w:p>
      <w:pPr>
        <w:pStyle w:val="ListBullet"/>
      </w:pPr>
      <w:r/>
      <w:r>
        <w:rPr>
          <w:b/>
        </w:rPr>
        <w:t>Mirtazapine + Médicaments allongeant le QT</w:t>
      </w:r>
      <w:r>
        <w:t xml:space="preserve"> : surveillance ECG (la mirtazapine a un effet modéré sur le QTc, mais à surveiller en association).</w:t>
      </w:r>
    </w:p>
    <w:p>
      <w:pPr>
        <w:pStyle w:val="ListBullet"/>
      </w:pPr>
      <w:r/>
      <w:r>
        <w:rPr>
          <w:b/>
        </w:rPr>
        <w:t>Mirtazapine + Inhibiteurs puissants du CYP1A2</w:t>
      </w:r>
      <w:r>
        <w:t xml:space="preserve"> (fluvoxamine, ciprofloxacine) : augmentation des concentrations → surveillance clinique et adaptation posologique.</w:t>
      </w:r>
    </w:p>
    <w:p>
      <w:pPr>
        <w:pStyle w:val="ListBullet"/>
      </w:pPr>
      <w:r/>
      <w:r>
        <w:rPr>
          <w:b/>
        </w:rPr>
        <w:t>Mirtazapine + Inhibiteurs du CYP3A4</w:t>
      </w:r>
      <w:r>
        <w:t xml:space="preserve"> (kétoconazole, ritonavir, clarithromycine, jus de pamplemousse) : augmentation des concentrations → surveillance clinique.</w:t>
      </w:r>
    </w:p>
    <w:p>
      <w:pPr>
        <w:pStyle w:val="ListBullet"/>
      </w:pPr>
      <w:r/>
      <w:r>
        <w:rPr>
          <w:b/>
        </w:rPr>
        <w:t>Mirtazapine + Inducteurs du CYP3A4</w:t>
      </w:r>
      <w:r>
        <w:t xml:space="preserve"> (rifampicine, phénytoïne, carbamazépine, millepertuis) : diminution des concentrations → adaptation posologique.</w:t>
      </w:r>
    </w:p>
    <w:p>
      <w:pPr>
        <w:pStyle w:val="ListBullet"/>
      </w:pPr>
      <w:r/>
      <w:r>
        <w:rPr>
          <w:b/>
        </w:rPr>
        <w:t>Mirtazapine + Alcool</w:t>
      </w:r>
      <w:r>
        <w:t xml:space="preserve"> : potentialisation de la sédation. À éviter formellement.</w:t>
      </w:r>
    </w:p>
    <w:p>
      <w:pPr>
        <w:pStyle w:val="ListBullet"/>
      </w:pPr>
      <w:r/>
      <w:r>
        <w:rPr>
          <w:b/>
        </w:rPr>
        <w:t>Mirtazapine + AINS / Anticoagulants oraux</w:t>
      </w:r>
      <w:r>
        <w:t xml:space="preserve"> : majoration modérée du risque hémorragique (la mirtazapine a peu d'effet sur la sérotonine plaquettaire en raison de son mécanisme atypique).</w:t>
      </w:r>
    </w:p>
    <w:p>
      <w:r/>
      <w:r>
        <w:rPr>
          <w:b/>
        </w:rPr>
        <w:t>Grossesse et Allaitement :</w:t>
      </w:r>
      <w:r/>
    </w:p>
    <w:p>
      <w:pPr>
        <w:pStyle w:val="ListBullet"/>
      </w:pPr>
      <w:r>
        <w:t>Grossesse : selon le CRAT, la mirtazapine est compatible avec la grossesse (pas de tératogénicité prouvée, recul limité mais rassurant). Risque d'adaptation néonatale au 3e trimestre (sédation, hypotonie). Préférer la sertraline en première intention, mais la mirtazapine reste utilisable si bénéfice attendu supérieur, notamment chez la femme enceinte anxieuse avec insomnie et perte d'appétit.</w:t>
      </w:r>
    </w:p>
    <w:p>
      <w:pPr>
        <w:pStyle w:val="ListBullet"/>
      </w:pPr>
      <w:r>
        <w:t>Allaitement : la mirtazapine passe dans le lait maternel avec un rapport lait/plasma modéré (~0,2-0,4), mais des concentrations détectables chez le nourrisson ont été rapportées. À éviter selon le CRAT en première intention (préférer sertraline), ou utiliser avec surveillance clinique étroite du nourrisson (sommeil, prise de poids — l'effet orexigène pourrait concerner le nourrisson).</w:t>
      </w:r>
    </w:p>
    <w:p>
      <w:pPr>
        <w:pStyle w:val="ListBullet"/>
      </w:pPr>
      <w:r>
        <w:t>Précisions : en raison de l'effet orexigène et sédatif, la mirtazapine est généralement évitée chez la femme enceinte en prise de poids excessive ou présentant un diabète gestationnel.</w:t>
      </w:r>
    </w:p>
    <w:p>
      <w:r/>
      <w:r>
        <w:rPr>
          <w:b/>
        </w:rPr>
        <w:t>Posologie et Mode d'administration (Standard) :</w:t>
      </w:r>
      <w:r/>
    </w:p>
    <w:p>
      <w:pPr>
        <w:pStyle w:val="ListBullet"/>
      </w:pPr>
      <w:r>
        <w:t>Adulte : dépression — initialement 15 mg/jour le soir, en une prise unique vespérale ; augmentation à 30 mg/jour après 1-2 semaines selon tolérance (à 30 mg, la sédation est moindre qu'à 15 mg en raison du contrebalancement noradrénergique) ; augmentation possible à 45 mg/jour selon réponse. Dose usuelle 30-45 mg/j, dose maximale 60-90 mg/jour (sous surveillance spécialisée). Sujet âgé : initialement 15 mg/jour, dose usuelle 15-30 mg/j, dose maximale 45 mg/j.</w:t>
      </w:r>
    </w:p>
    <w:p>
      <w:pPr>
        <w:pStyle w:val="ListBullet"/>
      </w:pPr>
      <w:r>
        <w:t>Insuffisance hépatique modérée à sévère : initialement 15 mg/jour, dose maximale 30-45 mg/j.</w:t>
      </w:r>
    </w:p>
    <w:p>
      <w:pPr>
        <w:pStyle w:val="ListBullet"/>
      </w:pPr>
      <w:r>
        <w:t>Insuffisance rénale modérée à sévère : initialement 15 mg/jour, dose maximale 30-45 mg/j.</w:t>
      </w:r>
    </w:p>
    <w:p>
      <w:pPr>
        <w:pStyle w:val="ListBullet"/>
      </w:pPr>
      <w:r>
        <w:t>Durée : épisode dépressif : 6 mois minimum après rémission complète ; prévention des récidives dépressives : au long cours (2-5 ans après 2-3 épisodes).</w:t>
      </w:r>
    </w:p>
    <w:p>
      <w:pPr>
        <w:pStyle w:val="ListBullet"/>
      </w:pPr>
      <w:r>
        <w:t>Moment de la prise : le soir (en raison de la sédation — prendre 1 heure avant le coucher), en une prise unique vespérale.</w:t>
      </w:r>
    </w:p>
    <w:p>
      <w:r/>
      <w:r>
        <w:rPr>
          <w:b/>
        </w:rPr>
        <w:t>Arbitrage et Bénéfices des Formes Galéniques :</w:t>
      </w:r>
      <w:r/>
    </w:p>
    <w:p>
      <w:pPr>
        <w:pStyle w:val="ListBullet"/>
      </w:pPr>
      <w:r/>
      <w:r>
        <w:rPr>
          <w:b/>
        </w:rPr>
        <w:t>Comprimé pelliculé 30 mg (Moncitra — CPCM)</w:t>
      </w:r>
      <w:r>
        <w:t xml:space="preserve"> : forme standard de prescription en ville, à prendre le soir. La sécabilité du comprimé n'est pas officielle en Algérie, mais la pratique tolérée de division permet l'adaptation à 15 mg (initiation, sujet âgé, paliers de sevrage).</w:t>
      </w:r>
    </w:p>
    <w:p>
      <w:pPr>
        <w:pStyle w:val="ListBullet"/>
      </w:pPr>
      <w:r/>
      <w:r>
        <w:rPr>
          <w:b/>
        </w:rPr>
        <w:t>Comprimé enrobé 30 mg et 45 mg (Remeron® — Organon, retiré)</w:t>
      </w:r>
      <w:r>
        <w:t xml:space="preserve"> : formes historiques, encore présentes dans les stocks résiduels. Le comprimé 45 mg est particulièrement adapté à la dose d'entretien élevée en une prise vespérale.</w:t>
      </w:r>
    </w:p>
    <w:p>
      <w:pPr>
        <w:pStyle w:val="ListBullet"/>
      </w:pPr>
      <w:r/>
      <w:r>
        <w:rPr>
          <w:b/>
        </w:rPr>
        <w:t>Forme orodispersible (Remeron SolTab®)</w:t>
      </w:r>
      <w:r>
        <w:t xml:space="preserve"> : non disponible en Algérie, mais particulièrement utile chez les patients ayant des difficultés de déglutition (sujet âgé, dysphagie) et pour l'administration par sonde.</w:t>
      </w:r>
    </w:p>
    <w:p>
      <w:pPr>
        <w:pStyle w:val="ListBullet"/>
      </w:pPr>
      <w:r>
        <w:t>Arbitrage : en cas d'indisponibilité du comprimé 45 mg (Remeron® retiré), remplacer par 1 comprimé et demi de Moncitra 30 mg (45 mg), avec explication au patient de la division et de l'observance.</w:t>
      </w:r>
    </w:p>
    <w:p>
      <w:r/>
      <w:r>
        <w:rPr>
          <w:b/>
        </w:rPr>
        <w:t>Instructions et Conseils au Patient :</w:t>
      </w:r>
      <w:r/>
    </w:p>
    <w:p>
      <w:pPr>
        <w:pStyle w:val="ListBullet"/>
      </w:pPr>
      <w:r>
        <w:t xml:space="preserve">Communication au comptoir : « Ce médicament est un antidépresseur de la famille des NaSSA, particulièrement indiqué dans les dépressions avec anxiété, insomnie et perte d'appétit. </w:t>
      </w:r>
      <w:r>
        <w:rPr>
          <w:b/>
        </w:rPr>
        <w:t>Prenez-le le soir, 1 heure avant le coucher</w:t>
      </w:r>
      <w:r>
        <w:t xml:space="preserve">. Il est normal de ressentir une somnolence, surtout en début de traitement et à faible dose — paradoxalement, l'augmentation de la dose peut réduire cette somnolence. Vous pouvez avoir une augmentation de l'appétit et prendre du poids — surveillez votre alimentation. Évitez l'alcool. </w:t>
      </w:r>
      <w:r>
        <w:rPr>
          <w:b/>
        </w:rPr>
        <w:t>Prévenez immédiatement votre médecin si vous avez de la fièvre, une angine, une infection</w:t>
      </w:r>
      <w:r>
        <w:t xml:space="preserve"> (signes possibles d'une baisse des globules blancs — exceptionnel). Évitez de conduire les premiers jours. »</w:t>
      </w:r>
    </w:p>
    <w:p>
      <w:pPr>
        <w:pStyle w:val="ListBullet"/>
      </w:pPr>
      <w:r>
        <w:t>Mode d'utilisation pratique : prise vespérale 1 heure avant le coucher ; surveillance de la température corporelle (signe d'appel d'agranulocytose — exceptionnel) ; surveillance du poids et adaptation alimentaire ; hydratation ; surveillance de la TA orthostatique ; consultations médicales rapprochées en début de traitement ; prévenir tous les médecins consultés ; éviter l'arrêt brutal.</w:t>
      </w:r>
    </w:p>
    <w:p>
      <w:r/>
      <w:r>
        <w:rPr>
          <w:b/>
        </w:rPr>
        <w:t>Notes, Règles d'Or &amp; Pièges au Comptoir :</w:t>
      </w:r>
      <w:r/>
    </w:p>
    <w:p>
      <w:pPr>
        <w:pStyle w:val="ListBullet"/>
      </w:pPr>
      <w:r>
        <w:t xml:space="preserve">Piège classique n°1 : la </w:t>
      </w:r>
      <w:r>
        <w:rPr>
          <w:b/>
        </w:rPr>
        <w:t>mirtazapine est l'antidépresseur qui donne le moins de nausées et de dysfonction sexuelle</w:t>
      </w:r>
      <w:r>
        <w:t xml:space="preserve"> de toutes les classes — avantage majeur à expliquer au patient, particulièrement chez le jeune patient anxieux à la sexualité active.</w:t>
      </w:r>
    </w:p>
    <w:p>
      <w:pPr>
        <w:pStyle w:val="ListBullet"/>
      </w:pPr>
      <w:r>
        <w:t xml:space="preserve">Piège classique n°2 : la </w:t>
      </w:r>
      <w:r>
        <w:rPr>
          <w:b/>
        </w:rPr>
        <w:t>sédation paradoxale</w:t>
      </w:r>
      <w:r>
        <w:t xml:space="preserve"> — à 15 mg/j, la mirtazapine est fortement sédative (effet H1 prédominant) ; à 30 mg/j et au-delà, la sédation diminue (contrebalancement noradrénergique). Ne pas hésiter à augmenter la dose en cas de sédation excessive diurne à 15 mg.</w:t>
      </w:r>
    </w:p>
    <w:p>
      <w:pPr>
        <w:pStyle w:val="ListBullet"/>
      </w:pPr>
      <w:r>
        <w:t xml:space="preserve">Piège classique n°3 : la </w:t>
      </w:r>
      <w:r>
        <w:rPr>
          <w:b/>
        </w:rPr>
        <w:t>prise de poids</w:t>
      </w:r>
      <w:r>
        <w:t xml:space="preserve"> peut être marquée (2-8 kg en moyenne) et doit être surveillée, particulièrement chez le patient diabétique ou en surpoids. Information transparente du patient et adaptation alimentaire.</w:t>
      </w:r>
    </w:p>
    <w:p>
      <w:pPr>
        <w:pStyle w:val="ListBullet"/>
      </w:pPr>
      <w:r>
        <w:t>Piège classique n°4 : l'agranulocytose est exceptionnelle (&lt;1/100 000) mais potentiellement grave. Surveillance clinique des signes d'appel (fièvre, angine, infection) — pas de surveillance NFS systématique en raison de l'incidence très faible.</w:t>
      </w:r>
    </w:p>
    <w:p>
      <w:pPr>
        <w:pStyle w:val="ListBullet"/>
      </w:pPr>
      <w:r>
        <w:t>Règle de prise : soir, 1 heure avant le coucher.</w:t>
      </w:r>
    </w:p>
    <w:p>
      <w:pPr>
        <w:pStyle w:val="ListBullet"/>
      </w:pPr>
      <w:r>
        <w:t>Préparation et Conservation : conserver à température &lt;25°C, à l'abri de l'humidité et de la lumière.</w:t>
      </w:r>
    </w:p>
    <w:p>
      <w:pPr>
        <w:pStyle w:val="ListBullet"/>
      </w:pPr>
      <w:r>
        <w:t>Piège du surdosage / Substitution : en cas de surdosage, surveillance clinique (sédation, hypotension), pas de toxicité cardiaque majeure — avantage par rapport aux ATC. En cas d'agranulocytose, arrêt immédiat et hospitalisation (exceptionnel). Lors de substitution entre formes (Moncitra ↔ Remeron retiré), vérifier l'équivalence de dosage (30 mg = 30 mg) et expliquer au patient la substitution générique. En cas d'indisponibilité du comprimé 45 mg, remplacer par 1,5 comprimé de 30 mg.</w:t>
      </w:r>
    </w:p>
    <w:p>
      <w:pPr>
        <w:pStyle w:val="Heading2"/>
      </w:pPr>
      <w:r>
        <w:t>TABLEAU COMPARATIF SYNTHÉTIQUE DES 14 ANTIDÉPRESSEURS</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w:t>
            </w:r>
          </w:p>
        </w:tc>
        <w:tc>
          <w:tcPr>
            <w:tcW w:type="dxa" w:w="1336"/>
          </w:tcPr>
          <w:p>
            <w:r>
              <w:rPr>
                <w:b/>
                <w:sz w:val="20"/>
              </w:rPr>
              <w:t>Posologie usuelle (adulte)</w:t>
            </w:r>
          </w:p>
        </w:tc>
        <w:tc>
          <w:tcPr>
            <w:tcW w:type="dxa" w:w="1336"/>
          </w:tcPr>
          <w:p>
            <w:r>
              <w:rPr>
                <w:b/>
                <w:sz w:val="20"/>
              </w:rPr>
              <w:t>EI majeur</w:t>
            </w:r>
          </w:p>
        </w:tc>
        <w:tc>
          <w:tcPr>
            <w:tcW w:type="dxa" w:w="1336"/>
          </w:tcPr>
          <w:p>
            <w:r>
              <w:rPr>
                <w:b/>
                <w:sz w:val="20"/>
              </w:rPr>
              <w:t>CI majeure</w:t>
            </w:r>
          </w:p>
        </w:tc>
        <w:tc>
          <w:tcPr>
            <w:tcW w:type="dxa" w:w="1336"/>
          </w:tcPr>
          <w:p>
            <w:r>
              <w:rPr>
                <w:b/>
                <w:sz w:val="20"/>
              </w:rPr>
              <w:t>Grossesse / Allaitement</w:t>
            </w:r>
          </w:p>
        </w:tc>
      </w:tr>
      <w:tr>
        <w:tc>
          <w:tcPr>
            <w:tcW w:type="dxa" w:w="1336"/>
          </w:tcPr>
          <w:p>
            <w:r>
              <w:rPr>
                <w:sz w:val="20"/>
              </w:rPr>
              <w:t>**Fluoxétine**</w:t>
            </w:r>
          </w:p>
        </w:tc>
        <w:tc>
          <w:tcPr>
            <w:tcW w:type="dxa" w:w="1336"/>
          </w:tcPr>
          <w:p>
            <w:r>
              <w:rPr>
                <w:sz w:val="20"/>
              </w:rPr>
              <w:t>IRS</w:t>
            </w:r>
          </w:p>
        </w:tc>
        <w:tc>
          <w:tcPr>
            <w:tcW w:type="dxa" w:w="1336"/>
          </w:tcPr>
          <w:p>
            <w:r>
              <w:rPr>
                <w:sz w:val="20"/>
              </w:rPr>
              <w:t>Inhibition SERT, longue demi-vie (métabolite actif norfluoxétine)</w:t>
            </w:r>
          </w:p>
        </w:tc>
        <w:tc>
          <w:tcPr>
            <w:tcW w:type="dxa" w:w="1336"/>
          </w:tcPr>
          <w:p>
            <w:r>
              <w:rPr>
                <w:sz w:val="20"/>
              </w:rPr>
              <w:t>20 mg/jour le matin, max 40-60 mg/j</w:t>
            </w:r>
          </w:p>
        </w:tc>
        <w:tc>
          <w:tcPr>
            <w:tcW w:type="dxa" w:w="1336"/>
          </w:tcPr>
          <w:p>
            <w:r>
              <w:rPr>
                <w:sz w:val="20"/>
              </w:rPr>
              <w:t>Dysfonction sexuelle, hyponatrémie, allongement QTc modéré</w:t>
            </w:r>
          </w:p>
        </w:tc>
        <w:tc>
          <w:tcPr>
            <w:tcW w:type="dxa" w:w="1336"/>
          </w:tcPr>
          <w:p>
            <w:r>
              <w:rPr>
                <w:sz w:val="20"/>
              </w:rPr>
              <w:t>IMAO (washout 5 sem avant IMAO)</w:t>
            </w:r>
          </w:p>
        </w:tc>
        <w:tc>
          <w:tcPr>
            <w:tcW w:type="dxa" w:w="1336"/>
          </w:tcPr>
          <w:p>
            <w:r>
              <w:rPr>
                <w:sz w:val="20"/>
              </w:rPr>
              <w:t>Compatible grossesse (préférer sertraline) ; **à éviter en allaitement** (longue 1/2 vie)</w:t>
            </w:r>
          </w:p>
        </w:tc>
      </w:tr>
      <w:tr>
        <w:tc>
          <w:tcPr>
            <w:tcW w:type="dxa" w:w="1336"/>
          </w:tcPr>
          <w:p>
            <w:r>
              <w:rPr>
                <w:sz w:val="20"/>
              </w:rPr>
              <w:t>**Sertraline**</w:t>
            </w:r>
          </w:p>
        </w:tc>
        <w:tc>
          <w:tcPr>
            <w:tcW w:type="dxa" w:w="1336"/>
          </w:tcPr>
          <w:p>
            <w:r>
              <w:rPr>
                <w:sz w:val="20"/>
              </w:rPr>
              <w:t>IRS</w:t>
            </w:r>
          </w:p>
        </w:tc>
        <w:tc>
          <w:tcPr>
            <w:tcW w:type="dxa" w:w="1336"/>
          </w:tcPr>
          <w:p>
            <w:r>
              <w:rPr>
                <w:sz w:val="20"/>
              </w:rPr>
              <w:t>Inhibition sélective SERT, peu d'interactions</w:t>
            </w:r>
          </w:p>
        </w:tc>
        <w:tc>
          <w:tcPr>
            <w:tcW w:type="dxa" w:w="1336"/>
          </w:tcPr>
          <w:p>
            <w:r>
              <w:rPr>
                <w:sz w:val="20"/>
              </w:rPr>
              <w:t>50 mg/jour le matin, max 200 mg/j</w:t>
            </w:r>
          </w:p>
        </w:tc>
        <w:tc>
          <w:tcPr>
            <w:tcW w:type="dxa" w:w="1336"/>
          </w:tcPr>
          <w:p>
            <w:r>
              <w:rPr>
                <w:sz w:val="20"/>
              </w:rPr>
              <w:t>Nausées, dysfonction sexuelle, hyponatrémie</w:t>
            </w:r>
          </w:p>
        </w:tc>
        <w:tc>
          <w:tcPr>
            <w:tcW w:type="dxa" w:w="1336"/>
          </w:tcPr>
          <w:p>
            <w:r>
              <w:rPr>
                <w:sz w:val="20"/>
              </w:rPr>
              <w:t>IMAO (washout 14 j)</w:t>
            </w:r>
          </w:p>
        </w:tc>
        <w:tc>
          <w:tcPr>
            <w:tcW w:type="dxa" w:w="1336"/>
          </w:tcPr>
          <w:p>
            <w:r>
              <w:rPr>
                <w:sz w:val="20"/>
              </w:rPr>
              <w:t>**IRS de choix en grossesse et allaitement**</w:t>
            </w:r>
          </w:p>
        </w:tc>
      </w:tr>
      <w:tr>
        <w:tc>
          <w:tcPr>
            <w:tcW w:type="dxa" w:w="1336"/>
          </w:tcPr>
          <w:p>
            <w:r>
              <w:rPr>
                <w:sz w:val="20"/>
              </w:rPr>
              <w:t>**Paroxétine**</w:t>
            </w:r>
          </w:p>
        </w:tc>
        <w:tc>
          <w:tcPr>
            <w:tcW w:type="dxa" w:w="1336"/>
          </w:tcPr>
          <w:p>
            <w:r>
              <w:rPr>
                <w:sz w:val="20"/>
              </w:rPr>
              <w:t>IRS</w:t>
            </w:r>
          </w:p>
        </w:tc>
        <w:tc>
          <w:tcPr>
            <w:tcW w:type="dxa" w:w="1336"/>
          </w:tcPr>
          <w:p>
            <w:r>
              <w:rPr>
                <w:sz w:val="20"/>
              </w:rPr>
              <w:t>Inhibition puissante SERT (Ki ≈ 0,1 nM), effet anticholinergique modéré</w:t>
            </w:r>
          </w:p>
        </w:tc>
        <w:tc>
          <w:tcPr>
            <w:tcW w:type="dxa" w:w="1336"/>
          </w:tcPr>
          <w:p>
            <w:r>
              <w:rPr>
                <w:sz w:val="20"/>
              </w:rPr>
              <w:t>20 mg/jour le matin, max 50 mg/j</w:t>
            </w:r>
          </w:p>
        </w:tc>
        <w:tc>
          <w:tcPr>
            <w:tcW w:type="dxa" w:w="1336"/>
          </w:tcPr>
          <w:p>
            <w:r>
              <w:rPr>
                <w:sz w:val="20"/>
              </w:rPr>
              <w:t>Somnolence, dysfonction sexuelle, **syndrome de sevrage marqué**, prise de poids</w:t>
            </w:r>
          </w:p>
        </w:tc>
        <w:tc>
          <w:tcPr>
            <w:tcW w:type="dxa" w:w="1336"/>
          </w:tcPr>
          <w:p>
            <w:r>
              <w:rPr>
                <w:sz w:val="20"/>
              </w:rPr>
              <w:t>IMAO (washout 14 j)</w:t>
            </w:r>
          </w:p>
        </w:tc>
        <w:tc>
          <w:tcPr>
            <w:tcW w:type="dxa" w:w="1336"/>
          </w:tcPr>
          <w:p>
            <w:r>
              <w:rPr>
                <w:sz w:val="20"/>
              </w:rPr>
              <w:t>**À éviter au 1er trimestre** (signal cardiovasculaire fœtal) ; compatible allaitement</w:t>
            </w:r>
          </w:p>
        </w:tc>
      </w:tr>
      <w:tr>
        <w:tc>
          <w:tcPr>
            <w:tcW w:type="dxa" w:w="1336"/>
          </w:tcPr>
          <w:p>
            <w:r>
              <w:rPr>
                <w:sz w:val="20"/>
              </w:rPr>
              <w:t>**Citalopram**</w:t>
            </w:r>
          </w:p>
        </w:tc>
        <w:tc>
          <w:tcPr>
            <w:tcW w:type="dxa" w:w="1336"/>
          </w:tcPr>
          <w:p>
            <w:r>
              <w:rPr>
                <w:sz w:val="20"/>
              </w:rPr>
              <w:t>IRS</w:t>
            </w:r>
          </w:p>
        </w:tc>
        <w:tc>
          <w:tcPr>
            <w:tcW w:type="dxa" w:w="1336"/>
          </w:tcPr>
          <w:p>
            <w:r>
              <w:rPr>
                <w:sz w:val="20"/>
              </w:rPr>
              <w:t>Inhibition SERT (racémique)</w:t>
            </w:r>
          </w:p>
        </w:tc>
        <w:tc>
          <w:tcPr>
            <w:tcW w:type="dxa" w:w="1336"/>
          </w:tcPr>
          <w:p>
            <w:r>
              <w:rPr>
                <w:sz w:val="20"/>
              </w:rPr>
              <w:t>20 mg/jour le matin, **max 40 mg/j adulte, 20 mg/j sujet âgé** (allongement QTc)</w:t>
            </w:r>
          </w:p>
        </w:tc>
        <w:tc>
          <w:tcPr>
            <w:tcW w:type="dxa" w:w="1336"/>
          </w:tcPr>
          <w:p>
            <w:r>
              <w:rPr>
                <w:sz w:val="20"/>
              </w:rPr>
              <w:t>Allongement dose-dépendant du QTc, hyponatrémie</w:t>
            </w:r>
          </w:p>
        </w:tc>
        <w:tc>
          <w:tcPr>
            <w:tcW w:type="dxa" w:w="1336"/>
          </w:tcPr>
          <w:p>
            <w:r>
              <w:rPr>
                <w:sz w:val="20"/>
              </w:rPr>
              <w:t>IMAO, allongement congénital du QTc</w:t>
            </w:r>
          </w:p>
        </w:tc>
        <w:tc>
          <w:tcPr>
            <w:tcW w:type="dxa" w:w="1336"/>
          </w:tcPr>
          <w:p>
            <w:r>
              <w:rPr>
                <w:sz w:val="20"/>
              </w:rPr>
              <w:t>Compatible grossesse (préférer sertraline) ; compatible allaitement</w:t>
            </w:r>
          </w:p>
        </w:tc>
      </w:tr>
      <w:tr>
        <w:tc>
          <w:tcPr>
            <w:tcW w:type="dxa" w:w="1336"/>
          </w:tcPr>
          <w:p>
            <w:r>
              <w:rPr>
                <w:sz w:val="20"/>
              </w:rPr>
              <w:t>**Escitalopram**</w:t>
            </w:r>
          </w:p>
        </w:tc>
        <w:tc>
          <w:tcPr>
            <w:tcW w:type="dxa" w:w="1336"/>
          </w:tcPr>
          <w:p>
            <w:r>
              <w:rPr>
                <w:sz w:val="20"/>
              </w:rPr>
              <w:t>IRS</w:t>
            </w:r>
          </w:p>
        </w:tc>
        <w:tc>
          <w:tcPr>
            <w:tcW w:type="dxa" w:w="1336"/>
          </w:tcPr>
          <w:p>
            <w:r>
              <w:rPr>
                <w:sz w:val="20"/>
              </w:rPr>
              <w:t>Inhibition SERT + site allostérique (énantiomère S du citalopram)</w:t>
            </w:r>
          </w:p>
        </w:tc>
        <w:tc>
          <w:tcPr>
            <w:tcW w:type="dxa" w:w="1336"/>
          </w:tcPr>
          <w:p>
            <w:r>
              <w:rPr>
                <w:sz w:val="20"/>
              </w:rPr>
              <w:t>10 mg/jour le matin, max 20-30 mg/j (max 10-15 mg sujet âgé)</w:t>
            </w:r>
          </w:p>
        </w:tc>
        <w:tc>
          <w:tcPr>
            <w:tcW w:type="dxa" w:w="1336"/>
          </w:tcPr>
          <w:p>
            <w:r>
              <w:rPr>
                <w:sz w:val="20"/>
              </w:rPr>
              <w:t>Nausées, dysfonction sexuelle, hyponatrémie</w:t>
            </w:r>
          </w:p>
        </w:tc>
        <w:tc>
          <w:tcPr>
            <w:tcW w:type="dxa" w:w="1336"/>
          </w:tcPr>
          <w:p>
            <w:r>
              <w:rPr>
                <w:sz w:val="20"/>
              </w:rPr>
              <w:t>IMAO, allongement congénital du QTc</w:t>
            </w:r>
          </w:p>
        </w:tc>
        <w:tc>
          <w:tcPr>
            <w:tcW w:type="dxa" w:w="1336"/>
          </w:tcPr>
          <w:p>
            <w:r>
              <w:rPr>
                <w:sz w:val="20"/>
              </w:rPr>
              <w:t>Compatible grossesse (préférer sertraline) ; compatible allaitement</w:t>
            </w:r>
          </w:p>
        </w:tc>
      </w:tr>
      <w:tr>
        <w:tc>
          <w:tcPr>
            <w:tcW w:type="dxa" w:w="1336"/>
          </w:tcPr>
          <w:p>
            <w:r>
              <w:rPr>
                <w:sz w:val="20"/>
              </w:rPr>
              <w:t>**Fluvoxamine**</w:t>
            </w:r>
          </w:p>
        </w:tc>
        <w:tc>
          <w:tcPr>
            <w:tcW w:type="dxa" w:w="1336"/>
          </w:tcPr>
          <w:p>
            <w:r>
              <w:rPr>
                <w:sz w:val="20"/>
              </w:rPr>
              <w:t>IRS</w:t>
            </w:r>
          </w:p>
        </w:tc>
        <w:tc>
          <w:tcPr>
            <w:tcW w:type="dxa" w:w="1336"/>
          </w:tcPr>
          <w:p>
            <w:r>
              <w:rPr>
                <w:sz w:val="20"/>
              </w:rPr>
              <w:t>Inhibition SERT, **puissant inhibiteur CYP1A2**</w:t>
            </w:r>
          </w:p>
        </w:tc>
        <w:tc>
          <w:tcPr>
            <w:tcW w:type="dxa" w:w="1336"/>
          </w:tcPr>
          <w:p>
            <w:r>
              <w:rPr>
                <w:sz w:val="20"/>
              </w:rPr>
              <w:t>50-100 mg/jour le soir, max 300 mg/j en 2 prises</w:t>
            </w:r>
          </w:p>
        </w:tc>
        <w:tc>
          <w:tcPr>
            <w:tcW w:type="dxa" w:w="1336"/>
          </w:tcPr>
          <w:p>
            <w:r>
              <w:rPr>
                <w:sz w:val="20"/>
              </w:rPr>
              <w:t>Nausées, somnolence, nombreuses interactions CYP1A2</w:t>
            </w:r>
          </w:p>
        </w:tc>
        <w:tc>
          <w:tcPr>
            <w:tcW w:type="dxa" w:w="1336"/>
          </w:tcPr>
          <w:p>
            <w:r>
              <w:rPr>
                <w:sz w:val="20"/>
              </w:rPr>
              <w:t>IMAO, **tizanidine** (CI absolue), thioridazine</w:t>
            </w:r>
          </w:p>
        </w:tc>
        <w:tc>
          <w:tcPr>
            <w:tcW w:type="dxa" w:w="1336"/>
          </w:tcPr>
          <w:p>
            <w:r>
              <w:rPr>
                <w:sz w:val="20"/>
              </w:rPr>
              <w:t>Compatible grossesse (préférer sertraline) ; compatible allaitement</w:t>
            </w:r>
          </w:p>
        </w:tc>
      </w:tr>
      <w:tr>
        <w:tc>
          <w:tcPr>
            <w:tcW w:type="dxa" w:w="1336"/>
          </w:tcPr>
          <w:p>
            <w:r>
              <w:rPr>
                <w:sz w:val="20"/>
              </w:rPr>
              <w:t>**Venlafaxine**</w:t>
            </w:r>
          </w:p>
        </w:tc>
        <w:tc>
          <w:tcPr>
            <w:tcW w:type="dxa" w:w="1336"/>
          </w:tcPr>
          <w:p>
            <w:r>
              <w:rPr>
                <w:sz w:val="20"/>
              </w:rPr>
              <w:t>IRSN</w:t>
            </w:r>
          </w:p>
        </w:tc>
        <w:tc>
          <w:tcPr>
            <w:tcW w:type="dxa" w:w="1336"/>
          </w:tcPr>
          <w:p>
            <w:r>
              <w:rPr>
                <w:sz w:val="20"/>
              </w:rPr>
              <w:t>Inhibition SERT (faible dose) + NET (dose élevée), métabolite actif ODV</w:t>
            </w:r>
          </w:p>
        </w:tc>
        <w:tc>
          <w:tcPr>
            <w:tcW w:type="dxa" w:w="1336"/>
          </w:tcPr>
          <w:p>
            <w:r>
              <w:rPr>
                <w:sz w:val="20"/>
              </w:rPr>
              <w:t>75 mg/jour LP le matin, max 375 mg/j</w:t>
            </w:r>
          </w:p>
        </w:tc>
        <w:tc>
          <w:tcPr>
            <w:tcW w:type="dxa" w:w="1336"/>
          </w:tcPr>
          <w:p>
            <w:r>
              <w:rPr>
                <w:sz w:val="20"/>
              </w:rPr>
              <w:t>Nausées, **hypertension dose-dépendante**, **syndrome de sevrage marqué** (courte 1/2 vie)</w:t>
            </w:r>
          </w:p>
        </w:tc>
        <w:tc>
          <w:tcPr>
            <w:tcW w:type="dxa" w:w="1336"/>
          </w:tcPr>
          <w:p>
            <w:r>
              <w:rPr>
                <w:sz w:val="20"/>
              </w:rPr>
              <w:t>IMAO, HTA non contrôlée</w:t>
            </w:r>
          </w:p>
        </w:tc>
        <w:tc>
          <w:tcPr>
            <w:tcW w:type="dxa" w:w="1336"/>
          </w:tcPr>
          <w:p>
            <w:r>
              <w:rPr>
                <w:sz w:val="20"/>
              </w:rPr>
              <w:t>Compatible grossesse (préférer sertraline) ; **à éviter en allaitement** (rapport lait/plasma élevé)</w:t>
            </w:r>
          </w:p>
        </w:tc>
      </w:tr>
      <w:tr>
        <w:tc>
          <w:tcPr>
            <w:tcW w:type="dxa" w:w="1336"/>
          </w:tcPr>
          <w:p>
            <w:r>
              <w:rPr>
                <w:sz w:val="20"/>
              </w:rPr>
              <w:t>**Duloxétine**</w:t>
            </w:r>
          </w:p>
        </w:tc>
        <w:tc>
          <w:tcPr>
            <w:tcW w:type="dxa" w:w="1336"/>
          </w:tcPr>
          <w:p>
            <w:r>
              <w:rPr>
                <w:sz w:val="20"/>
              </w:rPr>
              <w:t>IRSN</w:t>
            </w:r>
          </w:p>
        </w:tc>
        <w:tc>
          <w:tcPr>
            <w:tcW w:type="dxa" w:w="1336"/>
          </w:tcPr>
          <w:p>
            <w:r>
              <w:rPr>
                <w:sz w:val="20"/>
              </w:rPr>
              <w:t>Inhibition équilibrée SERT + NET dès dose thérapeutique</w:t>
            </w:r>
          </w:p>
        </w:tc>
        <w:tc>
          <w:tcPr>
            <w:tcW w:type="dxa" w:w="1336"/>
          </w:tcPr>
          <w:p>
            <w:r>
              <w:rPr>
                <w:sz w:val="20"/>
              </w:rPr>
              <w:t>30 mg/jour (1 sem) puis 60 mg/j le matin, max 120 mg/j</w:t>
            </w:r>
          </w:p>
        </w:tc>
        <w:tc>
          <w:tcPr>
            <w:tcW w:type="dxa" w:w="1336"/>
          </w:tcPr>
          <w:p>
            <w:r>
              <w:rPr>
                <w:sz w:val="20"/>
              </w:rPr>
              <w:t>Nausées, **hépatotoxicité rare**, sécheresse buccale</w:t>
            </w:r>
          </w:p>
        </w:tc>
        <w:tc>
          <w:tcPr>
            <w:tcW w:type="dxa" w:w="1336"/>
          </w:tcPr>
          <w:p>
            <w:r>
              <w:rPr>
                <w:sz w:val="20"/>
              </w:rPr>
              <w:t>IMAO, insuffisance hépatique sévère, **ciprofloxacine/fluvoxamine** (CYP1A2)</w:t>
            </w:r>
          </w:p>
        </w:tc>
        <w:tc>
          <w:tcPr>
            <w:tcW w:type="dxa" w:w="1336"/>
          </w:tcPr>
          <w:p>
            <w:r>
              <w:rPr>
                <w:sz w:val="20"/>
              </w:rPr>
              <w:t>Compatible grossesse (préférer sertraline) ; à éviter en allaitement</w:t>
            </w:r>
          </w:p>
        </w:tc>
      </w:tr>
      <w:tr>
        <w:tc>
          <w:tcPr>
            <w:tcW w:type="dxa" w:w="1336"/>
          </w:tcPr>
          <w:p>
            <w:r>
              <w:rPr>
                <w:sz w:val="20"/>
              </w:rPr>
              <w:t>**Amitriptyline**</w:t>
            </w:r>
          </w:p>
        </w:tc>
        <w:tc>
          <w:tcPr>
            <w:tcW w:type="dxa" w:w="1336"/>
          </w:tcPr>
          <w:p>
            <w:r>
              <w:rPr>
                <w:sz w:val="20"/>
              </w:rPr>
              <w:t>ATC</w:t>
            </w:r>
          </w:p>
        </w:tc>
        <w:tc>
          <w:tcPr>
            <w:tcW w:type="dxa" w:w="1336"/>
          </w:tcPr>
          <w:p>
            <w:r>
              <w:rPr>
                <w:sz w:val="20"/>
              </w:rPr>
              <w:t>Inhibition NET (prédominance) + SERT, effets anticholinergiques, H1, α1 marqués</w:t>
            </w:r>
          </w:p>
        </w:tc>
        <w:tc>
          <w:tcPr>
            <w:tcW w:type="dxa" w:w="1336"/>
          </w:tcPr>
          <w:p>
            <w:r>
              <w:rPr>
                <w:sz w:val="20"/>
              </w:rPr>
              <w:t>25-75 mg/jour le soir, max 200-300 mg/j (dépression) ; 10-75 mg/j (douleur neuropathique)</w:t>
            </w:r>
          </w:p>
        </w:tc>
        <w:tc>
          <w:tcPr>
            <w:tcW w:type="dxa" w:w="1336"/>
          </w:tcPr>
          <w:p>
            <w:r>
              <w:rPr>
                <w:sz w:val="20"/>
              </w:rPr>
              <w:t>Effets anticholinergiques, sédation, prise de poids, **cardiotoxicité en surdosage**</w:t>
            </w:r>
          </w:p>
        </w:tc>
        <w:tc>
          <w:tcPr>
            <w:tcW w:type="dxa" w:w="1336"/>
          </w:tcPr>
          <w:p>
            <w:r>
              <w:rPr>
                <w:sz w:val="20"/>
              </w:rPr>
              <w:t>IMAO, glaucome à angle fermé, hypertrophie prostate, infarctus récent</w:t>
            </w:r>
          </w:p>
        </w:tc>
        <w:tc>
          <w:tcPr>
            <w:tcW w:type="dxa" w:w="1336"/>
          </w:tcPr>
          <w:p>
            <w:r>
              <w:rPr>
                <w:sz w:val="20"/>
              </w:rPr>
              <w:t>Compatible grossesse (recul important) ; compatible allaitement</w:t>
            </w:r>
          </w:p>
        </w:tc>
      </w:tr>
      <w:tr>
        <w:tc>
          <w:tcPr>
            <w:tcW w:type="dxa" w:w="1336"/>
          </w:tcPr>
          <w:p>
            <w:r>
              <w:rPr>
                <w:sz w:val="20"/>
              </w:rPr>
              <w:t>**Clomipramine**</w:t>
            </w:r>
          </w:p>
        </w:tc>
        <w:tc>
          <w:tcPr>
            <w:tcW w:type="dxa" w:w="1336"/>
          </w:tcPr>
          <w:p>
            <w:r>
              <w:rPr>
                <w:sz w:val="20"/>
              </w:rPr>
              <w:t>ATC</w:t>
            </w:r>
          </w:p>
        </w:tc>
        <w:tc>
          <w:tcPr>
            <w:tcW w:type="dxa" w:w="1336"/>
          </w:tcPr>
          <w:p>
            <w:r>
              <w:rPr>
                <w:sz w:val="20"/>
              </w:rPr>
              <w:t>Inhibition SERT (prédominance) + NET (ATC le plus sérotoninergique), métabolite actif désméthylclomipramine noradrénergique</w:t>
            </w:r>
          </w:p>
        </w:tc>
        <w:tc>
          <w:tcPr>
            <w:tcW w:type="dxa" w:w="1336"/>
          </w:tcPr>
          <w:p>
            <w:r>
              <w:rPr>
                <w:sz w:val="20"/>
              </w:rPr>
              <w:t>25-50 mg/jour le soir, max 200-250 mg/j (TOC)</w:t>
            </w:r>
          </w:p>
        </w:tc>
        <w:tc>
          <w:tcPr>
            <w:tcW w:type="dxa" w:w="1336"/>
          </w:tcPr>
          <w:p>
            <w:r>
              <w:rPr>
                <w:sz w:val="20"/>
              </w:rPr>
              <w:t>Effets anticholinergiques, **convulsions dose-dépendantes**, cardiotoxicité en surdosage</w:t>
            </w:r>
          </w:p>
        </w:tc>
        <w:tc>
          <w:tcPr>
            <w:tcW w:type="dxa" w:w="1336"/>
          </w:tcPr>
          <w:p>
            <w:r>
              <w:rPr>
                <w:sz w:val="20"/>
              </w:rPr>
              <w:t>IMAO, glaucome à angle fermé, épilepsie non équilibrée</w:t>
            </w:r>
          </w:p>
        </w:tc>
        <w:tc>
          <w:tcPr>
            <w:tcW w:type="dxa" w:w="1336"/>
          </w:tcPr>
          <w:p>
            <w:r>
              <w:rPr>
                <w:sz w:val="20"/>
              </w:rPr>
              <w:t>Compatible grossesse (préférer sertraline) ; à éviter en allaitement</w:t>
            </w:r>
          </w:p>
        </w:tc>
      </w:tr>
      <w:tr>
        <w:tc>
          <w:tcPr>
            <w:tcW w:type="dxa" w:w="1336"/>
          </w:tcPr>
          <w:p>
            <w:r>
              <w:rPr>
                <w:sz w:val="20"/>
              </w:rPr>
              <w:t>**Trimipramine**</w:t>
            </w:r>
          </w:p>
        </w:tc>
        <w:tc>
          <w:tcPr>
            <w:tcW w:type="dxa" w:w="1336"/>
          </w:tcPr>
          <w:p>
            <w:r>
              <w:rPr>
                <w:sz w:val="20"/>
              </w:rPr>
              <w:t>ATC atypique</w:t>
            </w:r>
          </w:p>
        </w:tc>
        <w:tc>
          <w:tcPr>
            <w:tcW w:type="dxa" w:w="1336"/>
          </w:tcPr>
          <w:p>
            <w:r>
              <w:rPr>
                <w:sz w:val="20"/>
              </w:rPr>
              <w:t>Mécanisme atypique (blocage α2, modulation dopaminergique, effet H1 marqué)</w:t>
            </w:r>
          </w:p>
        </w:tc>
        <w:tc>
          <w:tcPr>
            <w:tcW w:type="dxa" w:w="1336"/>
          </w:tcPr>
          <w:p>
            <w:r>
              <w:rPr>
                <w:sz w:val="20"/>
              </w:rPr>
              <w:t>25-50 mg/jour le soir, max 200-300 mg/j</w:t>
            </w:r>
          </w:p>
        </w:tc>
        <w:tc>
          <w:tcPr>
            <w:tcW w:type="dxa" w:w="1336"/>
          </w:tcPr>
          <w:p>
            <w:r>
              <w:rPr>
                <w:sz w:val="20"/>
              </w:rPr>
              <w:t>Sédation très marquée, prise de poids, **hyperprolactinémie**</w:t>
            </w:r>
          </w:p>
        </w:tc>
        <w:tc>
          <w:tcPr>
            <w:tcW w:type="dxa" w:w="1336"/>
          </w:tcPr>
          <w:p>
            <w:r>
              <w:rPr>
                <w:sz w:val="20"/>
              </w:rPr>
              <w:t>IMAO, glaucome à angle fermé, hypertrophie prostate</w:t>
            </w:r>
          </w:p>
        </w:tc>
        <w:tc>
          <w:tcPr>
            <w:tcW w:type="dxa" w:w="1336"/>
          </w:tcPr>
          <w:p>
            <w:r>
              <w:rPr>
                <w:sz w:val="20"/>
              </w:rPr>
              <w:t>Compatible grossesse (préférer sertraline) ; à éviter en allaitement</w:t>
            </w:r>
          </w:p>
        </w:tc>
      </w:tr>
      <w:tr>
        <w:tc>
          <w:tcPr>
            <w:tcW w:type="dxa" w:w="1336"/>
          </w:tcPr>
          <w:p>
            <w:r>
              <w:rPr>
                <w:sz w:val="20"/>
              </w:rPr>
              <w:t>**Maprotiline**</w:t>
            </w:r>
          </w:p>
        </w:tc>
        <w:tc>
          <w:tcPr>
            <w:tcW w:type="dxa" w:w="1336"/>
          </w:tcPr>
          <w:p>
            <w:r>
              <w:rPr>
                <w:sz w:val="20"/>
              </w:rPr>
              <w:t>Tétracyclique</w:t>
            </w:r>
          </w:p>
        </w:tc>
        <w:tc>
          <w:tcPr>
            <w:tcW w:type="dxa" w:w="1336"/>
          </w:tcPr>
          <w:p>
            <w:r>
              <w:rPr>
                <w:sz w:val="20"/>
              </w:rPr>
              <w:t>Inhibition sélective NET, effets H1, α1 marqués</w:t>
            </w:r>
          </w:p>
        </w:tc>
        <w:tc>
          <w:tcPr>
            <w:tcW w:type="dxa" w:w="1336"/>
          </w:tcPr>
          <w:p>
            <w:r>
              <w:rPr>
                <w:sz w:val="20"/>
              </w:rPr>
              <w:t>25-50 mg/jour le soir, max 150-225 mg/j</w:t>
            </w:r>
          </w:p>
        </w:tc>
        <w:tc>
          <w:tcPr>
            <w:tcW w:type="dxa" w:w="1336"/>
          </w:tcPr>
          <w:p>
            <w:r>
              <w:rPr>
                <w:sz w:val="20"/>
              </w:rPr>
              <w:t>Sédation, prise de poids, **risque convulsif dose-dépendant** (4% à 200 mg/j)</w:t>
            </w:r>
          </w:p>
        </w:tc>
        <w:tc>
          <w:tcPr>
            <w:tcW w:type="dxa" w:w="1336"/>
          </w:tcPr>
          <w:p>
            <w:r>
              <w:rPr>
                <w:sz w:val="20"/>
              </w:rPr>
              <w:t>IMAO, épilepsie non équilibrée</w:t>
            </w:r>
          </w:p>
        </w:tc>
        <w:tc>
          <w:tcPr>
            <w:tcW w:type="dxa" w:w="1336"/>
          </w:tcPr>
          <w:p>
            <w:r>
              <w:rPr>
                <w:sz w:val="20"/>
              </w:rPr>
              <w:t>Compatible grossesse (préférer sertraline) ; à éviter en allaitement</w:t>
            </w:r>
          </w:p>
        </w:tc>
      </w:tr>
      <w:tr>
        <w:tc>
          <w:tcPr>
            <w:tcW w:type="dxa" w:w="1336"/>
          </w:tcPr>
          <w:p>
            <w:r>
              <w:rPr>
                <w:sz w:val="20"/>
              </w:rPr>
              <w:t>**Miansérine**</w:t>
            </w:r>
          </w:p>
        </w:tc>
        <w:tc>
          <w:tcPr>
            <w:tcW w:type="dxa" w:w="1336"/>
          </w:tcPr>
          <w:p>
            <w:r>
              <w:rPr>
                <w:sz w:val="20"/>
              </w:rPr>
              <w:t>Tétracyclique atypique</w:t>
            </w:r>
          </w:p>
        </w:tc>
        <w:tc>
          <w:tcPr>
            <w:tcW w:type="dxa" w:w="1336"/>
          </w:tcPr>
          <w:p>
            <w:r>
              <w:rPr>
                <w:sz w:val="20"/>
              </w:rPr>
              <w:t>Blocage α2 présynaptique → ↑ libération NA et 5-HT ; blocage 5-HT2A/2C/3, H1</w:t>
            </w:r>
          </w:p>
        </w:tc>
        <w:tc>
          <w:tcPr>
            <w:tcW w:type="dxa" w:w="1336"/>
          </w:tcPr>
          <w:p>
            <w:r>
              <w:rPr>
                <w:sz w:val="20"/>
              </w:rPr>
              <w:t>30 mg/jour le soir, max 120-150 mg/j</w:t>
            </w:r>
          </w:p>
        </w:tc>
        <w:tc>
          <w:tcPr>
            <w:tcW w:type="dxa" w:w="1336"/>
          </w:tcPr>
          <w:p>
            <w:r>
              <w:rPr>
                <w:sz w:val="20"/>
              </w:rPr>
              <w:t>Sédation, prise de poids, **agranulocytose rare** (1/10 000), absence cardiotoxicité surdosage</w:t>
            </w:r>
          </w:p>
        </w:tc>
        <w:tc>
          <w:tcPr>
            <w:tcW w:type="dxa" w:w="1336"/>
          </w:tcPr>
          <w:p>
            <w:r>
              <w:rPr>
                <w:sz w:val="20"/>
              </w:rPr>
              <w:t>IMAO, antécédent d'agranulocytose</w:t>
            </w:r>
          </w:p>
        </w:tc>
        <w:tc>
          <w:tcPr>
            <w:tcW w:type="dxa" w:w="1336"/>
          </w:tcPr>
          <w:p>
            <w:r>
              <w:rPr>
                <w:sz w:val="20"/>
              </w:rPr>
              <w:t>Compatible grossesse (préférer sertraline) ; à éviter en allaitement</w:t>
            </w:r>
          </w:p>
        </w:tc>
      </w:tr>
      <w:tr>
        <w:tc>
          <w:tcPr>
            <w:tcW w:type="dxa" w:w="1336"/>
          </w:tcPr>
          <w:p>
            <w:r>
              <w:rPr>
                <w:sz w:val="20"/>
              </w:rPr>
              <w:t>**Mirtazapine**</w:t>
            </w:r>
          </w:p>
        </w:tc>
        <w:tc>
          <w:tcPr>
            <w:tcW w:type="dxa" w:w="1336"/>
          </w:tcPr>
          <w:p>
            <w:r>
              <w:rPr>
                <w:sz w:val="20"/>
              </w:rPr>
              <w:t>NaSSA</w:t>
            </w:r>
          </w:p>
        </w:tc>
        <w:tc>
          <w:tcPr>
            <w:tcW w:type="dxa" w:w="1336"/>
          </w:tcPr>
          <w:p>
            <w:r>
              <w:rPr>
                <w:sz w:val="20"/>
              </w:rPr>
              <w:t>Blocage α2 présynaptique → ↑ libération NA et 5-HT ; blocage 5-HT2A/2C/3, H1</w:t>
            </w:r>
          </w:p>
        </w:tc>
        <w:tc>
          <w:tcPr>
            <w:tcW w:type="dxa" w:w="1336"/>
          </w:tcPr>
          <w:p>
            <w:r>
              <w:rPr>
                <w:sz w:val="20"/>
              </w:rPr>
              <w:t>15 mg/jour le soir, puis 30-45 mg/j (sédation paradoxale moindre à 30 mg)</w:t>
            </w:r>
          </w:p>
        </w:tc>
        <w:tc>
          <w:tcPr>
            <w:tcW w:type="dxa" w:w="1336"/>
          </w:tcPr>
          <w:p>
            <w:r>
              <w:rPr>
                <w:sz w:val="20"/>
              </w:rPr>
              <w:t>Sédation à faible dose, prise de poids, **absence nausées, absence dysfonction sexuelle, absence cardiotoxicité surdosage**</w:t>
            </w:r>
          </w:p>
        </w:tc>
        <w:tc>
          <w:tcPr>
            <w:tcW w:type="dxa" w:w="1336"/>
          </w:tcPr>
          <w:p>
            <w:r>
              <w:rPr>
                <w:sz w:val="20"/>
              </w:rPr>
              <w:t>IMAO, manie non contrôlée</w:t>
            </w:r>
          </w:p>
        </w:tc>
        <w:tc>
          <w:tcPr>
            <w:tcW w:type="dxa" w:w="1336"/>
          </w:tcPr>
          <w:p>
            <w:r>
              <w:rPr>
                <w:sz w:val="20"/>
              </w:rPr>
              <w:t>Compatible grossesse (préférer sertraline) ; à éviter en allaitement</w:t>
            </w:r>
          </w:p>
        </w:tc>
      </w:tr>
    </w:tbl>
    <w:p/>
    <w:p>
      <w:pPr>
        <w:pStyle w:val="Heading2"/>
      </w:pPr>
      <w:r>
        <w:t>CONCLUSION DU CHAPITRE</w:t>
      </w:r>
    </w:p>
    <w:p>
      <w:r>
        <w:t>Les 14 antidépresseurs recensés dans ce chapitre illustrent l'évolution historique de la pharmacologie de la dépression, depuis les tricycliques apparus dans les années 1960 jusqu'aux NaSSA des années 1990, en passant par les IRS et les IRSN qui dominent la prescription ambulatoire contemporaine. La diversité des mécanismes d'action (inhibition de la recapture monoaminergique pour les IRS, IRSN, ATC et tétracycliques classiques ; blocage des récepteurs α2 présynaptiques pour les tétracycliques atypiques et les NaSSA ; modulation des récepteurs 5-HT2A/2C/3, H1, α1 pour les NaSSA) explique la variabilité des profils d'efficacité et de tolérance observés en clinique.</w:t>
      </w:r>
    </w:p>
    <w:p>
      <w:r>
        <w:t>Plusieurs enseignements transversaux méritent d'être retenus par le pharmacien d'officine algérien :</w:t>
      </w:r>
    </w:p>
    <w:p>
      <w:pPr>
        <w:pStyle w:val="ListNumber"/>
      </w:pPr>
      <w:r/>
      <w:r>
        <w:rPr>
          <w:b/>
        </w:rPr>
        <w:t>La règle d'or du washout IMAO</w:t>
      </w:r>
      <w:r>
        <w:t xml:space="preserve"> : deux semaines (14 jours) minimum entre l'arrêt d'un IMAO et le début de tout autre antidépresseur (IRS, IRSN, ATC, tétracyclique, NaSSA), et inversement 7 jours minimum (5 semaines pour la fluoxétine en raison de la longue demi-vie de la norfluoxétine). L'association IMAO + antidépresseur est une </w:t>
      </w:r>
      <w:r>
        <w:rPr>
          <w:b/>
        </w:rPr>
        <w:t>CI absolue</w:t>
      </w:r>
      <w:r>
        <w:t xml:space="preserve"> en raison du risque de syndrome sérotoninergique mortel.</w:t>
      </w:r>
    </w:p>
    <w:p>
      <w:pPr>
        <w:pStyle w:val="ListNumber"/>
      </w:pPr>
      <w:r/>
      <w:r>
        <w:rPr>
          <w:b/>
        </w:rPr>
        <w:t>Le syndrome sérotoninergique</w:t>
      </w:r>
      <w:r>
        <w:t xml:space="preserve"> reste la complication la plus redoutée de la classe, observée en cas d'association à un autre agent sérotoninergique (IMAO, IRS, IRSN, ATC sérotoninergiques, tramadol, péthidine, fentanyl, dextrométhorphane, triptans, lithium). La triade clinique (agitation + hyperréflexie + hyperthermie) doit être connue du pharmacien qui doit orienter en urgence vers les services médicaux.</w:t>
      </w:r>
    </w:p>
    <w:p>
      <w:pPr>
        <w:pStyle w:val="ListNumber"/>
      </w:pPr>
      <w:r/>
      <w:r>
        <w:rPr>
          <w:b/>
        </w:rPr>
        <w:t>Le syndrome de sevrage à l'arrêt brutal</w:t>
      </w:r>
      <w:r>
        <w:t xml:space="preserve"> est particulièrement marqué pour la paroxétine et la venlafaxine (demi-vies courtes) et exceptionnel pour la fluoxétine (longue demi-vie du métabolite actif). Le pharmacien doit systématiquement expliquer au patient l'importance de ne jamais arrêter brutalement et prévoir un schéma de sevrage progressif par paliers hebdomadaires.</w:t>
      </w:r>
    </w:p>
    <w:p>
      <w:pPr>
        <w:pStyle w:val="ListNumber"/>
      </w:pPr>
      <w:r/>
      <w:r>
        <w:rPr>
          <w:b/>
        </w:rPr>
        <w:t>L'hyponatrémie par SIADH</w:t>
      </w:r>
      <w:r>
        <w:t xml:space="preserve"> touche toutes les classes d'antidépresseurs mais particulièrement les IRS chez le sujet âgé. Une surveillance de la natrémie à l'instauration et à chaque palier de dose est recommandée chez le patient &gt;65 ans.</w:t>
      </w:r>
    </w:p>
    <w:p>
      <w:pPr>
        <w:pStyle w:val="ListNumber"/>
      </w:pPr>
      <w:r/>
      <w:r>
        <w:rPr>
          <w:b/>
        </w:rPr>
        <w:t>L'index thérapeutique étroit des ATC</w:t>
      </w:r>
      <w:r>
        <w:t xml:space="preserve"> (amitriptyline, clomipramine, trimipramine) justifie une vigilance particulière en cas de surdosage (intentionnel ou accidentel) — cardiotoxicité majeure par allongement du QRS et du QTc, troubles de conduction, arythmies ventriculaires, collapsus cardiovasculaire, convulsions, coma. Le pharmacien doit limiter la quantité délivrée chez le patient à risque suicidaire (boîtes de 30 comprimés maximum, renouvellement hebdomadaire si nécessaire).</w:t>
      </w:r>
    </w:p>
    <w:p>
      <w:pPr>
        <w:pStyle w:val="ListNumber"/>
      </w:pPr>
      <w:r/>
      <w:r>
        <w:rPr>
          <w:b/>
        </w:rPr>
        <w:t>La grossesse et l'allaitement</w:t>
      </w:r>
      <w:r>
        <w:t xml:space="preserve"> : la </w:t>
      </w:r>
      <w:r>
        <w:rPr>
          <w:b/>
        </w:rPr>
        <w:t>sertraline est l'IRS de choix chez la femme enceinte et qui allaite</w:t>
      </w:r>
      <w:r>
        <w:t xml:space="preserve"> (faible passage transplacentaire et dans le lait maternel, recul important). La </w:t>
      </w:r>
      <w:r>
        <w:rPr>
          <w:b/>
        </w:rPr>
        <w:t>paroxétine est à éviter au 1er trimestre</w:t>
      </w:r>
      <w:r>
        <w:t xml:space="preserve"> (signal cardiovasculaire fœtal). La </w:t>
      </w:r>
      <w:r>
        <w:rPr>
          <w:b/>
        </w:rPr>
        <w:t>fluoxétine et la venlafaxine sont à éviter en allaitement</w:t>
      </w:r>
      <w:r>
        <w:t xml:space="preserve"> (longue demi-vie de la norfluoxétine pour la fluoxétine ; rapport lait/plasma élevé pour la venlafaxine). Les ATC restent compatibles avec la grossesse et l'allaitement (recul important depuis les années 1960).</w:t>
      </w:r>
    </w:p>
    <w:p>
      <w:pPr>
        <w:pStyle w:val="ListNumber"/>
      </w:pPr>
      <w:r/>
      <w:r>
        <w:rPr>
          <w:b/>
        </w:rPr>
        <w:t>Les interactions médicamenteuses</w:t>
      </w:r>
      <w:r>
        <w:t xml:space="preserve"> sont particulièrement marquées pour la </w:t>
      </w:r>
      <w:r>
        <w:rPr>
          <w:b/>
        </w:rPr>
        <w:t>fluoxétine et la paroxétine</w:t>
      </w:r>
      <w:r>
        <w:t xml:space="preserve"> (inhibition puissante du CYP2D6 — vérifier codéine, tamoxifène, métoprolol, atomoxétine, clozapine), la </w:t>
      </w:r>
      <w:r>
        <w:rPr>
          <w:b/>
        </w:rPr>
        <w:t>fluvoxamine</w:t>
      </w:r>
      <w:r>
        <w:t xml:space="preserve"> (inhibition puissante du CYP1A2 — vérifier caféine, théophylline, clozapine, olanzapine, tizanidine), la </w:t>
      </w:r>
      <w:r>
        <w:rPr>
          <w:b/>
        </w:rPr>
        <w:t>duloxétine</w:t>
      </w:r>
      <w:r>
        <w:t xml:space="preserve"> (CI avec ciprofloxacine et fluvoxamine) et tous les antidépresseurs (majoration du risque hémorragique avec AINS et anticoagulants oraux par inhibition de la recapture plaquettaire de sérotonine).</w:t>
      </w:r>
    </w:p>
    <w:p>
      <w:pPr>
        <w:pStyle w:val="ListNumber"/>
      </w:pPr>
      <w:r/>
      <w:r>
        <w:rPr>
          <w:b/>
        </w:rPr>
        <w:t>L'information du patient au comptoir</w:t>
      </w:r>
      <w:r>
        <w:t xml:space="preserve"> est déterminante pour l'observance et la sécurité : délai d'action différé de 2-4 semaines (ne pas interrompre prématurément), prise le matin pour les IRS/IRSN (sauf tolérance particulière), prise le soir pour les ATC, tétracycliques et NaSSA sédatifs, ne jamais arrêter brutalement, éviter l'alcool, prévenir tous les médecins consultés (dentiste, anesthésiste, ophtalmologiste), surveillance clinique rapprochée en début de traitement chez l'adolescent et le jeune adulte &lt;25 ans (risque suicidaire transitoire).</w:t>
      </w:r>
    </w:p>
    <w:p>
      <w:r>
        <w:t>La diversité des marques disponibles en Algérie (génériques locaux : Biopharm, Saidal, Hikma, Lek, GenMed, CPCM, Inpha-Medis, Biogalenic, Frater-Razes, El Kendi, etc. ; spécialités sous licence internationale : Eli Lilly, GlaxoSmithKline, Lundbeck, Novartis, Sanofi-Aventis, Organon, Roche) assure une disponibilité large de la majorité des molécules. Le pharmacien doit veiller à privilégier les formes actives sur les formes retirées ou non renouvelables, et à expliquer au patient les substitutions génériques. Pour les molécules actuellement indisponibles en forme active (citalopram, fluvoxamine, maprotiline), le pharmacien doit orienter le patient vers le médecin prescripteur pour envisager un switch vers une molécule équivalente disponible (escitalopram pour le citalopram ; sertraline ou paroxétine pour la fluvoxamine ; mirtazapine ou venlafaxine pour la maprotiline).</w:t>
      </w:r>
    </w:p>
    <w:p>
      <w:r>
        <w:t xml:space="preserve">Le chapitre suivant du Fascicule X traitera des </w:t>
      </w:r>
      <w:r>
        <w:rPr>
          <w:b/>
        </w:rPr>
        <w:t>thymorégulateurs / régulateurs de l'humeur</w:t>
      </w:r>
      <w:r>
        <w:t xml:space="preserve"> (lithium, acide valproïque, lamotrigine, carbamazépine), classe pharmacologique complémentaire indispensable à la prise en charge du trouble bipolaire.</w:t>
      </w:r>
    </w:p>
    <w:p>
      <w:r/>
      <w:r>
        <w:rPr>
          <w:b/>
        </w:rPr>
        <w:t>Fin du Chapitre 81 — Antidépresseurs.</w:t>
      </w:r>
      <w:r/>
    </w:p>
    <w:p>
      <w:pPr>
        <w:pStyle w:val="Heading2"/>
      </w:pPr>
      <w:r>
        <w:t>Fascicule X — Psychiatrie/Psychotropes</w:t>
      </w:r>
    </w:p>
    <w:p>
      <w:pPr>
        <w:pStyle w:val="Heading1"/>
      </w:pPr>
      <w:r>
        <w:t>Chapitre 82 — Anxiolytiques et Hypnotiques</w:t>
      </w:r>
    </w:p>
    <w:p>
      <w:pPr>
        <w:pStyle w:val="Heading2"/>
      </w:pPr>
      <w:r>
        <w:t>Avant-propos et méthodologie du Chapitre 82</w:t>
      </w:r>
    </w:p>
    <w:p>
      <w:pPr>
        <w:pStyle w:val="Heading3"/>
      </w:pPr>
      <w:r>
        <w:t>1. Objet du chapitre</w:t>
      </w:r>
    </w:p>
    <w:p>
      <w:r>
        <w:t>Le présent chapitre constitue le chapitre 82 du Fascicule X du traité technique de pharmacologie clinique destiné aux étudiants en pharmacie d'officine et aux praticiens exerçant sur le territoire algérien. Il traite de manière exhaustive et structurée des médicaments de l'anxiété et du sommeil, deux symptômes parmi les plus fréquemment rencontrés en pratique médicale courante, tant en médecine générale qu'en officine. La prescription des anxiolytiques et des hypnotiques représente, dans tous les pays industrialisés et émergents, une part substantielle de l'activité pharmaceutique : en Algérie, les benzodiazépines figurent parmi les dix classes médicamenteuses les plus délivrées en officine, et la consommation est largement supérieure aux recommandations internationales (HAS, ANSM, OMS).</w:t>
      </w:r>
    </w:p>
    <w:p>
      <w:r>
        <w:t xml:space="preserve">La base réglementaire de référence utilisée pour recenser les spécialités est le fichier officiel </w:t>
      </w:r>
      <w:r>
        <w:rPr>
          <w:b/>
        </w:rPr>
        <w:t>« COMPLETE LISTE.xlsx »</w:t>
      </w:r>
      <w:r>
        <w:t xml:space="preserve"> (nomenclature algérienne des médicaments — version Avril 2026), qui distingue les produits actifs, non renouvelables et retirés du marché.</w:t>
      </w:r>
    </w:p>
    <w:p>
      <w:pPr>
        <w:pStyle w:val="Heading3"/>
      </w:pPr>
      <w:r>
        <w:t>2. Contexte épidémiologique algérien</w:t>
      </w:r>
    </w:p>
    <w:p>
      <w:pPr>
        <w:pStyle w:val="ListBullet"/>
      </w:pPr>
      <w:r/>
      <w:r>
        <w:rPr>
          <w:b/>
        </w:rPr>
        <w:t>Prévalence des troubles anxieux</w:t>
      </w:r>
      <w:r>
        <w:t xml:space="preserve"> : 10–15 % de la population générale adulte ; surreprésentation féminine (2:1)</w:t>
      </w:r>
    </w:p>
    <w:p>
      <w:pPr>
        <w:pStyle w:val="ListBullet"/>
      </w:pPr>
      <w:r/>
      <w:r>
        <w:rPr>
          <w:b/>
        </w:rPr>
        <w:t>Insomnie chronique</w:t>
      </w:r>
      <w:r>
        <w:t xml:space="preserve"> : 15–20 % des adultes ; 30 % des sujets âgés de plus de 65 ans</w:t>
      </w:r>
    </w:p>
    <w:p>
      <w:pPr>
        <w:pStyle w:val="ListBullet"/>
      </w:pPr>
      <w:r/>
      <w:r>
        <w:rPr>
          <w:b/>
        </w:rPr>
        <w:t>Prescription des benzodiazépines en Algérie</w:t>
      </w:r>
      <w:r>
        <w:t xml:space="preserve"> : estimée à plus de 30 millions de boîtes par an, dont environ 60 % pour anxiolyse et 30 % pour hypnotisme</w:t>
      </w:r>
    </w:p>
    <w:p>
      <w:pPr>
        <w:pStyle w:val="ListBullet"/>
      </w:pPr>
      <w:r/>
      <w:r>
        <w:rPr>
          <w:b/>
        </w:rPr>
        <w:t>Durée moyenne de prescription</w:t>
      </w:r>
      <w:r>
        <w:t xml:space="preserve"> : 4 à 6 mois dans la pratique réelle, alors que les recommandations plafonnent l'usage entre 4 et 12 semaines selon l'indication</w:t>
      </w:r>
    </w:p>
    <w:p>
      <w:pPr>
        <w:pStyle w:val="ListBullet"/>
      </w:pPr>
      <w:r/>
      <w:r>
        <w:rPr>
          <w:b/>
        </w:rPr>
        <w:t>Polyprescription</w:t>
      </w:r>
      <w:r>
        <w:t xml:space="preserve"> : association fréquente BZD + antidépresseurs + antalgiques opioïdes chez le sujet âgé, source de surrisque iatrogène</w:t>
      </w:r>
    </w:p>
    <w:p>
      <w:pPr>
        <w:pStyle w:val="Heading3"/>
      </w:pPr>
      <w:r>
        <w:t>3. Sources académiques mobilisées</w:t>
      </w:r>
    </w:p>
    <w:p>
      <w:pPr>
        <w:pStyle w:val="ListBullet"/>
      </w:pPr>
      <w:r/>
      <w:r>
        <w:rPr>
          <w:b/>
        </w:rPr>
        <w:t>VIDAL</w:t>
      </w:r>
      <w:r>
        <w:t xml:space="preserve"> : Résumés des Caractéristiques du Produit (RCP), interactions médicamenteuses, statuts réglementaires</w:t>
      </w:r>
    </w:p>
    <w:p>
      <w:pPr>
        <w:pStyle w:val="ListBullet"/>
      </w:pPr>
      <w:r/>
      <w:r>
        <w:rPr>
          <w:b/>
        </w:rPr>
        <w:t>ANSM (Agence Nationale de Sécurité du Médicament et des produits de santé)</w:t>
      </w:r>
      <w:r>
        <w:t xml:space="preserve"> : recommandations sur la prescription des benzodiazépines, plan de gestion des risques (PGR), mises en garde</w:t>
      </w:r>
    </w:p>
    <w:p>
      <w:pPr>
        <w:pStyle w:val="ListBullet"/>
      </w:pPr>
      <w:r/>
      <w:r>
        <w:rPr>
          <w:b/>
        </w:rPr>
        <w:t>Thériaque</w:t>
      </w:r>
      <w:r>
        <w:t xml:space="preserve"> : banque de données pharmaceutiques (CNHIM)</w:t>
      </w:r>
    </w:p>
    <w:p>
      <w:pPr>
        <w:pStyle w:val="ListBullet"/>
      </w:pPr>
      <w:r/>
      <w:r>
        <w:rPr>
          <w:b/>
        </w:rPr>
        <w:t>CRAT (Centre Renseignements sur les Agents Tératogènes)</w:t>
      </w:r>
      <w:r>
        <w:t xml:space="preserve"> : données sur l'exposition pendant grossesse et allaitement</w:t>
      </w:r>
    </w:p>
    <w:p>
      <w:pPr>
        <w:pStyle w:val="ListBullet"/>
      </w:pPr>
      <w:r/>
      <w:r>
        <w:rPr>
          <w:b/>
        </w:rPr>
        <w:t>HAS (Haute Autorité de Santé)</w:t>
      </w:r>
      <w:r>
        <w:t xml:space="preserve"> : recommandations « Insomnie » et « Troubles anxieux », révision des mentions de prescription</w:t>
      </w:r>
    </w:p>
    <w:p>
      <w:pPr>
        <w:pStyle w:val="ListBullet"/>
      </w:pPr>
      <w:r/>
      <w:r>
        <w:rPr>
          <w:b/>
        </w:rPr>
        <w:t>UpToDate, Micromedex, BMJ Best Practice</w:t>
      </w:r>
      <w:r>
        <w:t xml:space="preserve"> : référentiels internationaux</w:t>
      </w:r>
    </w:p>
    <w:p>
      <w:pPr>
        <w:pStyle w:val="ListBullet"/>
      </w:pPr>
      <w:r/>
      <w:r>
        <w:rPr>
          <w:b/>
        </w:rPr>
        <w:t>OMS (Organisation mondiale de la santé)</w:t>
      </w:r>
      <w:r>
        <w:t xml:space="preserve"> : ATC classification, recommandations sur l'usage rationnel des psychotropes</w:t>
      </w:r>
    </w:p>
    <w:p>
      <w:pPr>
        <w:pStyle w:val="Heading3"/>
      </w:pPr>
      <w:r>
        <w:t>4. Périmètre de ce chapitre</w:t>
      </w:r>
    </w:p>
    <w:p>
      <w:r>
        <w:t>Le chapitre 82 couvre les sous-classes suivantes de la nomenclature algérienne :</w:t>
      </w:r>
    </w:p>
    <w:p>
      <w:pPr>
        <w:pStyle w:val="Heading4"/>
      </w:pPr>
      <w:r>
        <w:t>Anxiolytiques (10 DCI)</w:t>
      </w:r>
    </w:p>
    <w:p>
      <w:pPr>
        <w:pStyle w:val="ListNumber"/>
      </w:pPr>
      <w:r/>
      <w:r>
        <w:rPr>
          <w:b/>
        </w:rPr>
        <w:t>Benzodiazépines anxiolytiques</w:t>
      </w:r>
      <w:r>
        <w:t xml:space="preserve"> (6) : diazépam, lorazépam, bromazépam, prazépam, clorazépate dipotassique, chlordiazépoxide</w:t>
      </w:r>
    </w:p>
    <w:p>
      <w:pPr>
        <w:pStyle w:val="ListNumber"/>
      </w:pPr>
      <w:r/>
      <w:r>
        <w:rPr>
          <w:b/>
        </w:rPr>
        <w:t>Benzodiazépine antiépileptique/anxiolytique</w:t>
      </w:r>
      <w:r>
        <w:t xml:space="preserve"> (1) : clonazépam</w:t>
      </w:r>
    </w:p>
    <w:p>
      <w:pPr>
        <w:pStyle w:val="ListNumber"/>
      </w:pPr>
      <w:r/>
      <w:r>
        <w:rPr>
          <w:b/>
        </w:rPr>
        <w:t>Benzodiazépine + anticholinergique (spasmolytique)</w:t>
      </w:r>
      <w:r>
        <w:t xml:space="preserve"> (1) : chlordiazépoxide + clidinium</w:t>
      </w:r>
    </w:p>
    <w:p>
      <w:pPr>
        <w:pStyle w:val="ListNumber"/>
      </w:pPr>
      <w:r/>
      <w:r>
        <w:rPr>
          <w:b/>
        </w:rPr>
        <w:t>Non benzodiazépine</w:t>
      </w:r>
      <w:r>
        <w:t xml:space="preserve"> (1) : étifoxine</w:t>
      </w:r>
    </w:p>
    <w:p>
      <w:pPr>
        <w:pStyle w:val="ListNumber"/>
      </w:pPr>
      <w:r/>
      <w:r>
        <w:rPr>
          <w:b/>
        </w:rPr>
        <w:t>Carbamates</w:t>
      </w:r>
      <w:r>
        <w:t xml:space="preserve"> (1) : méprobamate</w:t>
      </w:r>
    </w:p>
    <w:p>
      <w:pPr>
        <w:pStyle w:val="Heading4"/>
      </w:pPr>
      <w:r>
        <w:t>Hypnotiques (3 DCI)</w:t>
      </w:r>
    </w:p>
    <w:p>
      <w:pPr>
        <w:pStyle w:val="ListNumber"/>
      </w:pPr>
      <w:r/>
      <w:r>
        <w:rPr>
          <w:b/>
        </w:rPr>
        <w:t>Benzodiazépines hypnotiques</w:t>
      </w:r>
      <w:r>
        <w:t xml:space="preserve"> (2) : flunitrazépam, nitrazépam</w:t>
      </w:r>
    </w:p>
    <w:p>
      <w:pPr>
        <w:pStyle w:val="ListNumber"/>
      </w:pPr>
      <w:r/>
      <w:r>
        <w:rPr>
          <w:b/>
        </w:rPr>
        <w:t>Agonistes sélectifs ω1 (non-benzodiazépines)</w:t>
      </w:r>
      <w:r>
        <w:t xml:space="preserve"> (1) : zolpidem</w:t>
      </w:r>
    </w:p>
    <w:p>
      <w:r/>
      <w:r>
        <w:rPr>
          <w:b/>
        </w:rPr>
        <w:t>Total : 13 DCI</w:t>
      </w:r>
      <w:r>
        <w:t xml:space="preserve"> traitées individuellement, représentant plus de </w:t>
      </w:r>
      <w:r>
        <w:rPr>
          <w:b/>
        </w:rPr>
        <w:t>80 spécialités commerciales</w:t>
      </w:r>
      <w:r>
        <w:t xml:space="preserve"> recensées (actives, non renouvelables et retirées du marché algérien).</w:t>
      </w:r>
    </w:p>
    <w:p>
      <w:pPr>
        <w:pStyle w:val="Heading3"/>
      </w:pPr>
      <w:r>
        <w:t>5. Rappel pharmacologique structurant</w:t>
      </w:r>
    </w:p>
    <w:p>
      <w:r>
        <w:t>Les anxiolytiques et hypnotiques agissent majoritairement sur le système GABAergique, principal système inhibiteur du système nerveux central. Le récepteur GABA-A, canalaire et pentamérique, est composé de cinq sous-unités (α, β, γ, δ, ρ, π, θ) dont l'assemblage détermine la pharmacologie :</w:t>
      </w:r>
    </w:p>
    <w:p>
      <w:pPr>
        <w:pStyle w:val="ListBullet"/>
      </w:pPr>
      <w:r/>
      <w:r>
        <w:rPr>
          <w:b/>
        </w:rPr>
        <w:t>Sous-unité α1</w:t>
      </w:r>
      <w:r>
        <w:t xml:space="preserve"> : effet sédatif, hypnotique, amnésiant</w:t>
      </w:r>
    </w:p>
    <w:p>
      <w:pPr>
        <w:pStyle w:val="ListBullet"/>
      </w:pPr>
      <w:r/>
      <w:r>
        <w:rPr>
          <w:b/>
        </w:rPr>
        <w:t>Sous-unité α2</w:t>
      </w:r>
      <w:r>
        <w:t xml:space="preserve"> : effet anxiolytique, myorelaxant</w:t>
      </w:r>
    </w:p>
    <w:p>
      <w:pPr>
        <w:pStyle w:val="ListBullet"/>
      </w:pPr>
      <w:r/>
      <w:r>
        <w:rPr>
          <w:b/>
        </w:rPr>
        <w:t>Sous-unité α3</w:t>
      </w:r>
      <w:r>
        <w:t xml:space="preserve"> : effet anxiolytique</w:t>
      </w:r>
    </w:p>
    <w:p>
      <w:pPr>
        <w:pStyle w:val="ListBullet"/>
      </w:pPr>
      <w:r/>
      <w:r>
        <w:rPr>
          <w:b/>
        </w:rPr>
        <w:t>Sous-unité α5</w:t>
      </w:r>
      <w:r>
        <w:t xml:space="preserve"> : effet sur la mémoire et la cognition spatiale</w:t>
      </w:r>
    </w:p>
    <w:p>
      <w:r>
        <w:t xml:space="preserve">Les </w:t>
      </w:r>
      <w:r>
        <w:rPr>
          <w:b/>
        </w:rPr>
        <w:t>benzodiazépines</w:t>
      </w:r>
      <w:r>
        <w:t xml:space="preserve"> sont des modulateurs allostériques positifs : elles se fixent sur le site ω (interface α/γ) et potentialisent l'action du GABA endogène en augmentant la fréquence d'ouverture du canal chlore, sans activation directe en l'absence de GABA (à la différence des barbituriques qui augmentent la durée d'ouverture et peuvent activer seuls le récepteur). Ce mécanisme explique leur sécurité relative en surdosage isolé, mais aussi leur synergie dangereuse avec tous les dépresseurs du SNC (alcool, opioïdes, barbituriques).</w:t>
      </w:r>
    </w:p>
    <w:p>
      <w:r>
        <w:t xml:space="preserve">Les </w:t>
      </w:r>
      <w:r>
        <w:rPr>
          <w:b/>
        </w:rPr>
        <w:t>agonistes sélectifs ω1</w:t>
      </w:r>
      <w:r>
        <w:t xml:space="preserve"> (zolpidem, zopiclone) ciblent préférentiellement la sous-unité α1, ce qui explique leur profil sédatif pur, sans effet anxiolytique ni myorelaxant marqué, et une durée d'action courte limitant les effets résiduels.</w:t>
      </w:r>
    </w:p>
    <w:p>
      <w:r>
        <w:t>L'</w:t>
      </w:r>
      <w:r>
        <w:rPr>
          <w:b/>
        </w:rPr>
        <w:t>étifoxine</w:t>
      </w:r>
      <w:r>
        <w:t xml:space="preserve"> possède un mécanisme dual : elle se lie aussi au récepteur GABA-A (site différent des BZD) et surtout à la </w:t>
      </w:r>
      <w:r>
        <w:rPr>
          <w:b/>
        </w:rPr>
        <w:t>TSPO (Translocator Protein 18 kDa)</w:t>
      </w:r>
      <w:r>
        <w:t xml:space="preserve"> mitochondriale, stimulant la synthèse de </w:t>
      </w:r>
      <w:r>
        <w:rPr>
          <w:b/>
        </w:rPr>
        <w:t>neurostéroïdes</w:t>
      </w:r>
      <w:r>
        <w:t xml:space="preserve"> (allopregnanolone, pregnenolone) qui modulent positivement le GABA-A. Ce mécanisme explique l'absence de dépendance et de syndrome de sevrage.</w:t>
      </w:r>
    </w:p>
    <w:p>
      <w:r>
        <w:t xml:space="preserve">Le </w:t>
      </w:r>
      <w:r>
        <w:rPr>
          <w:b/>
        </w:rPr>
        <w:t>méprobamate</w:t>
      </w:r>
      <w:r>
        <w:t xml:space="preserve"> (carbamate) est un dépresseur du SNC de type barbiturique-like, tombé en désuétude en raison de son index thérapeutique étroit et de son potentiel toxique en surdosage.</w:t>
      </w:r>
    </w:p>
    <w:p>
      <w:pPr>
        <w:pStyle w:val="Heading3"/>
      </w:pPr>
      <w:r>
        <w:t>6. Règles de prescription transversales (à mémoriser)</w:t>
      </w:r>
    </w:p>
    <w:p>
      <w:pPr>
        <w:pStyle w:val="ListNumber"/>
      </w:pPr>
      <w:r/>
      <w:r>
        <w:rPr>
          <w:b/>
        </w:rPr>
        <w:t>Durée maximale de prescription</w:t>
      </w:r>
      <w:r>
        <w:t xml:space="preserve"> :</w:t>
      </w:r>
    </w:p>
    <w:p>
      <w:pPr>
        <w:pStyle w:val="ListBullet"/>
      </w:pPr>
      <w:r>
        <w:t>Anxiolytiques : 4 à 12 semaines (HAS, ANSM)</w:t>
      </w:r>
    </w:p>
    <w:p>
      <w:pPr>
        <w:pStyle w:val="ListBullet"/>
      </w:pPr>
      <w:r>
        <w:t>Hypnotiques : 4 semaines maximum, réévaluation systématique</w:t>
      </w:r>
    </w:p>
    <w:p>
      <w:pPr>
        <w:pStyle w:val="ListNumber"/>
      </w:pPr>
      <w:r/>
      <w:r>
        <w:rPr>
          <w:b/>
        </w:rPr>
        <w:t>Arrêt progressif obligatoire</w:t>
      </w:r>
      <w:r>
        <w:t xml:space="preserve"> après usage prolongé (&gt;4 semaines) : décroissance sur 4 à 10 semaines, par paliers de 1/8 à 1/4 de la dose initiale</w:t>
      </w:r>
    </w:p>
    <w:p>
      <w:pPr>
        <w:pStyle w:val="ListNumber"/>
      </w:pPr>
      <w:r/>
      <w:r>
        <w:rPr>
          <w:b/>
        </w:rPr>
        <w:t>Arrêt brutal</w:t>
      </w:r>
      <w:r>
        <w:t xml:space="preserve"> : expose au syndrome de sevrage (anxiété rebond, insomnie de rebond, tremblements, convulsions, délire)</w:t>
      </w:r>
    </w:p>
    <w:p>
      <w:pPr>
        <w:pStyle w:val="ListNumber"/>
      </w:pPr>
      <w:r/>
      <w:r>
        <w:rPr>
          <w:b/>
        </w:rPr>
        <w:t>Risque dépendance</w:t>
      </w:r>
      <w:r>
        <w:t xml:space="preserve"> : touche 30–45 % des utilisateurs au long cours ; tolérance en 2–4 semaines pour l'effet hypnotique</w:t>
      </w:r>
    </w:p>
    <w:p>
      <w:pPr>
        <w:pStyle w:val="ListNumber"/>
      </w:pPr>
      <w:r/>
      <w:r>
        <w:rPr>
          <w:b/>
        </w:rPr>
        <w:t>Sujets âgés</w:t>
      </w:r>
      <w:r>
        <w:t xml:space="preserve"> : risque de chutes (effet myorelaxant + troubles de l'équilibre), troubles mnésiques, décompensation cognitive → demi-dose, éviter demi-vie longue</w:t>
      </w:r>
    </w:p>
    <w:p>
      <w:pPr>
        <w:pStyle w:val="ListNumber"/>
      </w:pPr>
      <w:r/>
      <w:r>
        <w:rPr>
          <w:b/>
        </w:rPr>
        <w:t>Grossesse</w:t>
      </w:r>
      <w:r>
        <w:t xml:space="preserve"> : à éviter, surtout 1er trimestre (malformations) et 3e trimestre (syndrome de sevrage néonatal, hypotonie)</w:t>
      </w:r>
    </w:p>
    <w:p>
      <w:pPr>
        <w:pStyle w:val="ListNumber"/>
      </w:pPr>
      <w:r/>
      <w:r>
        <w:rPr>
          <w:b/>
        </w:rPr>
        <w:t>BZD + opioïdes</w:t>
      </w:r>
      <w:r>
        <w:t xml:space="preserve"> : association à risque de dépression respiratoire mortelle (mise en garde ANSM, OMS, FDA)</w:t>
      </w:r>
    </w:p>
    <w:p>
      <w:pPr>
        <w:pStyle w:val="Heading3"/>
      </w:pPr>
      <w:r>
        <w:t>7. Sommaire général du Chapitre 82</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Sous-classe</w:t>
            </w:r>
          </w:p>
        </w:tc>
        <w:tc>
          <w:tcPr>
            <w:tcW w:type="dxa" w:w="3118"/>
          </w:tcPr>
          <w:p>
            <w:r>
              <w:rPr>
                <w:b/>
                <w:sz w:val="20"/>
              </w:rPr>
              <w:t>DCI traitées</w:t>
            </w:r>
          </w:p>
        </w:tc>
        <w:tc>
          <w:tcPr>
            <w:tcW w:type="dxa" w:w="3118"/>
          </w:tcPr>
          <w:p>
            <w:r>
              <w:rPr>
                <w:b/>
                <w:sz w:val="20"/>
              </w:rPr>
              <w:t>Nombre de marques recensées</w:t>
            </w:r>
          </w:p>
        </w:tc>
      </w:tr>
      <w:tr>
        <w:tc>
          <w:tcPr>
            <w:tcW w:type="dxa" w:w="3118"/>
          </w:tcPr>
          <w:p>
            <w:r>
              <w:rPr>
                <w:sz w:val="20"/>
              </w:rPr>
              <w:t>BZD anxiolytiques</w:t>
            </w:r>
          </w:p>
        </w:tc>
        <w:tc>
          <w:tcPr>
            <w:tcW w:type="dxa" w:w="3118"/>
          </w:tcPr>
          <w:p>
            <w:r>
              <w:rPr>
                <w:sz w:val="20"/>
              </w:rPr>
              <w:t>Diazépam, Lorazépam, Bromazépam, Prazépam, Clorazépate, Chlordiazépoxide</w:t>
            </w:r>
          </w:p>
        </w:tc>
        <w:tc>
          <w:tcPr>
            <w:tcW w:type="dxa" w:w="3118"/>
          </w:tcPr>
          <w:p>
            <w:r>
              <w:rPr>
                <w:sz w:val="20"/>
              </w:rPr>
              <w:t>40+</w:t>
            </w:r>
          </w:p>
        </w:tc>
      </w:tr>
      <w:tr>
        <w:tc>
          <w:tcPr>
            <w:tcW w:type="dxa" w:w="3118"/>
          </w:tcPr>
          <w:p>
            <w:r>
              <w:rPr>
                <w:sz w:val="20"/>
              </w:rPr>
              <w:t>BZD antiépileptique/anxiolytique</w:t>
            </w:r>
          </w:p>
        </w:tc>
        <w:tc>
          <w:tcPr>
            <w:tcW w:type="dxa" w:w="3118"/>
          </w:tcPr>
          <w:p>
            <w:r>
              <w:rPr>
                <w:sz w:val="20"/>
              </w:rPr>
              <w:t>Clonazépam</w:t>
            </w:r>
          </w:p>
        </w:tc>
        <w:tc>
          <w:tcPr>
            <w:tcW w:type="dxa" w:w="3118"/>
          </w:tcPr>
          <w:p>
            <w:r>
              <w:rPr>
                <w:sz w:val="20"/>
              </w:rPr>
              <w:t>7</w:t>
            </w:r>
          </w:p>
        </w:tc>
      </w:tr>
      <w:tr>
        <w:tc>
          <w:tcPr>
            <w:tcW w:type="dxa" w:w="3118"/>
          </w:tcPr>
          <w:p>
            <w:r>
              <w:rPr>
                <w:sz w:val="20"/>
              </w:rPr>
              <w:t>BZD + anticholinergique</w:t>
            </w:r>
          </w:p>
        </w:tc>
        <w:tc>
          <w:tcPr>
            <w:tcW w:type="dxa" w:w="3118"/>
          </w:tcPr>
          <w:p>
            <w:r>
              <w:rPr>
                <w:sz w:val="20"/>
              </w:rPr>
              <w:t>Chlordiazépoxide + Clidinium</w:t>
            </w:r>
          </w:p>
        </w:tc>
        <w:tc>
          <w:tcPr>
            <w:tcW w:type="dxa" w:w="3118"/>
          </w:tcPr>
          <w:p>
            <w:r>
              <w:rPr>
                <w:sz w:val="20"/>
              </w:rPr>
              <w:t>1</w:t>
            </w:r>
          </w:p>
        </w:tc>
      </w:tr>
      <w:tr>
        <w:tc>
          <w:tcPr>
            <w:tcW w:type="dxa" w:w="3118"/>
          </w:tcPr>
          <w:p>
            <w:r>
              <w:rPr>
                <w:sz w:val="20"/>
              </w:rPr>
              <w:t>Non-BZD anxiolytique</w:t>
            </w:r>
          </w:p>
        </w:tc>
        <w:tc>
          <w:tcPr>
            <w:tcW w:type="dxa" w:w="3118"/>
          </w:tcPr>
          <w:p>
            <w:r>
              <w:rPr>
                <w:sz w:val="20"/>
              </w:rPr>
              <w:t>Étifoxine</w:t>
            </w:r>
          </w:p>
        </w:tc>
        <w:tc>
          <w:tcPr>
            <w:tcW w:type="dxa" w:w="3118"/>
          </w:tcPr>
          <w:p>
            <w:r>
              <w:rPr>
                <w:sz w:val="20"/>
              </w:rPr>
              <w:t>1</w:t>
            </w:r>
          </w:p>
        </w:tc>
      </w:tr>
      <w:tr>
        <w:tc>
          <w:tcPr>
            <w:tcW w:type="dxa" w:w="3118"/>
          </w:tcPr>
          <w:p>
            <w:r>
              <w:rPr>
                <w:sz w:val="20"/>
              </w:rPr>
              <w:t>Carbamates</w:t>
            </w:r>
          </w:p>
        </w:tc>
        <w:tc>
          <w:tcPr>
            <w:tcW w:type="dxa" w:w="3118"/>
          </w:tcPr>
          <w:p>
            <w:r>
              <w:rPr>
                <w:sz w:val="20"/>
              </w:rPr>
              <w:t>Méprobamate</w:t>
            </w:r>
          </w:p>
        </w:tc>
        <w:tc>
          <w:tcPr>
            <w:tcW w:type="dxa" w:w="3118"/>
          </w:tcPr>
          <w:p>
            <w:r>
              <w:rPr>
                <w:sz w:val="20"/>
              </w:rPr>
              <w:t>6</w:t>
            </w:r>
          </w:p>
        </w:tc>
      </w:tr>
      <w:tr>
        <w:tc>
          <w:tcPr>
            <w:tcW w:type="dxa" w:w="3118"/>
          </w:tcPr>
          <w:p>
            <w:r>
              <w:rPr>
                <w:sz w:val="20"/>
              </w:rPr>
              <w:t>BZD hypnotiques</w:t>
            </w:r>
          </w:p>
        </w:tc>
        <w:tc>
          <w:tcPr>
            <w:tcW w:type="dxa" w:w="3118"/>
          </w:tcPr>
          <w:p>
            <w:r>
              <w:rPr>
                <w:sz w:val="20"/>
              </w:rPr>
              <w:t>Flunitrazépam, Nitrazépam</w:t>
            </w:r>
          </w:p>
        </w:tc>
        <w:tc>
          <w:tcPr>
            <w:tcW w:type="dxa" w:w="3118"/>
          </w:tcPr>
          <w:p>
            <w:r>
              <w:rPr>
                <w:sz w:val="20"/>
              </w:rPr>
              <w:t>4</w:t>
            </w:r>
          </w:p>
        </w:tc>
      </w:tr>
      <w:tr>
        <w:tc>
          <w:tcPr>
            <w:tcW w:type="dxa" w:w="3118"/>
          </w:tcPr>
          <w:p>
            <w:r>
              <w:rPr>
                <w:sz w:val="20"/>
              </w:rPr>
              <w:t>Agonistes ω1 non-BZD</w:t>
            </w:r>
          </w:p>
        </w:tc>
        <w:tc>
          <w:tcPr>
            <w:tcW w:type="dxa" w:w="3118"/>
          </w:tcPr>
          <w:p>
            <w:r>
              <w:rPr>
                <w:sz w:val="20"/>
              </w:rPr>
              <w:t>Zolpidem</w:t>
            </w:r>
          </w:p>
        </w:tc>
        <w:tc>
          <w:tcPr>
            <w:tcW w:type="dxa" w:w="3118"/>
          </w:tcPr>
          <w:p>
            <w:r>
              <w:rPr>
                <w:sz w:val="20"/>
              </w:rPr>
              <w:t>3</w:t>
            </w:r>
          </w:p>
        </w:tc>
      </w:tr>
      <w:tr>
        <w:tc>
          <w:tcPr>
            <w:tcW w:type="dxa" w:w="3118"/>
          </w:tcPr>
          <w:p>
            <w:r>
              <w:rPr>
                <w:sz w:val="20"/>
              </w:rPr>
              <w:t>**Total**</w:t>
            </w:r>
          </w:p>
        </w:tc>
        <w:tc>
          <w:tcPr>
            <w:tcW w:type="dxa" w:w="3118"/>
          </w:tcPr>
          <w:p>
            <w:r>
              <w:rPr>
                <w:sz w:val="20"/>
              </w:rPr>
              <w:t>**13 DCI**</w:t>
            </w:r>
          </w:p>
        </w:tc>
        <w:tc>
          <w:tcPr>
            <w:tcW w:type="dxa" w:w="3118"/>
          </w:tcPr>
          <w:p>
            <w:r>
              <w:rPr>
                <w:sz w:val="20"/>
              </w:rPr>
              <w:t>**60+**</w:t>
            </w:r>
          </w:p>
        </w:tc>
      </w:tr>
    </w:tbl>
    <w:p/>
    <w:p>
      <w:pPr>
        <w:pStyle w:val="Heading2"/>
      </w:pPr>
      <w:r>
        <w:t>Sous-classe 1 — Anxiolytiques - Benzodiazépines (anxiolytiques)</w:t>
      </w:r>
    </w:p>
    <w:p>
      <w:pPr>
        <w:pStyle w:val="Heading3"/>
      </w:pPr>
      <w:r>
        <w:t>Définition et positionnement</w:t>
      </w:r>
    </w:p>
    <w:p>
      <w:r>
        <w:t>Les benzodiazépines anxiolytiques sont des molécules synthétisées à partir des années 1960 (chlordiazépoxide en 1957, diazépam en 1963), qui ont révolutionné la prise en charge de l'anxiété en remplaçant les barbituriques et le méprobamate, à l'index thérapeutique étroit et au risque létal en surdosage. Leur profil pharmacologique associe cinq effets principaux, classés selon un gradient de puissance : anxiolytique, sédatif/hypnotique, myorelaxant, anticonvulsivant, amnésiant.</w:t>
      </w:r>
    </w:p>
    <w:p>
      <w:r>
        <w:t xml:space="preserve">Les molécules de cette sous-classe différent essentiellement par leur </w:t>
      </w:r>
      <w:r>
        <w:rPr>
          <w:b/>
        </w:rPr>
        <w:t>demi-vie d'élimination</w:t>
      </w:r>
      <w:r>
        <w:t xml:space="preserve"> (courte &lt; 6 h, intermédiaire 6–24 h, longue 24–48 h, très longue &gt; 48 h avec métabolites actifs), qui conditionne le profil d'utilisation :</w:t>
      </w:r>
    </w:p>
    <w:p>
      <w:pPr>
        <w:pStyle w:val="ListBullet"/>
      </w:pPr>
      <w:r/>
      <w:r>
        <w:rPr>
          <w:b/>
        </w:rPr>
        <w:t>Demi-vie courte/intermédiaire</w:t>
      </w:r>
      <w:r>
        <w:t xml:space="preserve"> (lorazépam, 10–20 h) : préférentiellement anxiolytique d'action jour par jour, sans accumulation, idéal sujet âgé</w:t>
      </w:r>
    </w:p>
    <w:p>
      <w:pPr>
        <w:pStyle w:val="ListBullet"/>
      </w:pPr>
      <w:r/>
      <w:r>
        <w:rPr>
          <w:b/>
        </w:rPr>
        <w:t>Demi-vie longue</w:t>
      </w:r>
      <w:r>
        <w:t xml:space="preserve"> (diazépam, 20–50 h + métabolites actifs nordazépam, oxazépam, témazépam : jusqu'à 100 h) : anxiolytique d'action prolongée, mais risque d'accumulation et de sédation diurne</w:t>
      </w:r>
    </w:p>
    <w:p>
      <w:pPr>
        <w:pStyle w:val="ListBullet"/>
      </w:pPr>
      <w:r/>
      <w:r>
        <w:rPr>
          <w:b/>
        </w:rPr>
        <w:t>Prodrogues</w:t>
      </w:r>
      <w:r>
        <w:t xml:space="preserve"> (prazépam → désméthyldiazépam ; clorazépate → désméthyldiazépam) : effet d'apparition différée, profil adapté à l'anxiété généralisée</w:t>
      </w:r>
    </w:p>
    <w:p>
      <w:pPr>
        <w:pStyle w:val="Heading3"/>
      </w:pPr>
      <w:r>
        <w:t>Mécanisme commun</w:t>
      </w:r>
    </w:p>
    <w:p>
      <w:r>
        <w:t xml:space="preserve">Les BZD sont des </w:t>
      </w:r>
      <w:r>
        <w:rPr>
          <w:b/>
        </w:rPr>
        <w:t>modulateurs allostériques positifs</w:t>
      </w:r>
      <w:r>
        <w:t xml:space="preserve"> du récepteur GABA-A. Elles se fixent sur le site ω (interface α/γ du récepteur pentamérique) et potentialisent l'action du GABA endogène en augmentant la </w:t>
      </w:r>
      <w:r>
        <w:rPr>
          <w:b/>
        </w:rPr>
        <w:t>fréquence d'ouverture du canal chlore</w:t>
      </w:r>
      <w:r>
        <w:t>, sans ouvrir directement le canal. Cette hyperpolarisation membranaire réduit l'excitabilité neuronale. L'effet anxiolytique est médié par les sous-unités α2 et α3 (récepteurs limbiques et corticaux), tandis que l'effet sédatif/amnésiant est lié à la sous-unité α1.</w:t>
      </w:r>
    </w:p>
    <w:p>
      <w:pPr>
        <w:pStyle w:val="Heading3"/>
      </w:pPr>
      <w:r>
        <w:t>Règles de prescription transversales aux BZD anxiolytiques</w:t>
      </w:r>
    </w:p>
    <w:p>
      <w:pPr>
        <w:pStyle w:val="ListNumber"/>
      </w:pPr>
      <w:r/>
      <w:r>
        <w:rPr>
          <w:b/>
        </w:rPr>
        <w:t>Indication restreinte</w:t>
      </w:r>
      <w:r>
        <w:t xml:space="preserve"> : anxiété invalidante non améliorée par les mesures non pharmacologiques (TCC, hygiène de vie)</w:t>
      </w:r>
    </w:p>
    <w:p>
      <w:pPr>
        <w:pStyle w:val="ListNumber"/>
      </w:pPr>
      <w:r/>
      <w:r>
        <w:rPr>
          <w:b/>
        </w:rPr>
        <w:t>Durée maximale</w:t>
      </w:r>
      <w:r>
        <w:t xml:space="preserve"> : 12 semaines, y compris la période de réduction</w:t>
      </w:r>
    </w:p>
    <w:p>
      <w:pPr>
        <w:pStyle w:val="ListNumber"/>
      </w:pPr>
      <w:r/>
      <w:r>
        <w:rPr>
          <w:b/>
        </w:rPr>
        <w:t>Dose minimale efficace</w:t>
      </w:r>
      <w:r>
        <w:t xml:space="preserve"> : débuter par la dose la plus faible, titrer progressivement</w:t>
      </w:r>
    </w:p>
    <w:p>
      <w:pPr>
        <w:pStyle w:val="ListNumber"/>
      </w:pPr>
      <w:r/>
      <w:r>
        <w:rPr>
          <w:b/>
        </w:rPr>
        <w:t>Arrêt progressif</w:t>
      </w:r>
      <w:r>
        <w:t xml:space="preserve"> : décroissance sur 4–10 semaines après usage prolongé</w:t>
      </w:r>
    </w:p>
    <w:p>
      <w:pPr>
        <w:pStyle w:val="ListNumber"/>
      </w:pPr>
      <w:r/>
      <w:r>
        <w:rPr>
          <w:b/>
        </w:rPr>
        <w:t>Pas d'association</w:t>
      </w:r>
      <w:r>
        <w:t xml:space="preserve"> de deux BZD, pas d'association BZD + hypnotique</w:t>
      </w:r>
    </w:p>
    <w:p>
      <w:pPr>
        <w:pStyle w:val="ListNumber"/>
      </w:pPr>
      <w:r/>
      <w:r>
        <w:rPr>
          <w:b/>
        </w:rPr>
        <w:t>Mises en garde particulières</w:t>
      </w:r>
      <w:r>
        <w:t xml:space="preserve"> :</w:t>
      </w:r>
    </w:p>
    <w:p>
      <w:pPr>
        <w:pStyle w:val="ListBullet"/>
      </w:pPr>
      <w:r>
        <w:t>Sujet âgé : demi-dose, vigilance chutes</w:t>
      </w:r>
    </w:p>
    <w:p>
      <w:pPr>
        <w:pStyle w:val="ListBullet"/>
      </w:pPr>
      <w:r>
        <w:t>Insuffisance respiratoire : CI relative</w:t>
      </w:r>
    </w:p>
    <w:p>
      <w:pPr>
        <w:pStyle w:val="ListBullet"/>
      </w:pPr>
      <w:r>
        <w:t>Insuffisance hépatique sévère : CI ou demi-dose, éviter les oxydées (diazépam)</w:t>
      </w:r>
    </w:p>
    <w:p>
      <w:pPr>
        <w:pStyle w:val="ListBullet"/>
      </w:pPr>
      <w:r>
        <w:t>Myasthénie : CI absolue</w:t>
      </w:r>
    </w:p>
    <w:p>
      <w:pPr>
        <w:pStyle w:val="Heading2"/>
      </w:pPr>
      <w:r>
        <w:t>Sous-classe 2 — Anxiolytiques - Benzodiazépines (antiépileptique/anxiolytique)</w:t>
      </w:r>
    </w:p>
    <w:p>
      <w:pPr>
        <w:pStyle w:val="Heading3"/>
      </w:pPr>
      <w:r>
        <w:t>Définition et positionnement</w:t>
      </w:r>
    </w:p>
    <w:p>
      <w:r>
        <w:t xml:space="preserve">Cette sous-classe regroupe des benzodiazépines dont l'usage principal est l'épilepsie, mais qui conservent une indication anxiolytique en deuxième intention. En Algérie, le seul représentant est le </w:t>
      </w:r>
      <w:r>
        <w:rPr>
          <w:b/>
        </w:rPr>
        <w:t>clonazépam</w:t>
      </w:r>
      <w:r>
        <w:t xml:space="preserve"> (Rivotril® originel, retiré du marché, mais des génériques actifs persistent : Clona, Novatril, Rivomed).</w:t>
      </w:r>
    </w:p>
    <w:p>
      <w:r>
        <w:t xml:space="preserve">Le clonazépam est indiqué dans les épilepsies partielles et généralisées (crises tonico-cloniques, absences, myoclonies), mais aussi dans les </w:t>
      </w:r>
      <w:r>
        <w:rPr>
          <w:b/>
        </w:rPr>
        <w:t>crises d'angoisse</w:t>
      </w:r>
      <w:r>
        <w:t xml:space="preserve"> (alternative au lorazépam), le </w:t>
      </w:r>
      <w:r>
        <w:rPr>
          <w:b/>
        </w:rPr>
        <w:t>syndrome des jambes sans repos sévère</w:t>
      </w:r>
      <w:r>
        <w:t xml:space="preserve">, les </w:t>
      </w:r>
      <w:r>
        <w:rPr>
          <w:b/>
        </w:rPr>
        <w:t>accès comicaux</w:t>
      </w:r>
      <w:r>
        <w:t xml:space="preserve"> de l'épilepsie partielle, et certaines douleurs neuropathiques paroxystiques (neuralgie faciale).</w:t>
      </w:r>
    </w:p>
    <w:p>
      <w:pPr>
        <w:pStyle w:val="Heading3"/>
      </w:pPr>
      <w:r>
        <w:t>Mécanisme</w:t>
      </w:r>
    </w:p>
    <w:p>
      <w:r>
        <w:t>Identique aux autres BZD : modulateur allostérique positif du récepteur GABA-A. Sa longue demi-vie (20–60 h) et son métabolisme hépatique par CYP3A4 expliquent son usage prolongé dans les épilepsies chroniques.</w:t>
      </w:r>
    </w:p>
    <w:p>
      <w:pPr>
        <w:pStyle w:val="Heading3"/>
      </w:pPr>
      <w:r>
        <w:t>Particularité réglementaire</w:t>
      </w:r>
    </w:p>
    <w:p>
      <w:r>
        <w:t xml:space="preserve">Le clonazépam est inscrit sur </w:t>
      </w:r>
      <w:r>
        <w:rPr>
          <w:b/>
        </w:rPr>
        <w:t>Liste I</w:t>
      </w:r>
      <w:r>
        <w:t xml:space="preserve"> des substances vénéneuses en Algérie. En France, il a été rétrogradé de la liste des stupéfiants à la liste I en 2020, dans le cadre d'une réduction des obstacles à la prise en charge de l'épilepsie. La prescription initiale est </w:t>
      </w:r>
      <w:r>
        <w:rPr>
          <w:b/>
        </w:rPr>
        <w:t>réservée aux neurologues et psychiatres</w:t>
      </w:r>
      <w:r>
        <w:t xml:space="preserve"> (mention de prescription restreinte), le renouvellement pouvant être fait par tout médecin.</w:t>
      </w:r>
    </w:p>
    <w:p>
      <w:pPr>
        <w:pStyle w:val="Heading2"/>
      </w:pPr>
      <w:r>
        <w:t>Sous-classe 3 — Anxiolytiques - Benzodiazépines + anticholinergique (spasmolytique)</w:t>
      </w:r>
    </w:p>
    <w:p>
      <w:pPr>
        <w:pStyle w:val="Heading3"/>
      </w:pPr>
      <w:r>
        <w:t>Définition et positionnement</w:t>
      </w:r>
    </w:p>
    <w:p>
      <w:r>
        <w:t xml:space="preserve">Cette sous-classe associe une benzodiazépine (chlordiazépoxide) à un anticholinergique (clidinium bromure) pour exploiter une double action : anxiolytique (BZD) + spasmolytique et antisécrétoire (anticholinergique). Cette combinaison est historiquement indiquée dans les </w:t>
      </w:r>
      <w:r>
        <w:rPr>
          <w:b/>
        </w:rPr>
        <w:t>troubles fonctionnels intestinaux</w:t>
      </w:r>
      <w:r>
        <w:t xml:space="preserve"> avec composante anxieuse (côlon irritable, dyspepsies nerveuses, ballonnements, spasmes digestifs sur fond d'anxiété).</w:t>
      </w:r>
    </w:p>
    <w:p>
      <w:r>
        <w:t xml:space="preserve">En Algérie, l'unique spécialité recensée est </w:t>
      </w:r>
      <w:r>
        <w:rPr>
          <w:b/>
        </w:rPr>
        <w:t>Librax®</w:t>
      </w:r>
      <w:r>
        <w:t xml:space="preserve"> (Stéripharma), actuellement en statut </w:t>
      </w:r>
      <w:r>
        <w:rPr>
          <w:b/>
        </w:rPr>
        <w:t>Non Renouvelable</w:t>
      </w:r>
      <w:r>
        <w:t>.</w:t>
      </w:r>
    </w:p>
    <w:p>
      <w:pPr>
        <w:pStyle w:val="Heading3"/>
      </w:pPr>
      <w:r>
        <w:t>Mécanisme dual</w:t>
      </w:r>
    </w:p>
    <w:p>
      <w:pPr>
        <w:pStyle w:val="ListBullet"/>
      </w:pPr>
      <w:r/>
      <w:r>
        <w:rPr>
          <w:b/>
        </w:rPr>
        <w:t>Chlordiazépoxide</w:t>
      </w:r>
      <w:r>
        <w:t xml:space="preserve"> : BZD longue durée d'action (demi-vie 5–30 h + métabolite actif désméthylchlordiazépoxide), action anxiolytique</w:t>
      </w:r>
    </w:p>
    <w:p>
      <w:pPr>
        <w:pStyle w:val="ListBullet"/>
      </w:pPr>
      <w:r/>
      <w:r>
        <w:rPr>
          <w:b/>
        </w:rPr>
        <w:t>Clidinium</w:t>
      </w:r>
      <w:r>
        <w:t xml:space="preserve"> : anticholinergique quaternaire, antagoniste des récepteurs muscariniques M1/M2/M3 → inhibition du péristaltisme et des sécrétions digestives</w:t>
      </w:r>
    </w:p>
    <w:p>
      <w:pPr>
        <w:pStyle w:val="Heading3"/>
      </w:pPr>
      <w:r>
        <w:t>Mises en garde spécifiques</w:t>
      </w:r>
    </w:p>
    <w:p>
      <w:r>
        <w:t>L'ajout d'un anticholinergique majore significativement le profil d'effets indésirables, surtout chez le sujet âgé :</w:t>
      </w:r>
    </w:p>
    <w:p>
      <w:pPr>
        <w:pStyle w:val="ListBullet"/>
      </w:pPr>
      <w:r>
        <w:t>Syndrome atropinique (sécheresse buccale, constipation, troubles visuels, rétention urinaire)</w:t>
      </w:r>
    </w:p>
    <w:p>
      <w:pPr>
        <w:pStyle w:val="ListBullet"/>
      </w:pPr>
      <w:r>
        <w:t>Troubles cognitifs et risque de décompensation démentiire</w:t>
      </w:r>
    </w:p>
    <w:p>
      <w:pPr>
        <w:pStyle w:val="ListBullet"/>
      </w:pPr>
      <w:r>
        <w:t>Risque de glaucome aigu par fermeture de l'angle</w:t>
      </w:r>
    </w:p>
    <w:p>
      <w:pPr>
        <w:pStyle w:val="ListBullet"/>
      </w:pPr>
      <w:r>
        <w:t>Risque d'adénome prostatique compliqué</w:t>
      </w:r>
    </w:p>
    <w:p>
      <w:pPr>
        <w:pStyle w:val="Heading2"/>
      </w:pPr>
      <w:r>
        <w:t>Sous-classe 4 — Anxiolytiques - Non benzodiazépines</w:t>
      </w:r>
    </w:p>
    <w:p>
      <w:pPr>
        <w:pStyle w:val="Heading3"/>
      </w:pPr>
      <w:r>
        <w:t>Définition et positionnement</w:t>
      </w:r>
    </w:p>
    <w:p>
      <w:r>
        <w:t>Les anxiolytiques non benzodiazépines regroupent des molécules à mécanisme d'action distinct des BZD, offrant un profil de tolérance et de dépendance différent. En Algérie, le seul représentant recensé est l'</w:t>
      </w:r>
      <w:r>
        <w:rPr>
          <w:b/>
        </w:rPr>
        <w:t>étifoxine</w:t>
      </w:r>
      <w:r>
        <w:t xml:space="preserve"> (Stresam® — Biocodex).</w:t>
      </w:r>
    </w:p>
    <w:p>
      <w:r>
        <w:t>L'étifoxine est indiquée dans le traitement de l'anxiété réactionnelle, des états d'angoisse et des troubles psychosomatiques. Son principal intérêt réside dans l'</w:t>
      </w:r>
      <w:r>
        <w:rPr>
          <w:b/>
        </w:rPr>
        <w:t>absence de dépendance physique</w:t>
      </w:r>
      <w:r>
        <w:t xml:space="preserve"> et l'absence de syndrome de sevrage, permettant un usage prolongé sans escalade de dose. Elle n'altère pas les performances psychomotrices ni la conduite automobile.</w:t>
      </w:r>
    </w:p>
    <w:p>
      <w:pPr>
        <w:pStyle w:val="Heading3"/>
      </w:pPr>
      <w:r>
        <w:t>Mécanisme dual original</w:t>
      </w:r>
    </w:p>
    <w:p>
      <w:r>
        <w:t>L'étifoxine présente un mécanisme d'action original combinant deux voies :</w:t>
      </w:r>
    </w:p>
    <w:p>
      <w:pPr>
        <w:pStyle w:val="ListNumber"/>
      </w:pPr>
      <w:r/>
      <w:r>
        <w:rPr>
          <w:b/>
        </w:rPr>
        <w:t>Liaison allostérique au récepteur GABA-A</w:t>
      </w:r>
      <w:r>
        <w:t xml:space="preserve"> sur un site distinct de celui des BZD (les antagonistes BZD comme le flumazénil ne bloquent pas son effet)</w:t>
      </w:r>
    </w:p>
    <w:p>
      <w:pPr>
        <w:pStyle w:val="ListNumber"/>
      </w:pPr>
      <w:r/>
      <w:r>
        <w:rPr>
          <w:b/>
        </w:rPr>
        <w:t>Liaison à la TSPO (Translocator Protein 18 kDa, ex-PBR peripheral benzodiazepine receptor)</w:t>
      </w:r>
      <w:r>
        <w:t xml:space="preserve"> mitochondriale → stimulation de la </w:t>
      </w:r>
      <w:r>
        <w:rPr>
          <w:b/>
        </w:rPr>
        <w:t>transfert cholestérol</w:t>
      </w:r>
      <w:r>
        <w:t xml:space="preserve"> vers la matrice mitochondriale → synthèse accrue de </w:t>
      </w:r>
      <w:r>
        <w:rPr>
          <w:b/>
        </w:rPr>
        <w:t>neurostéroïdes</w:t>
      </w:r>
      <w:r>
        <w:t xml:space="preserve"> (allopregnanolone, pregnenolone) → modulation positive du GABA-A</w:t>
      </w:r>
    </w:p>
    <w:p>
      <w:r>
        <w:t>Ce double mécanisme explique l'anxiolyse sans sédation excessive, sans amnésie antérograde, sans risque de dépendance.</w:t>
      </w:r>
    </w:p>
    <w:p>
      <w:pPr>
        <w:pStyle w:val="Heading2"/>
      </w:pPr>
      <w:r>
        <w:t>Sous-classe 5 — Anxiolytiques - Carbamates</w:t>
      </w:r>
    </w:p>
    <w:p>
      <w:pPr>
        <w:pStyle w:val="Heading3"/>
      </w:pPr>
      <w:r>
        <w:t>Définition et positionnement</w:t>
      </w:r>
    </w:p>
    <w:p>
      <w:r>
        <w:t xml:space="preserve">Les carbamates représentent une classe historique d'anxiolytiques, dont le chef de file est le </w:t>
      </w:r>
      <w:r>
        <w:rPr>
          <w:b/>
        </w:rPr>
        <w:t>méprobamate</w:t>
      </w:r>
      <w:r>
        <w:t xml:space="preserve"> (Miltown® historique, Equanil® en Algérie — retiré). Synthétisé en 1955, le méprobamate a précédé les benzodiazépines comme traitement de référence de l'anxiété, mais a été largement supplanté en raison de son index thérapeutique étroit, de son potentiel de dépendance, et surtout de sa </w:t>
      </w:r>
      <w:r>
        <w:rPr>
          <w:b/>
        </w:rPr>
        <w:t>toxicité majeure en surdosage</w:t>
      </w:r>
      <w:r>
        <w:t xml:space="preserve"> (dépression respiratoire, hypotension, coma).</w:t>
      </w:r>
    </w:p>
    <w:p>
      <w:r>
        <w:t xml:space="preserve">En Algérie, le méprobamate est recensé sous plusieurs marques (Equanil, Calmex, Mepronova, Kaologeais) — toutes actuellement </w:t>
      </w:r>
      <w:r>
        <w:rPr>
          <w:b/>
        </w:rPr>
        <w:t>retirées du marché</w:t>
      </w:r>
      <w:r>
        <w:t xml:space="preserve"> ou non renouvelées. La classe est donc essentiellement mentionnée à titre historique et pour le diagnostic des intoxications médicamenteuses volontaires.</w:t>
      </w:r>
    </w:p>
    <w:p>
      <w:pPr>
        <w:pStyle w:val="Heading3"/>
      </w:pPr>
      <w:r>
        <w:t>Mécanisme</w:t>
      </w:r>
    </w:p>
    <w:p>
      <w:r>
        <w:t xml:space="preserve">Le méprobamate est un </w:t>
      </w:r>
      <w:r>
        <w:rPr>
          <w:b/>
        </w:rPr>
        <w:t>dépresseur du SNC</w:t>
      </w:r>
      <w:r>
        <w:t xml:space="preserve"> de type barbiturique-like. Il potentialise l'inhibition GABAergique en augmentant la durée d'ouverture du canal chlore du récepteur GABA-A, à la manière des barbituriques. Il a également une action inhibitrice sur la transmission polysynaptique médullaire, à l'origine d'un effet myorelaxant.</w:t>
      </w:r>
    </w:p>
    <w:p>
      <w:pPr>
        <w:pStyle w:val="Heading3"/>
      </w:pPr>
      <w:r>
        <w:t>Particularités</w:t>
      </w:r>
    </w:p>
    <w:p>
      <w:pPr>
        <w:pStyle w:val="ListBullet"/>
      </w:pPr>
      <w:r/>
      <w:r>
        <w:rPr>
          <w:b/>
        </w:rPr>
        <w:t>Demi-vie</w:t>
      </w:r>
      <w:r>
        <w:t xml:space="preserve"> : 6–17 heures</w:t>
      </w:r>
    </w:p>
    <w:p>
      <w:pPr>
        <w:pStyle w:val="ListBullet"/>
      </w:pPr>
      <w:r/>
      <w:r>
        <w:rPr>
          <w:b/>
        </w:rPr>
        <w:t>Métabolisme</w:t>
      </w:r>
      <w:r>
        <w:t xml:space="preserve"> : hépatique (hydroxylation et glucuronidation)</w:t>
      </w:r>
    </w:p>
    <w:p>
      <w:pPr>
        <w:pStyle w:val="ListBullet"/>
      </w:pPr>
      <w:r/>
      <w:r>
        <w:rPr>
          <w:b/>
        </w:rPr>
        <w:t>Élimination</w:t>
      </w:r>
      <w:r>
        <w:t xml:space="preserve"> : rénale (10–20 % sous forme inchangée)</w:t>
      </w:r>
    </w:p>
    <w:p>
      <w:pPr>
        <w:pStyle w:val="ListBullet"/>
      </w:pPr>
      <w:r/>
      <w:r>
        <w:rPr>
          <w:b/>
        </w:rPr>
        <w:t>Surveillance</w:t>
      </w:r>
      <w:r>
        <w:t xml:space="preserve"> : hépatique et rénale</w:t>
      </w:r>
    </w:p>
    <w:p>
      <w:pPr>
        <w:pStyle w:val="ListBullet"/>
      </w:pPr>
      <w:r/>
      <w:r>
        <w:rPr>
          <w:b/>
        </w:rPr>
        <w:t>Toxicité en surdosage</w:t>
      </w:r>
      <w:r>
        <w:t xml:space="preserve"> : coma, dépression respiratoire, hypotension, arythmies — absence d'antidote spécifique (hémodialyse possible)</w:t>
      </w:r>
    </w:p>
    <w:p>
      <w:pPr>
        <w:pStyle w:val="Heading2"/>
      </w:pPr>
      <w:r>
        <w:t>Sous-classe 6 — Hypnotiques - Benzodiazépines hypnotiques</w:t>
      </w:r>
    </w:p>
    <w:p>
      <w:pPr>
        <w:pStyle w:val="Heading3"/>
      </w:pPr>
      <w:r>
        <w:t>Définition et positionnement</w:t>
      </w:r>
    </w:p>
    <w:p>
      <w:r>
        <w:t>Les benzodiazépines hypnotiques sont spécifiquement indiquées dans le traitement de l'insomnie, en privilégiant des molécules à demi-vie courte ou intermédiaire pour limiter les effets résiduels (sédation diurne, troubles de la vigilance). En Algérie, deux molécules sont recensées :</w:t>
      </w:r>
    </w:p>
    <w:p>
      <w:pPr>
        <w:pStyle w:val="ListBullet"/>
      </w:pPr>
      <w:r/>
      <w:r>
        <w:rPr>
          <w:b/>
        </w:rPr>
        <w:t>Flunitrazépam</w:t>
      </w:r>
      <w:r>
        <w:t xml:space="preserve"> (Rohypnol® historique — retiré, Insom® retiré)</w:t>
      </w:r>
    </w:p>
    <w:p>
      <w:pPr>
        <w:pStyle w:val="ListBullet"/>
      </w:pPr>
      <w:r/>
      <w:r>
        <w:rPr>
          <w:b/>
        </w:rPr>
        <w:t>Nitrazépam</w:t>
      </w:r>
      <w:r>
        <w:t xml:space="preserve"> (Arem, Nitraz, Nazepam — retirés ou non renouvelables)</w:t>
      </w:r>
    </w:p>
    <w:p>
      <w:pPr>
        <w:pStyle w:val="Heading3"/>
      </w:pPr>
      <w:r>
        <w:t>Statut réglementaire particulier du flunitrazépam</w:t>
      </w:r>
    </w:p>
    <w:p>
      <w:r>
        <w:t xml:space="preserve">Le </w:t>
      </w:r>
      <w:r>
        <w:rPr>
          <w:b/>
        </w:rPr>
        <w:t>flunitrazépam</w:t>
      </w:r>
      <w:r>
        <w:t xml:space="preserve"> est classé comme </w:t>
      </w:r>
      <w:r>
        <w:rPr>
          <w:b/>
        </w:rPr>
        <w:t>stupéfiant</w:t>
      </w:r>
      <w:r>
        <w:t xml:space="preserve"> dans la quasi-totalité des pays en raison de son utilisation comme « drogue du viol » (soumission chimique) et de son mésusage comme psychotrope. En Algérie, il est inscrit sur la liste des stupéfiants, et son inscription sur ordonnance doit comporter les mentions obligatoires (nom, quantité en toutes lettres). Le Rohypnol® a été retiré du marché français en 2001 et algérien par la suite. Les spécialités subsistantes (Insom) sont également retirées. Le flunitrazépam n'est donc pratiquement plus disponible en pratique clinique courante, mais figure dans le chapitre pour mémoire et pour le diagnostic toxicologique.</w:t>
      </w:r>
    </w:p>
    <w:p>
      <w:pPr>
        <w:pStyle w:val="Heading3"/>
      </w:pPr>
      <w:r>
        <w:t>Mécanisme</w:t>
      </w:r>
    </w:p>
    <w:p>
      <w:r>
        <w:t>Identique aux autres BZD, avec une prédominance d'action sur la sous-unité α1 (effet sédatif/hypnotique/amnésiant), et un profil d'action rapide par voie orale (15–30 min), avec pic plasmatique à 1 h.</w:t>
      </w:r>
    </w:p>
    <w:p>
      <w:pPr>
        <w:pStyle w:val="Heading3"/>
      </w:pPr>
      <w:r>
        <w:t>Règles de prescription</w:t>
      </w:r>
    </w:p>
    <w:p>
      <w:pPr>
        <w:pStyle w:val="ListBullet"/>
      </w:pPr>
      <w:r/>
      <w:r>
        <w:rPr>
          <w:b/>
        </w:rPr>
        <w:t>Durée maximale</w:t>
      </w:r>
      <w:r>
        <w:t xml:space="preserve"> : 4 semaines (HAS), réévaluation systématique</w:t>
      </w:r>
    </w:p>
    <w:p>
      <w:pPr>
        <w:pStyle w:val="ListBullet"/>
      </w:pPr>
      <w:r/>
      <w:r>
        <w:rPr>
          <w:b/>
        </w:rPr>
        <w:t>Recherche systématique</w:t>
      </w:r>
      <w:r>
        <w:t xml:space="preserve"> d'une cause à l'insomnie (dépression, anxiété, douleur, syndrome d'apnée du sommeil)</w:t>
      </w:r>
    </w:p>
    <w:p>
      <w:pPr>
        <w:pStyle w:val="ListBullet"/>
      </w:pPr>
      <w:r/>
      <w:r>
        <w:rPr>
          <w:b/>
        </w:rPr>
        <w:t>Contre-indication absolue</w:t>
      </w:r>
      <w:r>
        <w:t xml:space="preserve"> : myasthénie, insuffisance respiratoire sévère, syndrome d'apnée du sommeil, insuffisance hépatique sévère</w:t>
      </w:r>
    </w:p>
    <w:p>
      <w:pPr>
        <w:pStyle w:val="ListBullet"/>
      </w:pPr>
      <w:r/>
      <w:r>
        <w:rPr>
          <w:b/>
        </w:rPr>
        <w:t>Sujets âgés</w:t>
      </w:r>
      <w:r>
        <w:t xml:space="preserve"> : à éviter en raison du risque de chutes, de fractures du col fémoral et de troubles cognitifs</w:t>
      </w:r>
    </w:p>
    <w:p>
      <w:pPr>
        <w:pStyle w:val="Heading2"/>
      </w:pPr>
      <w:r>
        <w:t>Sous-classe 7 — Hypnotiques - Agonistes sélectifs ω1 (non-benzodiazépines)</w:t>
      </w:r>
    </w:p>
    <w:p>
      <w:pPr>
        <w:pStyle w:val="Heading3"/>
      </w:pPr>
      <w:r>
        <w:t>Définition et positionnement</w:t>
      </w:r>
    </w:p>
    <w:p>
      <w:r>
        <w:t xml:space="preserve">Les agonistes sélectifs ω1 (ou « médicaments Z ») sont une classe d'hypnotiques non benzodiazépines, apparus dans les années 1980–1990 pour répondre à la demande d'hypnotiques plus sûrs que les BZD longue durée. Le chef de file et seul représentant recensé en Algérie est le </w:t>
      </w:r>
      <w:r>
        <w:rPr>
          <w:b/>
        </w:rPr>
        <w:t>zolpidem</w:t>
      </w:r>
      <w:r>
        <w:t xml:space="preserve"> (Stilnox®, Evozolpidem, Zolidrate).</w:t>
      </w:r>
    </w:p>
    <w:p>
      <w:pPr>
        <w:pStyle w:val="Heading3"/>
      </w:pPr>
      <w:r>
        <w:t>Mécanisme sélectif</w:t>
      </w:r>
    </w:p>
    <w:p>
      <w:r>
        <w:t xml:space="preserve">Le zolpidem est un </w:t>
      </w:r>
      <w:r>
        <w:rPr>
          <w:b/>
        </w:rPr>
        <w:t>agoniste sélectif du site ω1</w:t>
      </w:r>
      <w:r>
        <w:t xml:space="preserve"> du récepteur GABA-A, correspondant à la sous-unité α1. Cette sélectivité explique :</w:t>
      </w:r>
    </w:p>
    <w:p>
      <w:pPr>
        <w:pStyle w:val="ListBullet"/>
      </w:pPr>
      <w:r>
        <w:t xml:space="preserve">Un effet </w:t>
      </w:r>
      <w:r>
        <w:rPr>
          <w:b/>
        </w:rPr>
        <w:t>purement sédatif/hypnotique</w:t>
      </w:r>
      <w:r>
        <w:t>, sans effet anxiolytique, myorelaxant ou anticonvulsivant marqué</w:t>
      </w:r>
    </w:p>
    <w:p>
      <w:pPr>
        <w:pStyle w:val="ListBullet"/>
      </w:pPr>
      <w:r>
        <w:t xml:space="preserve">Une </w:t>
      </w:r>
      <w:r>
        <w:rPr>
          <w:b/>
        </w:rPr>
        <w:t>demi-vie courte</w:t>
      </w:r>
      <w:r>
        <w:t xml:space="preserve"> (~2–3 h), permettant un sommeil nocturne complet avec réveil matinal sans sédation résiduelle</w:t>
      </w:r>
    </w:p>
    <w:p>
      <w:pPr>
        <w:pStyle w:val="ListBullet"/>
      </w:pPr>
      <w:r>
        <w:t xml:space="preserve">Un </w:t>
      </w:r>
      <w:r>
        <w:rPr>
          <w:b/>
        </w:rPr>
        <w:t>délai d'action rapide</w:t>
      </w:r>
      <w:r>
        <w:t xml:space="preserve"> (15–30 min)</w:t>
      </w:r>
    </w:p>
    <w:p>
      <w:pPr>
        <w:pStyle w:val="ListBullet"/>
      </w:pPr>
      <w:r>
        <w:t xml:space="preserve">Une </w:t>
      </w:r>
      <w:r>
        <w:rPr>
          <w:b/>
        </w:rPr>
        <w:t>biodisponibilité orale</w:t>
      </w:r>
      <w:r>
        <w:t xml:space="preserve"> de 70 %</w:t>
      </w:r>
    </w:p>
    <w:p>
      <w:pPr>
        <w:pStyle w:val="ListBullet"/>
      </w:pPr>
      <w:r>
        <w:t xml:space="preserve">Un </w:t>
      </w:r>
      <w:r>
        <w:rPr>
          <w:b/>
        </w:rPr>
        <w:t>métabolisme hépatique</w:t>
      </w:r>
      <w:r>
        <w:t xml:space="preserve"> par CYP3A4 (interactions avec les inhibiteurs / inducteurs enzymatiques)</w:t>
      </w:r>
    </w:p>
    <w:p>
      <w:pPr>
        <w:pStyle w:val="Heading3"/>
      </w:pPr>
      <w:r>
        <w:t>Règles de prescription</w:t>
      </w:r>
    </w:p>
    <w:p>
      <w:pPr>
        <w:pStyle w:val="ListBullet"/>
      </w:pPr>
      <w:r/>
      <w:r>
        <w:rPr>
          <w:b/>
        </w:rPr>
        <w:t>Indication</w:t>
      </w:r>
      <w:r>
        <w:t xml:space="preserve"> : insomnie transitoire, situationnelle ou chronique, après échec des mesures d'hygiène de sommeil</w:t>
      </w:r>
    </w:p>
    <w:p>
      <w:pPr>
        <w:pStyle w:val="ListBullet"/>
      </w:pPr>
      <w:r/>
      <w:r>
        <w:rPr>
          <w:b/>
        </w:rPr>
        <w:t>Durée maximale</w:t>
      </w:r>
      <w:r>
        <w:t xml:space="preserve"> : 4 semaines (incluant la période de décroissance)</w:t>
      </w:r>
    </w:p>
    <w:p>
      <w:pPr>
        <w:pStyle w:val="ListBullet"/>
      </w:pPr>
      <w:r/>
      <w:r>
        <w:rPr>
          <w:b/>
        </w:rPr>
        <w:t>Posologie adulte</w:t>
      </w:r>
      <w:r>
        <w:t xml:space="preserve"> : 10 mg au coucher (5 mg chez le sujet âgé, l'insuffisant hépatique)</w:t>
      </w:r>
    </w:p>
    <w:p>
      <w:pPr>
        <w:pStyle w:val="ListBullet"/>
      </w:pPr>
      <w:r/>
      <w:r>
        <w:rPr>
          <w:b/>
        </w:rPr>
        <w:t>Prise</w:t>
      </w:r>
      <w:r>
        <w:t xml:space="preserve"> : au coucher, immédiatement avant de se mettre au lit (effet en 15–30 min)</w:t>
      </w:r>
    </w:p>
    <w:p>
      <w:pPr>
        <w:pStyle w:val="ListBullet"/>
      </w:pPr>
      <w:r/>
      <w:r>
        <w:rPr>
          <w:b/>
        </w:rPr>
        <w:t>Surveillance</w:t>
      </w:r>
      <w:r>
        <w:t xml:space="preserve"> : troubles de mémoire, comportements complexes pendant le sommeil (somnambulisme, conduite automobile non intentionnelle), dépendance psychique</w:t>
      </w:r>
    </w:p>
    <w:p>
      <w:pPr>
        <w:pStyle w:val="Heading2"/>
      </w:pPr>
      <w:r>
        <w:t>1. DCI : Diazépam (Seule)</w:t>
      </w:r>
    </w:p>
    <w:p>
      <w:r/>
      <w:r>
        <w:rPr>
          <w:b/>
        </w:rPr>
        <w:t>Liste des Catégories :</w:t>
      </w:r>
      <w:r>
        <w:t xml:space="preserve"> Anxiolytiques — Benzodiazépines (anxiolytiques) ; Liste I (substance vénéneuse).</w:t>
      </w:r>
    </w:p>
    <w:p>
      <w:r>
        <w:t xml:space="preserve">Le diazépam, commercialisé historiquement sous le nom de Valium® par Hoffmann-La Roche dès 1963, est la benzodiazépine de référence à longue durée d'action. Sa demi-vie d'élimination propre est de 20 à 50 heures, mais il est métabolisé en </w:t>
      </w:r>
      <w:r>
        <w:rPr>
          <w:b/>
        </w:rPr>
        <w:t>trois métabolites actifs</w:t>
      </w:r>
      <w:r>
        <w:t xml:space="preserve"> (nordazépam / désméthyldiazépam, oxazépam, témazépam) dont la demi-vie peut atteindre 100 heures. Cette accumulation explique l'effet anxiolytique prolongé et la sédation diurne résiduelle observée en cas d'usage répété. Le diazépam est largement utilisé en Algérie comme anxiolytique de première intention, en traitement des sevrages alcoolique et benzodiazépinique, comme myorelaxant en cas de spasmes musculaires, et dans certaines crises convulsives (état de mal épileptique en IV lente). Sa liposolubilité élevée explique le délai d'action court (15–30 min en orale, 1–5 min en IV) et sa large distribution cérébrale.</w:t>
      </w:r>
    </w:p>
    <w:p>
      <w:r/>
      <w:r>
        <w:rPr>
          <w:b/>
        </w:rPr>
        <w:t>Médicaments disponibles en Algérie (Marques, Laboratoires, Formes et Dosages) :</w:t>
      </w:r>
      <w:r/>
    </w:p>
    <w:p>
      <w:pPr>
        <w:pStyle w:val="ListBullet"/>
      </w:pPr>
      <w:r/>
      <w:r>
        <w:rPr>
          <w:b/>
        </w:rPr>
        <w:t>VALOXIUM</w:t>
      </w:r>
      <w:r>
        <w:t xml:space="preserve"> (LES LABORATOIRES FRATER RAZES)</w:t>
      </w:r>
    </w:p>
    <w:p>
      <w:pPr>
        <w:pStyle w:val="ListBullet"/>
      </w:pPr>
      <w:r>
        <w:t>Formes et Dosages : Solution injectable IM, IV lente/perfusion ou intrarectale 10 mg/2 mL — B/10 de 2 mL</w:t>
      </w:r>
    </w:p>
    <w:p>
      <w:pPr>
        <w:pStyle w:val="ListBullet"/>
      </w:pPr>
      <w:r>
        <w:t>Statut : Actif</w:t>
      </w:r>
    </w:p>
    <w:p>
      <w:pPr>
        <w:pStyle w:val="ListBullet"/>
      </w:pPr>
      <w:r/>
      <w:r>
        <w:rPr>
          <w:b/>
        </w:rPr>
        <w:t>VALZEPAM</w:t>
      </w:r>
      <w:r>
        <w:t xml:space="preserve"> (GROUPE SAIDAL)</w:t>
      </w:r>
    </w:p>
    <w:p>
      <w:pPr>
        <w:pStyle w:val="ListBullet"/>
      </w:pPr>
      <w:r>
        <w:t>Formes et Dosages : Solution injectable 10 mg/2 mL — B/50 de 2 mL (Actif) ; Comprimé 5 mg — B/20 (Non Renouvelable) ; Comprimé 10 mg — B/20 (Non Renouvelable)</w:t>
      </w:r>
    </w:p>
    <w:p>
      <w:pPr>
        <w:pStyle w:val="ListBullet"/>
      </w:pPr>
      <w:r>
        <w:t>Statut : Injectables Actifs ; Comprimés Non Renouvelables</w:t>
      </w:r>
    </w:p>
    <w:p>
      <w:pPr>
        <w:pStyle w:val="ListBullet"/>
      </w:pPr>
      <w:r/>
      <w:r>
        <w:rPr>
          <w:b/>
        </w:rPr>
        <w:t>XAVEL</w:t>
      </w:r>
      <w:r>
        <w:t xml:space="preserve"> (BIOGALENIC)</w:t>
      </w:r>
    </w:p>
    <w:p>
      <w:pPr>
        <w:pStyle w:val="ListBullet"/>
      </w:pPr>
      <w:r>
        <w:t>Formes et Dosages : Solution buvable 1 % (10 mg/mL) — Flacon compte-gouttes de 20 mL</w:t>
      </w:r>
    </w:p>
    <w:p>
      <w:pPr>
        <w:pStyle w:val="ListBullet"/>
      </w:pPr>
      <w:r>
        <w:t>Statut : Actif</w:t>
      </w:r>
    </w:p>
    <w:p>
      <w:pPr>
        <w:pStyle w:val="ListBullet"/>
      </w:pPr>
      <w:r/>
      <w:r>
        <w:rPr>
          <w:b/>
        </w:rPr>
        <w:t>DIAZEPAM</w:t>
      </w:r>
      <w:r>
        <w:t xml:space="preserve"> (RENAUDIN)</w:t>
      </w:r>
    </w:p>
    <w:p>
      <w:pPr>
        <w:pStyle w:val="ListBullet"/>
      </w:pPr>
      <w:r>
        <w:t>Formes et Dosages : Solution injectable 10 mg/2 mL — B/10 (Non Renouvelable) ; Solution buvable gouttes 0,01 — Flacon 20 mL (Non Renouvelable)</w:t>
      </w:r>
    </w:p>
    <w:p>
      <w:pPr>
        <w:pStyle w:val="ListBullet"/>
      </w:pPr>
      <w:r>
        <w:t>Statut : Non Renouvelable</w:t>
      </w:r>
    </w:p>
    <w:p>
      <w:pPr>
        <w:pStyle w:val="ListBullet"/>
      </w:pPr>
      <w:r/>
      <w:r>
        <w:rPr>
          <w:b/>
        </w:rPr>
        <w:t>NOVAPAM</w:t>
      </w:r>
      <w:r>
        <w:t xml:space="preserve"> (NOVA ARGENTIA)</w:t>
      </w:r>
    </w:p>
    <w:p>
      <w:pPr>
        <w:pStyle w:val="ListBullet"/>
      </w:pPr>
      <w:r>
        <w:t>Formes et Dosages : Comprimé 5 mg — B/40 (Non Renouvelable) ; Comprimé 2 mg — B/40 (Retiré) ; Comprimé 10 mg — B/20 (Retiré)</w:t>
      </w:r>
    </w:p>
    <w:p>
      <w:pPr>
        <w:pStyle w:val="ListBullet"/>
      </w:pPr>
      <w:r>
        <w:t>Statut : Non Renouvelable / Retiré (R)</w:t>
      </w:r>
    </w:p>
    <w:p>
      <w:pPr>
        <w:pStyle w:val="ListBullet"/>
      </w:pPr>
      <w:r/>
      <w:r>
        <w:rPr>
          <w:b/>
        </w:rPr>
        <w:t>VALIUM</w:t>
      </w:r>
      <w:r>
        <w:t xml:space="preserve"> (ROCHE)</w:t>
      </w:r>
    </w:p>
    <w:p>
      <w:pPr>
        <w:pStyle w:val="ListBullet"/>
      </w:pPr>
      <w:r>
        <w:t>Formes et Dosages : Solution injectable 10 mg/2 mL — B/6 (Retiré) ; Comprimé sécable 2 mg — B/40 (Retiré) ; Comprimé sécable 5 mg — B/40 (Retiré) ; Solution buvable gouttes 0,01 — Flacon 20 mL (Retiré)</w:t>
      </w:r>
    </w:p>
    <w:p>
      <w:pPr>
        <w:pStyle w:val="ListBullet"/>
      </w:pPr>
      <w:r>
        <w:t>Statut : Retiré (R)</w:t>
      </w:r>
    </w:p>
    <w:p>
      <w:pPr>
        <w:pStyle w:val="ListBullet"/>
      </w:pPr>
      <w:r/>
      <w:r>
        <w:rPr>
          <w:b/>
        </w:rPr>
        <w:t>PAX</w:t>
      </w:r>
      <w:r>
        <w:t xml:space="preserve"> (PHARMACARE LIMITED)</w:t>
      </w:r>
    </w:p>
    <w:p>
      <w:pPr>
        <w:pStyle w:val="ListBullet"/>
      </w:pPr>
      <w:r>
        <w:t>Formes et Dosages : Solution injectable 10 mg/2 mL — B/10</w:t>
      </w:r>
    </w:p>
    <w:p>
      <w:pPr>
        <w:pStyle w:val="ListBullet"/>
      </w:pPr>
      <w:r>
        <w:t>Statut : Retiré (R)</w:t>
      </w:r>
    </w:p>
    <w:p>
      <w:pPr>
        <w:pStyle w:val="ListBullet"/>
      </w:pPr>
      <w:r/>
      <w:r>
        <w:rPr>
          <w:b/>
        </w:rPr>
        <w:t>DIAZEPAM-RATIOPHARM</w:t>
      </w:r>
      <w:r>
        <w:t xml:space="preserve"> (LAFON RATIOPHARM)</w:t>
      </w:r>
    </w:p>
    <w:p>
      <w:pPr>
        <w:pStyle w:val="ListBullet"/>
      </w:pPr>
      <w:r>
        <w:t>Formes et Dosages : Comprimé 2 mg — B/40 ; Comprimé 5 mg — B/40 ; Comprimé 10 mg — B/30</w:t>
      </w:r>
    </w:p>
    <w:p>
      <w:pPr>
        <w:pStyle w:val="ListBullet"/>
      </w:pPr>
      <w:r>
        <w:t>Statut : Retiré (R)</w:t>
      </w:r>
    </w:p>
    <w:p>
      <w:pPr>
        <w:pStyle w:val="ListBullet"/>
      </w:pPr>
      <w:r/>
      <w:r>
        <w:rPr>
          <w:b/>
        </w:rPr>
        <w:t>DIAZAL 5</w:t>
      </w:r>
      <w:r>
        <w:t xml:space="preserve"> (MEDICUBA) — Comprimé 5 mg — B/30 — Retiré (R)</w:t>
      </w:r>
    </w:p>
    <w:p>
      <w:pPr>
        <w:pStyle w:val="ListBullet"/>
      </w:pPr>
      <w:r/>
      <w:r>
        <w:rPr>
          <w:b/>
        </w:rPr>
        <w:t>DIAZAL 10</w:t>
      </w:r>
      <w:r>
        <w:t xml:space="preserve"> (MEDICUBA) — Comprimé 10 mg — B/30 — Retiré (R)</w:t>
      </w:r>
    </w:p>
    <w:p>
      <w:pPr>
        <w:pStyle w:val="ListBullet"/>
      </w:pPr>
      <w:r/>
      <w:r>
        <w:rPr>
          <w:b/>
        </w:rPr>
        <w:t>LIZAM</w:t>
      </w:r>
      <w:r>
        <w:t xml:space="preserve"> (GROUPE SANTE) — Comprimé 10 mg — B/20 — Retiré (R)</w:t>
      </w:r>
    </w:p>
    <w:p>
      <w:r/>
      <w:r>
        <w:rPr>
          <w:b/>
        </w:rPr>
        <w:t>Sous-classe et Mécanisme d'action :</w:t>
      </w:r>
      <w:r/>
    </w:p>
    <w:p>
      <w:pPr>
        <w:pStyle w:val="ListBullet"/>
      </w:pPr>
      <w:r>
        <w:t>Sous-classe : Benzodiazépine anxiolytique de longue durée d'action, classée N05BA01 dans la classification ATC de l'OMS. Elle constitue la molécule de référence pour la comparaison pharmacologique des autres BZD.</w:t>
      </w:r>
    </w:p>
    <w:p>
      <w:pPr>
        <w:pStyle w:val="ListBullet"/>
      </w:pPr>
      <w:r>
        <w:t>Mécanisme d'action : Modulateur allostérique positif du récepteur GABA-A. Le diazépam se fixe sur le site ω (interface entre sous-unités α et γ du récepteur pentamérique GABA-A) et potentialise l'action inhibitrice du GABA endogène. Plus précisément, il augmente la fréquence d'ouverture du canal chlore sans l'ouvrir directement, ce qui provoque une hyperpolarisation de la membrane postsynaptique et réduit l'excitabilité neuronale. L'effet anxiolytique est médié par les sous-unités α2 et α3 (système limbique), tandis que l'effet sédatif et amnésiant est lié à la sous-unité α1. Le diazépam exerce les cinq effets classiques des BZD : anxiolytique, sédatif-hypnotique, myorelaxant, anticonvulsivant et amnésiant.</w:t>
      </w:r>
    </w:p>
    <w:p>
      <w:r/>
      <w:r>
        <w:rPr>
          <w:b/>
        </w:rPr>
        <w:t>Profil Pharmacologique :</w:t>
      </w:r>
      <w:r/>
    </w:p>
    <w:p>
      <w:pPr>
        <w:pStyle w:val="ListBullet"/>
      </w:pPr>
      <w:r>
        <w:t>Indications : Traitement de l'anxiété généralisée et des crises d'angoisse, traitement adjuvant du sevrage alcoolique (prévention du delirium tremens), myorelaxation en cas de spasmes musculaires aigus, traitement de certaines crises convulsives (état de mal épileptique en IV), prémédication à des actes médicaux (endoscopie, gestes courts). La durée du traitement doit être aussi brève que possible, idéalement 4 à 12 semaines y compris la période d'arrêt progressif.</w:t>
      </w:r>
    </w:p>
    <w:p>
      <w:pPr>
        <w:pStyle w:val="ListBullet"/>
      </w:pPr>
      <w:r>
        <w:t>Contre-indications : Myasthénie (CI absolue — aggravation par effet myorelaxant), insuffisance respiratoire sévère, syndrome d'apnée du sommeil, insuffisance hépatique sévère (risque d'encéphalopathie), glaucome aigu par fermeture de l'angle, allergie aux benzodiazépines. L'association avec les opioïdes est une mise en garde majeure en raison du risque de dépression respiratoire mortelle.</w:t>
      </w:r>
    </w:p>
    <w:p>
      <w:pPr>
        <w:pStyle w:val="ListBullet"/>
      </w:pPr>
      <w:r>
        <w:t>Effets Indésirables : Sédation diurne, somnolence, sensations d'ivresse, ataxie, dysarthrie, troubles de la mémoire antérograde (amnésie surtout en cas de prise nocturne), confusion chez le sujet âgé, hypotonie musculaire, réactions paradoxales (agitation, agressivité, insomnie), dépendance physique et psychologique après 4 à 12 semaines d'usage régulier, syndrome de sevrage à l'arrêt brutal (anxiété rebond, insomnie de rebond, tremblements, convulsions, délire). Les effets dose-dépendants sont majorés par l'alcool.</w:t>
      </w:r>
    </w:p>
    <w:p>
      <w:r/>
      <w:r>
        <w:rPr>
          <w:b/>
        </w:rPr>
        <w:t>Prévention et Gestion des Effets Indésirables :</w:t>
      </w:r>
      <w:r/>
    </w:p>
    <w:p>
      <w:pPr>
        <w:pStyle w:val="ListBullet"/>
      </w:pPr>
      <w:r>
        <w:t>Mesures Préventives : Limiter la durée de prescription à 4–12 semaines maximum (HAS), prescrire la dose minimale efficace, fractionner les prises (matin, midi, soir) plutôt qu'une dose unique majeure, éviter la prise nocturne pour limiter l'amnésie antérograde et les chutes nocturnes, informer explicitement le patient sur les risques de dépendance et de sevrage, évaluer la situation psychosociale avant prescription, privilégier les thérapies cognitivo-comportementales associées. Chez le sujet âgé : réduire la dose de moitié, surveiller les fonctions cognitives, l'équilibre et le risque de chute.</w:t>
      </w:r>
    </w:p>
    <w:p>
      <w:pPr>
        <w:pStyle w:val="ListBullet"/>
      </w:pPr>
      <w:r>
        <w:t xml:space="preserve">Conduite à Tenir : En cas d'usage prolongé au-delà de 12 semaines, organiser un arrêt progressif sur 4 à 10 semaines par paliers de 1/8 à 1/4 de la dose initiale, avec un suivi médical régulier. En cas de surdosage aigu (coma, dépression respiratoire) : antidote spécifique </w:t>
      </w:r>
      <w:r>
        <w:rPr>
          <w:b/>
        </w:rPr>
        <w:t>flumazénil</w:t>
      </w:r>
      <w:r>
        <w:t xml:space="preserve"> (Anexate®) en IV à la dose de 0,2 mg puis 0,1 mg/min jusqu'à 1 mg maximum (attention au risque de déclenchement de convulsions chez le patient dépendant ou en cas d'intoxication mixte). Hospitalisation pour surveillance, surtout en cas d'association à d'autres dépresseurs du SNC.</w:t>
      </w:r>
    </w:p>
    <w:p>
      <w:r/>
      <w:r>
        <w:rPr>
          <w:b/>
        </w:rPr>
        <w:t>Interactions Importantes :</w:t>
      </w:r>
      <w:r/>
    </w:p>
    <w:p>
      <w:pPr>
        <w:pStyle w:val="ListBullet"/>
      </w:pPr>
      <w:r>
        <w:t>Diazépam + alcool : potentialisation majeure de la sédation et de la dépression respiratoire ; contre-indication absolue de consommation concomitante.</w:t>
      </w:r>
    </w:p>
    <w:p>
      <w:pPr>
        <w:pStyle w:val="ListBullet"/>
      </w:pPr>
      <w:r>
        <w:t>Diazépam + opioïdes (morphine, tramadol, codéine, fentanyl) : risque vital de dépression respiratoire par synergie centrale ; prescription réservée après évaluation et à dose minimale efficace.</w:t>
      </w:r>
    </w:p>
    <w:p>
      <w:pPr>
        <w:pStyle w:val="ListBullet"/>
      </w:pPr>
      <w:r>
        <w:t>Diazépam + autres dépresseurs du SNC (antihistaminiques H1 sédatifs, antipsychotiques, barbituriques, autres BZD) : potentialisation de la sédation.</w:t>
      </w:r>
    </w:p>
    <w:p>
      <w:pPr>
        <w:pStyle w:val="ListBullet"/>
      </w:pPr>
      <w:r>
        <w:t>Diazépam + phénytoïne : diminution de la clairance de la phénytoïne (inhibition CYP2C19), risque de surdosage en phénytoïne.</w:t>
      </w:r>
    </w:p>
    <w:p>
      <w:pPr>
        <w:pStyle w:val="ListBullet"/>
      </w:pPr>
      <w:r>
        <w:t>Diazépam + fluoxétine, fluvoxamine, isoniazide, oméprazole (inhibiteurs CYP2C19) : augmentation des concentrations de diazépam.</w:t>
      </w:r>
    </w:p>
    <w:p>
      <w:pPr>
        <w:pStyle w:val="ListBullet"/>
      </w:pPr>
      <w:r>
        <w:t>Diazépam + rifampicine, carbamazépine, phénobarbital (inducteurs enzymatiques) : diminution de l'efficacité.</w:t>
      </w:r>
    </w:p>
    <w:p>
      <w:pPr>
        <w:pStyle w:val="ListBullet"/>
      </w:pPr>
      <w:r>
        <w:t>Diazépam + probénécide : diminution de la clairance et allongement de la demi-vie.</w:t>
      </w:r>
    </w:p>
    <w:p>
      <w:r/>
      <w:r>
        <w:rPr>
          <w:b/>
        </w:rPr>
        <w:t>Grossesse et Allaitement :</w:t>
      </w:r>
      <w:r/>
    </w:p>
    <w:p>
      <w:pPr>
        <w:pStyle w:val="ListBullet"/>
      </w:pPr>
      <w:r>
        <w:t>Grossesse : À éviter, en particulier au cours du 1er trimestre (risque malformatif — fente labio-palatine discutée) et du 3e trimestre (risque de syndrome de sevrage néonatal, hypotonie, détresse respiratoire, hypothermie, troubles de succion, syndrome de « floppy infant »). Le CRAT recommande un arrêt préférentiel avant la fin de grossesse, en particulier dans les 2 dernières semaines.</w:t>
      </w:r>
    </w:p>
    <w:p>
      <w:pPr>
        <w:pStyle w:val="ListBullet"/>
      </w:pPr>
      <w:r>
        <w:t>Allaitement : Le diazépam et ses métabolites passent massivement dans le lait maternel. Le CRAT recommande de ne pas allaiter sous diazépam, ou de respecter un délai de 24 à 48 h après la dernière prise.</w:t>
      </w:r>
    </w:p>
    <w:p>
      <w:pPr>
        <w:pStyle w:val="ListBullet"/>
      </w:pPr>
      <w:r>
        <w:t>Précisions : En cas de traitement indispensable au long cours chez une femme en âge de procréer, contraception efficace obligatoire. Si découverte de grossesse sous diazépam : ne pas arrêter brutalement (risque de convulsions), envisager un sevrage progressif et une surveillance prénatale spécialisée.</w:t>
      </w:r>
    </w:p>
    <w:p>
      <w:r/>
      <w:r>
        <w:rPr>
          <w:b/>
        </w:rPr>
        <w:t>Posologie et Mode d'administration (Standard) :</w:t>
      </w:r>
      <w:r/>
    </w:p>
    <w:p>
      <w:pPr>
        <w:pStyle w:val="ListBullet"/>
      </w:pPr>
      <w:r>
        <w:t>Adulte : 2 à 10 mg par prise, 2 à 3 fois par jour, soit 5 à 30 mg/jour. Dans le sevrage alcoolique : 10 à 40 mg/jour en适应ation progressive. En IV lente (état de mal) : 10 mg en 2 min, renouvelable une fois après 10 min.</w:t>
      </w:r>
    </w:p>
    <w:p>
      <w:pPr>
        <w:pStyle w:val="ListBullet"/>
      </w:pPr>
      <w:r>
        <w:t>Sujet âgé : demi-dose, soit 2 à 5 mg par prise, en privilégiant une dose minimale efficace.</w:t>
      </w:r>
    </w:p>
    <w:p>
      <w:pPr>
        <w:pStyle w:val="ListBullet"/>
      </w:pPr>
      <w:r>
        <w:t>Enfant : 0,1 à 0,3 mg/kg/jour, sous stricte surveillance médicale pédiatrique.</w:t>
      </w:r>
    </w:p>
    <w:p>
      <w:pPr>
        <w:pStyle w:val="ListBullet"/>
      </w:pPr>
      <w:r>
        <w:t>Durée : 4 à 12 semaines maximum, y compris la période d'arrêt progressif (HAS, ANSM).</w:t>
      </w:r>
    </w:p>
    <w:p>
      <w:pPr>
        <w:pStyle w:val="ListBullet"/>
      </w:pPr>
      <w:r>
        <w:t>Moment de la prise : réparti sur la journée (matin, midi, soir), à distance des repas pour l'absorption optimale, en évitant la prise juste avant le coucher pour limiter l'amnésie antérograde.</w:t>
      </w:r>
    </w:p>
    <w:p>
      <w:r/>
      <w:r>
        <w:rPr>
          <w:b/>
        </w:rPr>
        <w:t>Arbitrage et Bénéfices des Formes Galéniques :</w:t>
      </w:r>
      <w:r/>
    </w:p>
    <w:p>
      <w:pPr>
        <w:pStyle w:val="ListBullet"/>
      </w:pPr>
      <w:r>
        <w:t>Comprimés (2, 5, 10 mg) : forme orale de référence pour les traitements ambulatoires, permet une adaptation posologique fine par sécabilité.</w:t>
      </w:r>
    </w:p>
    <w:p>
      <w:pPr>
        <w:pStyle w:val="ListBullet"/>
      </w:pPr>
      <w:r>
        <w:t>Solution buvable gouttes (10 mg/mL, soit 0,1 mg/goutte) : indiquée pour les posologies faibles, les patients âgés, les enfants, et les situations nécessitant une titration fine (sevrage alcoolique). Précaution au comptoir : bien agiter le flacon, utiliser le compte-gouttes calibré, informer le patient sur l'équivalence gouttes/mg.</w:t>
      </w:r>
    </w:p>
    <w:p>
      <w:pPr>
        <w:pStyle w:val="ListBullet"/>
      </w:pPr>
      <w:r>
        <w:t>Solution injectable IM/IV lente/perfusion/intrarectale : indiquée pour les urgences (état de mal épileptique, agitation aiguë, prémédication, sevrage alcoolique hospitalier). La voie IV doit être lente (5 mg/min) pour éviter l'apnée. La voie IM est mal résorbée et à éviter au profit de la voie IV.</w:t>
      </w:r>
    </w:p>
    <w:p>
      <w:r/>
      <w:r>
        <w:rPr>
          <w:b/>
        </w:rPr>
        <w:t>Instructions et Conseils au Patient :</w:t>
      </w:r>
      <w:r/>
    </w:p>
    <w:p>
      <w:pPr>
        <w:pStyle w:val="ListBullet"/>
      </w:pPr>
      <w:r>
        <w:t>Communication au comptoir : « Ce médicament traite votre anxiété mais n'est qu'une aide temporaire. Le traitement ne doit pas dépasser 12 semaines. Ne l'arrêtez jamais brutalement : il faudra diminuer progressivement. Ne consommez jamais d'alcool pendant le traitement. Évitez la conduite automobile les premiers jours et signalez tout effet indésirable (somnolence excessive, troubles de mémoire, agitation paradoxale). »</w:t>
      </w:r>
    </w:p>
    <w:p>
      <w:pPr>
        <w:pStyle w:val="ListBullet"/>
      </w:pPr>
      <w:r>
        <w:t>Mode d'utilisation pratique : Prendre les comprimés avec un verre d'eau, à heure fixe pour faciliter l'observance. En cas d'oubli, ne pas doubler la dose suivante. Tenir un journal de l'anxiété et du sommeil pour évaluer l'efficacité. Surveiller l'apparition de signes de dépendance (besoin d'augmenter la dose, anxiété à l'oubli d'une prise). Garder le médicament hors de portée des enfants et des personnes vulnérables (risque de mésusage).</w:t>
      </w:r>
    </w:p>
    <w:p>
      <w:r/>
      <w:r>
        <w:rPr>
          <w:b/>
        </w:rPr>
        <w:t>Notes, Règles d'Or &amp; Pièges au Comptoir :</w:t>
      </w:r>
      <w:r/>
    </w:p>
    <w:p>
      <w:pPr>
        <w:pStyle w:val="ListBullet"/>
      </w:pPr>
      <w:r>
        <w:t>Piège classique : La prescription au long cours au-delà de 12 semaines conduit quasi inévitablement à une dépendance physique. L'arrêt brutal peut provoquer des convulsions, un délire voire un syndrome de sevrage sévère. L'association alcool + diazépam potentialise fortement la dépression respiratoire. Le sujet âgé présente un risque accru de chutes, fractures du col fémoral, décompensation cognitive.</w:t>
      </w:r>
    </w:p>
    <w:p>
      <w:pPr>
        <w:pStyle w:val="ListBullet"/>
      </w:pPr>
      <w:r>
        <w:t>Règle de prise : Pas d'automédication, pas de partage avec l'entourage, pas d'association avec alcool ou opioïdes sans avis médical.</w:t>
      </w:r>
    </w:p>
    <w:p>
      <w:pPr>
        <w:pStyle w:val="ListBullet"/>
      </w:pPr>
      <w:r>
        <w:t>Préparation et Conservation : Conserver à température ambiante (&lt; 25 °C), à l'abri de la lumière et de l'humidité. La solution injectable se conserve à l'abri de la lumière. Ne pas congeler.</w:t>
      </w:r>
    </w:p>
    <w:p>
      <w:pPr>
        <w:pStyle w:val="ListBullet"/>
      </w:pPr>
      <w:r>
        <w:t xml:space="preserve">Piège du surdosage / Substitution : En cas de surdosage, le </w:t>
      </w:r>
      <w:r>
        <w:rPr>
          <w:b/>
        </w:rPr>
        <w:t>flumazénil</w:t>
      </w:r>
      <w:r>
        <w:t xml:space="preserve"> (Anexate®) est l'antidote spécifique à utiliser en milieu hospitalier. Attention : chez le patient dépendant chronique, le flumazénil peut déclencher un syndrome de sevrage sévère avec convulsions. Le diazépam ne doit pas être substitué brutalement par une autre BZD sans titration.</w:t>
      </w:r>
    </w:p>
    <w:p>
      <w:pPr>
        <w:pStyle w:val="Heading2"/>
      </w:pPr>
      <w:r>
        <w:t>2. DCI : Lorazépam (Seule)</w:t>
      </w:r>
    </w:p>
    <w:p>
      <w:r/>
      <w:r>
        <w:rPr>
          <w:b/>
        </w:rPr>
        <w:t>Liste des Catégories :</w:t>
      </w:r>
      <w:r>
        <w:t xml:space="preserve"> Anxiolytiques — Benzodiazépines (anxiolytiques) ; Liste I (substance vénéneuse).</w:t>
      </w:r>
    </w:p>
    <w:p>
      <w:r>
        <w:t xml:space="preserve">Le lorazépam est une benzodiazépine anxiolytique de </w:t>
      </w:r>
      <w:r>
        <w:rPr>
          <w:b/>
        </w:rPr>
        <w:t>demi-vie intermédiaire</w:t>
      </w:r>
      <w:r>
        <w:t xml:space="preserve"> (10 à 20 heures), sans métabolite actif, ce qui en fait la molécule de choix chez le sujet âgé et en cas d'insuffisance hépatique. Sa suppression des effets de rebond et son absence d'accumulation en font l'anxiolytique le plus prescrit en pratique courante en Algérie. Le lorazépam est particulièrement indiqué dans les </w:t>
      </w:r>
      <w:r>
        <w:rPr>
          <w:b/>
        </w:rPr>
        <w:t>crises d'angoisse paroxystiques</w:t>
      </w:r>
      <w:r>
        <w:t xml:space="preserve">, les troubles anxieux généralisés, les états d'agitation aiguë, et la prémédication à des actes médicaux courts. Son métabolisme exclusif par </w:t>
      </w:r>
      <w:r>
        <w:rPr>
          <w:b/>
        </w:rPr>
        <w:t>glucuronidation</w:t>
      </w:r>
      <w:r>
        <w:t xml:space="preserve"> (sans oxydation hépatique via CYP450) explique sa sécurité d'emploi en cas d'insuffisance hépatique et l'absence d'interactions métaboliques majeures. La spécialité historique Temesta® est active en Algérie (Laboratoires Salem), ainsi que plusieurs génériques (Lorazepam-AGD, Mapez, Orzepam, Anxienad).</w:t>
      </w:r>
    </w:p>
    <w:p>
      <w:r/>
      <w:r>
        <w:rPr>
          <w:b/>
        </w:rPr>
        <w:t>Médicaments disponibles en Algérie (Marques, Laboratoires, Formes et Dosages) :</w:t>
      </w:r>
      <w:r/>
    </w:p>
    <w:p>
      <w:pPr>
        <w:pStyle w:val="ListBullet"/>
      </w:pPr>
      <w:r/>
      <w:r>
        <w:rPr>
          <w:b/>
        </w:rPr>
        <w:t>ANXIENAD</w:t>
      </w:r>
      <w:r>
        <w:t xml:space="preserve"> (NADPHARMADIC-PRODUCTION)</w:t>
      </w:r>
    </w:p>
    <w:p>
      <w:pPr>
        <w:pStyle w:val="ListBullet"/>
      </w:pPr>
      <w:r>
        <w:t>Formes et Dosages : Comprimé pelliculé sécable 1 mg — B/30</w:t>
      </w:r>
    </w:p>
    <w:p>
      <w:pPr>
        <w:pStyle w:val="ListBullet"/>
      </w:pPr>
      <w:r>
        <w:t>Statut : Actif</w:t>
      </w:r>
    </w:p>
    <w:p>
      <w:pPr>
        <w:pStyle w:val="ListBullet"/>
      </w:pPr>
      <w:r/>
      <w:r>
        <w:rPr>
          <w:b/>
        </w:rPr>
        <w:t>LORAZEPAM - AGD</w:t>
      </w:r>
      <w:r>
        <w:t xml:space="preserve"> (ALGERIAN GENERICS DEVELOPMENT PHARMA)</w:t>
      </w:r>
    </w:p>
    <w:p>
      <w:pPr>
        <w:pStyle w:val="ListBullet"/>
      </w:pPr>
      <w:r>
        <w:t>Formes et Dosages : Comprimé quadri-sécable 1 mg — B/30 ; Comprimé quadri-sécable 2,5 mg — B/30</w:t>
      </w:r>
    </w:p>
    <w:p>
      <w:pPr>
        <w:pStyle w:val="ListBullet"/>
      </w:pPr>
      <w:r>
        <w:t>Statut : Actif</w:t>
      </w:r>
    </w:p>
    <w:p>
      <w:pPr>
        <w:pStyle w:val="ListBullet"/>
      </w:pPr>
      <w:r/>
      <w:r>
        <w:rPr>
          <w:b/>
        </w:rPr>
        <w:t>MAPEZ</w:t>
      </w:r>
      <w:r>
        <w:t xml:space="preserve"> (SARL GROUPE SANTE)</w:t>
      </w:r>
    </w:p>
    <w:p>
      <w:pPr>
        <w:pStyle w:val="ListBullet"/>
      </w:pPr>
      <w:r>
        <w:t>Formes et Dosages : Comprimé sécable 1 mg — B/30 ; Comprimé sécable 2,5 mg — B/30</w:t>
      </w:r>
    </w:p>
    <w:p>
      <w:pPr>
        <w:pStyle w:val="ListBullet"/>
      </w:pPr>
      <w:r>
        <w:t>Statut : Actif</w:t>
      </w:r>
    </w:p>
    <w:p>
      <w:pPr>
        <w:pStyle w:val="ListBullet"/>
      </w:pPr>
      <w:r/>
      <w:r>
        <w:rPr>
          <w:b/>
        </w:rPr>
        <w:t>ORZEPAM</w:t>
      </w:r>
      <w:r>
        <w:t xml:space="preserve"> (GENERIC LAB)</w:t>
      </w:r>
    </w:p>
    <w:p>
      <w:pPr>
        <w:pStyle w:val="ListBullet"/>
      </w:pPr>
      <w:r>
        <w:t>Formes et Dosages : Comprimé 1 mg — B/30 ; Comprimé sécable 2,5 mg — B/30</w:t>
      </w:r>
    </w:p>
    <w:p>
      <w:pPr>
        <w:pStyle w:val="ListBullet"/>
      </w:pPr>
      <w:r>
        <w:t>Statut : Actif</w:t>
      </w:r>
    </w:p>
    <w:p>
      <w:pPr>
        <w:pStyle w:val="ListBullet"/>
      </w:pPr>
      <w:r/>
      <w:r>
        <w:rPr>
          <w:b/>
        </w:rPr>
        <w:t>TEMESTA</w:t>
      </w:r>
      <w:r>
        <w:t xml:space="preserve"> (LABORATOIRES SALEM)</w:t>
      </w:r>
    </w:p>
    <w:p>
      <w:pPr>
        <w:pStyle w:val="ListBullet"/>
      </w:pPr>
      <w:r>
        <w:t>Formes et Dosages : Comprimé sécable 1 mg — B/30 ; Comprimé sécable 2,5 mg — B/30</w:t>
      </w:r>
    </w:p>
    <w:p>
      <w:pPr>
        <w:pStyle w:val="ListBullet"/>
      </w:pPr>
      <w:r>
        <w:t>Statut : Actif</w:t>
      </w:r>
    </w:p>
    <w:p>
      <w:pPr>
        <w:pStyle w:val="ListBullet"/>
      </w:pPr>
      <w:r/>
      <w:r>
        <w:rPr>
          <w:b/>
        </w:rPr>
        <w:t>NEVROSTAT / NEVROSTA</w:t>
      </w:r>
      <w:r>
        <w:t xml:space="preserve"> (GROUPE SAIDAL)</w:t>
      </w:r>
    </w:p>
    <w:p>
      <w:pPr>
        <w:pStyle w:val="ListBullet"/>
      </w:pPr>
      <w:r>
        <w:t>Formes et Dosages : Comprimé sécable 1 mg — B/40 ; Comprimé sécable 2,5 mg — B/40</w:t>
      </w:r>
    </w:p>
    <w:p>
      <w:pPr>
        <w:pStyle w:val="ListBullet"/>
      </w:pPr>
      <w:r>
        <w:t>Statut : Non Renouvelable</w:t>
      </w:r>
    </w:p>
    <w:p>
      <w:pPr>
        <w:pStyle w:val="ListBullet"/>
      </w:pPr>
      <w:r/>
      <w:r>
        <w:rPr>
          <w:b/>
        </w:rPr>
        <w:t>LORANS</w:t>
      </w:r>
      <w:r>
        <w:t xml:space="preserve"> (ALFA WASSERMANN) — Comprimé 1 mg — B/50 ; Comprimé 2,5 mg — B/30 — Retiré (R)</w:t>
      </w:r>
    </w:p>
    <w:p>
      <w:pPr>
        <w:pStyle w:val="ListBullet"/>
      </w:pPr>
      <w:r/>
      <w:r>
        <w:rPr>
          <w:b/>
        </w:rPr>
        <w:t>TRANQUIPAM</w:t>
      </w:r>
      <w:r>
        <w:t xml:space="preserve"> (PHARMACARE LIMITED) — Comprimé 1 mg — B/100 ; Comprimé 2,5 mg — B/100 — Retiré (R)</w:t>
      </w:r>
    </w:p>
    <w:p>
      <w:pPr>
        <w:pStyle w:val="ListBullet"/>
      </w:pPr>
      <w:r/>
      <w:r>
        <w:rPr>
          <w:b/>
        </w:rPr>
        <w:t>LORAZEPAM</w:t>
      </w:r>
      <w:r>
        <w:t xml:space="preserve"> (LABORATOIRE PHARMACEUTIQUE ALGERIEN — LPA) — Comprimé 1 mg — B/50 ; Comprimé 2,5 mg — B/30 — Retiré (R)</w:t>
      </w:r>
    </w:p>
    <w:p>
      <w:pPr>
        <w:pStyle w:val="ListBullet"/>
      </w:pPr>
      <w:r/>
      <w:r>
        <w:rPr>
          <w:b/>
        </w:rPr>
        <w:t>LORAM</w:t>
      </w:r>
      <w:r>
        <w:t xml:space="preserve"> (LEK) — Comprimé 1 mg — B/50 ; Comprimé 2,5 mg — B/30 — Retiré (R)</w:t>
      </w:r>
    </w:p>
    <w:p>
      <w:r/>
      <w:r>
        <w:rPr>
          <w:b/>
        </w:rPr>
        <w:t>Sous-classe et Mécanisme d'action :</w:t>
      </w:r>
      <w:r/>
    </w:p>
    <w:p>
      <w:pPr>
        <w:pStyle w:val="ListBullet"/>
      </w:pPr>
      <w:r>
        <w:t>Sous-classe : Benzodiazépine anxiolytique de demi-vie intermédiaire, classée N05BA06 dans la classification ATC. Sa cinétique sans métabolite actif et sa glucuroconjugaison exclusive en font une molécule de choix chez le sujet âgé et l'insuffisant hépatique.</w:t>
      </w:r>
    </w:p>
    <w:p>
      <w:pPr>
        <w:pStyle w:val="ListBullet"/>
      </w:pPr>
      <w:r>
        <w:t>Mécanisme d'action : Modulateur allostérique positif du récepteur GABA-A. Le lorazépam se fixe sur le site ω du récepteur pentamérique (interface α/γ) et augmente la fréquence d'ouverture du canal chlore en présence de GABA endogène, ce qui hyperpolarise la membrane postsynaptique et réduit l'excitabilité neuronale. L'effet anxiolytique est prédominant (sous-unités α2, α3 du système limbique) avec un effet sédatif modéré. La haute affinité du lorazépam pour les récepteurs GABA-A explique sa puissance clinique (5 à 10 fois plus puissante que le diazépam mg pour mg).</w:t>
      </w:r>
    </w:p>
    <w:p>
      <w:r/>
      <w:r>
        <w:rPr>
          <w:b/>
        </w:rPr>
        <w:t>Profil Pharmacologique :</w:t>
      </w:r>
      <w:r/>
    </w:p>
    <w:p>
      <w:pPr>
        <w:pStyle w:val="ListBullet"/>
      </w:pPr>
      <w:r>
        <w:t>Indications : Traitement de l'anxiété généralisée, des crises d'angoisse paroxystiques (attaques de panique), des troubles anxieux réactionnels, de l'anxiété associée à la dépression (en appoint des antidépresseurs), de l'agitation aiguë (voie IM en urgence), de la prémédication à des actes médicaux courts (endoscopie, petite chirurgie). Le lorazépam est considéré comme le traitement de référence de l'état de mal épileptique convulsif en IV (alternative au diazépam, plus longue durée d'action centrale).</w:t>
      </w:r>
    </w:p>
    <w:p>
      <w:pPr>
        <w:pStyle w:val="ListBullet"/>
      </w:pPr>
      <w:r>
        <w:t>Contre-indications : Myasthénie (CI absolue), insuffisance respiratoire sévère, syndrome d'apnée du sommeil, insuffisance hépatique sévère (toutefois mieux tolérée que le diazépam grâce à la glucuronidation), glaucome aigu par fermeture de l'angle, allergie aux BZD, intoxication alcoolique aiguë, association opioïdes.</w:t>
      </w:r>
    </w:p>
    <w:p>
      <w:pPr>
        <w:pStyle w:val="ListBullet"/>
      </w:pPr>
      <w:r>
        <w:t>Effets Indésirables : Sédation, somnolence, faiblesse musculaire, ataxie, troubles de la mémoire antérograde (particulièrement marqués en cas de prise nocturne), confusion (surtout sujet âgé), réactions paradoxales (agitation, agressivité, insomnie, agitation nocturne), hypotonie, dépendance physique et psychique (apparition dès 4 à 12 semaines), syndrome de sevrage à l'arrêt brutal. Effets paradoxaux plus fréquents chez le sujet âgé et en cas d'antécédents psychiatriques.</w:t>
      </w:r>
    </w:p>
    <w:p>
      <w:r/>
      <w:r>
        <w:rPr>
          <w:b/>
        </w:rPr>
        <w:t>Prévention et Gestion des Effets Indésirables :</w:t>
      </w:r>
      <w:r/>
    </w:p>
    <w:p>
      <w:pPr>
        <w:pStyle w:val="ListBullet"/>
      </w:pPr>
      <w:r>
        <w:t>Mesures Préventives : Limiter la prescription à 4–12 semaines (HAS), dose minimale efficace, évaluation psychiatrique initiale, association systématique à une prise en charge non pharmacologique (TCC, hygiène de vie, gestion du stress). Chez le sujet âgé : dose réduite de moitié (0,5 mg par prise), surveillance de l'équilibre, des fonctions cognitives, de l'état nutritionnel. Informer le patient des risques de dépendance et de sevrage.</w:t>
      </w:r>
    </w:p>
    <w:p>
      <w:pPr>
        <w:pStyle w:val="ListBullet"/>
      </w:pPr>
      <w:r>
        <w:t>Conduite à Tenir : En cas d'usage prolongé au-delà de 4 semaines, organiser un arrêt progressif sur 4 à 8 semaines par paliers de 1/8 à 1/4 de la dose initiale. En cas de réaction paradoxale : arrêt immédiat de la BZD et réévaluation psychiatrique. En cas de surdosage : flumazénil (Anexate®) en IV à 0,2 mg puis 0,1 mg/min jusqu'à 1 mg ; surveillance hospitalière 6–12 h (risque de récidive par demi-vie plus longue que l'antidote).</w:t>
      </w:r>
    </w:p>
    <w:p>
      <w:r/>
      <w:r>
        <w:rPr>
          <w:b/>
        </w:rPr>
        <w:t>Interactions Importantes :</w:t>
      </w:r>
      <w:r/>
    </w:p>
    <w:p>
      <w:pPr>
        <w:pStyle w:val="ListBullet"/>
      </w:pPr>
      <w:r>
        <w:t>Lorazépam + alcool : potentialisation de la sédation et de la dépression respiratoire (CI absolue).</w:t>
      </w:r>
    </w:p>
    <w:p>
      <w:pPr>
        <w:pStyle w:val="ListBullet"/>
      </w:pPr>
      <w:r>
        <w:t>Lorazépam + opioïdes : risque vital de dépression respiratoire (mise en garde ANSM).</w:t>
      </w:r>
    </w:p>
    <w:p>
      <w:pPr>
        <w:pStyle w:val="ListBullet"/>
      </w:pPr>
      <w:r>
        <w:t>Lorazépam + probénécide : inhibition de la glucuronidation, augmentation des concentrations de lorazépam (réduction de dose à 50 %).</w:t>
      </w:r>
    </w:p>
    <w:p>
      <w:pPr>
        <w:pStyle w:val="ListBullet"/>
      </w:pPr>
      <w:r>
        <w:t>Lorazépam + valproate de sodium : idem, diminution de la clairance (réduction de dose à 50 %).</w:t>
      </w:r>
    </w:p>
    <w:p>
      <w:pPr>
        <w:pStyle w:val="ListBullet"/>
      </w:pPr>
      <w:r>
        <w:t>Lorazépam + aminophylline, théophylline : possible antagonisme pharmacologique (efficacité réduite).</w:t>
      </w:r>
    </w:p>
    <w:p>
      <w:pPr>
        <w:pStyle w:val="ListBullet"/>
      </w:pPr>
      <w:r>
        <w:t>Lorazépam + clozapine : risque de collapsus cardiovasculaire et de dépression respiratoire.</w:t>
      </w:r>
    </w:p>
    <w:p>
      <w:pPr>
        <w:pStyle w:val="ListBullet"/>
      </w:pPr>
      <w:r>
        <w:t>Lorazépam + autres dépresseurs du SNC (antihistaminiques H1, antipsychotiques, autres BZD) : potentialisation de la sédation.</w:t>
      </w:r>
    </w:p>
    <w:p>
      <w:pPr>
        <w:pStyle w:val="ListBullet"/>
      </w:pPr>
      <w:r>
        <w:t>Pas d'interactions CYP450 majeures (métabolisme par glucuronidation).</w:t>
      </w:r>
    </w:p>
    <w:p>
      <w:r/>
      <w:r>
        <w:rPr>
          <w:b/>
        </w:rPr>
        <w:t>Grossesse et Allaitement :</w:t>
      </w:r>
      <w:r/>
    </w:p>
    <w:p>
      <w:pPr>
        <w:pStyle w:val="ListBullet"/>
      </w:pPr>
      <w:r>
        <w:t>Grossesse : À éviter, surtout 1er trimestre (risque malformatif faible mais possible) et 3e trimestre (risque de syndrome de sevrage néonatal, hypotonie, détresse respiratoire, hypothermie). Le CRAT recommande, si traitement indispensable, de privilégier le lorazépam sur le diazépam (pas de métabolites actifs accumulables), et de prévoir un arrêt 2 semaines avant le terme.</w:t>
      </w:r>
    </w:p>
    <w:p>
      <w:pPr>
        <w:pStyle w:val="ListBullet"/>
      </w:pPr>
      <w:r>
        <w:t>Allaitement : Le lorazépam passe dans le lait maternel en faible quantité (rapport lait/plasma = 0,2). Le CRAT considère l'allaitement comme possible en cas de dose unique inférieure à 2 mg/jour, en respectant un délai de 3 à 4 h entre la prise et la tétée. Au-delà, allaitement déconseillé.</w:t>
      </w:r>
    </w:p>
    <w:p>
      <w:pPr>
        <w:pStyle w:val="ListBullet"/>
      </w:pPr>
      <w:r>
        <w:t>Précisions : En cas de traitement au long cours, contraception efficace obligatoire. Si découverte de grossesse sous lorazépam : ne pas arrêter brutalement, envisager un sevrage progressif et une surveillance prénatale spécialisée.</w:t>
      </w:r>
    </w:p>
    <w:p>
      <w:r/>
      <w:r>
        <w:rPr>
          <w:b/>
        </w:rPr>
        <w:t>Posologie et Mode d'administration (Standard) :</w:t>
      </w:r>
      <w:r/>
    </w:p>
    <w:p>
      <w:pPr>
        <w:pStyle w:val="ListBullet"/>
      </w:pPr>
      <w:r>
        <w:t>Adulte : 0,5 à 1 mg par prise, 2 à 3 fois par jour, soit 1 à 3 mg/jour (maximum 6 mg/jour en psychiatrie). Dans les crises d'angoisse paroxystiques : 1 à 2 mg en prise ponctuelle. En prémédication : 2 à 4 mg 1 h avant le geste. En IM (agitation aiguë) : 0,5 mg IM, renouvelable. En IV lente (état de mal épileptique) : 4 mg en 2 min, renouvelable une fois après 10 min.</w:t>
      </w:r>
    </w:p>
    <w:p>
      <w:pPr>
        <w:pStyle w:val="ListBullet"/>
      </w:pPr>
      <w:r>
        <w:t>Sujet âgé : 0,25 à 0,5 mg par prise, 2 fois par jour, soit 0,5 à 1 mg/jour maximum.</w:t>
      </w:r>
    </w:p>
    <w:p>
      <w:pPr>
        <w:pStyle w:val="ListBullet"/>
      </w:pPr>
      <w:r>
        <w:t>Enfant : 0,02 à 0,05 mg/kg/jour, sous stricte surveillance pédiatrique.</w:t>
      </w:r>
    </w:p>
    <w:p>
      <w:pPr>
        <w:pStyle w:val="ListBullet"/>
      </w:pPr>
      <w:r>
        <w:t>Durée : 4 à 12 semaines maximum, y compris période d'arrêt progressif.</w:t>
      </w:r>
    </w:p>
    <w:p>
      <w:pPr>
        <w:pStyle w:val="ListBullet"/>
      </w:pPr>
      <w:r>
        <w:t>Moment de la prise : réparti sur la journée (matin, midi, soir). Pour les crises d'angoisse paroxystiques : prise ponctuelle au moment de la crise.</w:t>
      </w:r>
    </w:p>
    <w:p>
      <w:r/>
      <w:r>
        <w:rPr>
          <w:b/>
        </w:rPr>
        <w:t>Arbitrage et Bénéfices des Formes Galéniques :</w:t>
      </w:r>
      <w:r/>
    </w:p>
    <w:p>
      <w:pPr>
        <w:pStyle w:val="ListBullet"/>
      </w:pPr>
      <w:r>
        <w:t>Comprimés sécables 1 mg et 2,5 mg : forme orale de référence, permet une titration fine par quart (quadri-sécables). Le comprimé à 2,5 mg est particulièrement adapté pour les schémas de décroissance progressive (1/8 = 0,3 mg, 1/4 = 0,6 mg, etc.).</w:t>
      </w:r>
    </w:p>
    <w:p>
      <w:pPr>
        <w:pStyle w:val="ListBullet"/>
      </w:pPr>
      <w:r>
        <w:t>Comprimés pelliculés (Anxienad) : amélioration de la tolérance digestive, masquage du goût.</w:t>
      </w:r>
    </w:p>
    <w:p>
      <w:pPr>
        <w:pStyle w:val="ListBullet"/>
      </w:pPr>
      <w:r>
        <w:t>Absence de forme injectable en Algérie (à ce jour, aucun statut actif) — limitation pour l'urgence. Historiquement Temesta® existait en ampoule IM/IV.</w:t>
      </w:r>
    </w:p>
    <w:p>
      <w:pPr>
        <w:pStyle w:val="ListBullet"/>
      </w:pPr>
      <w:r>
        <w:t>Solution buvable : non disponible en Algérie (substitution possible par diazépam si nécessaire).</w:t>
      </w:r>
    </w:p>
    <w:p>
      <w:r/>
      <w:r>
        <w:rPr>
          <w:b/>
        </w:rPr>
        <w:t>Instructions et Conseils au Patient :</w:t>
      </w:r>
      <w:r/>
    </w:p>
    <w:p>
      <w:pPr>
        <w:pStyle w:val="ListBullet"/>
      </w:pPr>
      <w:r>
        <w:t>Communication au comptoir : « Ce médicament calme l'anxiété mais ne doit pas être pris plus de 12 semaines. Ne l'arrêtez jamais brutalement : votre médecin vous expliquera comment diminuer progressivement. Ne buvez pas d'alcool pendant le traitement. Évitez la conduite automobile les premiers jours. Si vous êtes âgé, levez-vous lentement pour éviter les chutes. »</w:t>
      </w:r>
    </w:p>
    <w:p>
      <w:pPr>
        <w:pStyle w:val="ListBullet"/>
      </w:pPr>
      <w:r>
        <w:t>Mode d'utilisation pratique : Prendre à heure fixe pour faciliter l'observance. En cas d'oubli d'une prise, ne pas doubler la dose suivante. Pour les comprimés quadri-sécables, utiliser un comprimé entier puis le sécabiliser proprement avec un sécateur à comprimés pour une dose précise. Tenir un journal de l'anxiété et des crises pour évaluer l'efficacité et adapter la posologie. Signaler tout signe de dépendance (envie d'augmenter la dose, anxiété à l'oubli d'une prise).</w:t>
      </w:r>
    </w:p>
    <w:p>
      <w:r/>
      <w:r>
        <w:rPr>
          <w:b/>
        </w:rPr>
        <w:t>Notes, Règles d'Or &amp; Pièges au Comptoir :</w:t>
      </w:r>
      <w:r/>
    </w:p>
    <w:p>
      <w:pPr>
        <w:pStyle w:val="ListBullet"/>
      </w:pPr>
      <w:r>
        <w:t>Piège classique : L'usage prolongé au-delà de 12 semaines entraîne une dépendance quasi constante. L'arrêt brutal expose à un syndrome de sevrage sévère (anxiété rebond, convulsions, délire). Le sujet âgé présente un risque accru de chutes, de fractures du col fémoral, de décompensation cognitive et de syndrome confusionnel. Le risque d'amnésie antérograde est majoré par la prise nocturne (effet « trou noir »).</w:t>
      </w:r>
    </w:p>
    <w:p>
      <w:pPr>
        <w:pStyle w:val="ListBullet"/>
      </w:pPr>
      <w:r>
        <w:t>Règle de prise : Toujours prescrire la dose minimale efficace, éviter la prise nocturne systématique, ne jamais associer à l'alcool ni aux opioïdes.</w:t>
      </w:r>
    </w:p>
    <w:p>
      <w:pPr>
        <w:pStyle w:val="ListBullet"/>
      </w:pPr>
      <w:r>
        <w:t>Préparation et Conservation : Conserver à température ambiante (&lt; 25 °C), à l'abri de la lumière et de l'humidité. Tenir hors de portée des enfants et des personnes vulnérables.</w:t>
      </w:r>
    </w:p>
    <w:p>
      <w:pPr>
        <w:pStyle w:val="ListBullet"/>
      </w:pPr>
      <w:r>
        <w:t>Piège du surdosage / Substitution : Le flumazénil (Anexate®) est l'antidote spécifique en cas de surdosage, à utiliser en milieu hospitalier. Attention au risque de déclenchement de convulsions chez le patient dépendant chronique ou en cas d'intoxication mixte (BZD + antidépresseur tricyclique notamment). La substitution du lorazépam par une autre BZD doit se faire par équivalence de dose (lorazépam 1 mg ≈ diazépam 10 mg ≈ bromazépam 6 mg ≈ prazépam 20 mg).</w:t>
      </w:r>
    </w:p>
    <w:p>
      <w:pPr>
        <w:pStyle w:val="Heading2"/>
      </w:pPr>
      <w:r>
        <w:t>3. DCI : Bromazépam (Seule)</w:t>
      </w:r>
    </w:p>
    <w:p>
      <w:r/>
      <w:r>
        <w:rPr>
          <w:b/>
        </w:rPr>
        <w:t>Liste des Catégories :</w:t>
      </w:r>
      <w:r>
        <w:t xml:space="preserve"> Anxiolytiques — Benzodiazépines (anxiolytiques) ; Liste I (substance vénéneuse).</w:t>
      </w:r>
    </w:p>
    <w:p>
      <w:r>
        <w:t>Le bromazépam est une benzodiazépine anxiolytique de demi-vie intermédiaire (10 à 20 heures), sans métabolite actif. Sa structure chimique comporte un cycle pyridine qui la distingue du diazépam. Le bromazépam est historiquement connu sous la marque Lexomil® (Roche, retirée du marché algérien) et demeure largement prescrit aujourd'hui, avec une dizaine de spécialités génériques actives en Algérie. Sa puissance anxiolytique est environ 5 fois supérieure à celle du diazépam (6 mg de bromazépam ≈ 30 mg de diazépam), ce qui explique son usage dans les anxiétés modérées à sévères, les états d'angoisse, et les manifestations psychosomatiques de l'anxiété (palpitations, tremblements, douleurs fonctionnelles). Le métabolisme est hépatique par oxydation (CYP3A4) puis glucuronidation, avec élimination urinaire.</w:t>
      </w:r>
    </w:p>
    <w:p>
      <w:r/>
      <w:r>
        <w:rPr>
          <w:b/>
        </w:rPr>
        <w:t>Médicaments disponibles en Algérie (Marques, Laboratoires, Formes et Dosages) :</w:t>
      </w:r>
      <w:r/>
    </w:p>
    <w:p>
      <w:pPr>
        <w:pStyle w:val="ListBullet"/>
      </w:pPr>
      <w:r/>
      <w:r>
        <w:rPr>
          <w:b/>
        </w:rPr>
        <w:t>ANXYPAM</w:t>
      </w:r>
      <w:r>
        <w:t xml:space="preserve"> (SARL GROUPE SANTE) — Comprimé quadri-sécable 6 mg — B/30 — Actif</w:t>
      </w:r>
    </w:p>
    <w:p>
      <w:pPr>
        <w:pStyle w:val="ListBullet"/>
      </w:pPr>
      <w:r/>
      <w:r>
        <w:rPr>
          <w:b/>
        </w:rPr>
        <w:t>BROMAZEPAM</w:t>
      </w:r>
      <w:r>
        <w:t xml:space="preserve"> (BIOGALENIC) — Comprimé quadri-sécable 6 mg — B/30 — Actif</w:t>
      </w:r>
    </w:p>
    <w:p>
      <w:pPr>
        <w:pStyle w:val="ListBullet"/>
      </w:pPr>
      <w:r/>
      <w:r>
        <w:rPr>
          <w:b/>
        </w:rPr>
        <w:t>BROMAZEPAM IVAL</w:t>
      </w:r>
      <w:r>
        <w:t xml:space="preserve"> (PHARMA IVAL SPA) — Comprimé quadri-sécable 6 mg — B/30 — Actif</w:t>
      </w:r>
    </w:p>
    <w:p>
      <w:pPr>
        <w:pStyle w:val="ListBullet"/>
      </w:pPr>
      <w:r/>
      <w:r>
        <w:rPr>
          <w:b/>
        </w:rPr>
        <w:t>BROMAZEPAM PHYSIOPHARM</w:t>
      </w:r>
      <w:r>
        <w:t xml:space="preserve"> (PHYSIOPHARM LABORATOIRES) — Comprimé quadri-sécable 6 mg — B/30 — Actif</w:t>
      </w:r>
    </w:p>
    <w:p>
      <w:pPr>
        <w:pStyle w:val="ListBullet"/>
      </w:pPr>
      <w:r/>
      <w:r>
        <w:rPr>
          <w:b/>
        </w:rPr>
        <w:t>KIETYL</w:t>
      </w:r>
      <w:r>
        <w:t xml:space="preserve"> (LABORATOIRES MERINAL) — Comprimé quadri-sécable 6 mg — B/30 — Actif</w:t>
      </w:r>
    </w:p>
    <w:p>
      <w:pPr>
        <w:pStyle w:val="ListBullet"/>
      </w:pPr>
      <w:r/>
      <w:r>
        <w:rPr>
          <w:b/>
        </w:rPr>
        <w:t>LEXOPAM</w:t>
      </w:r>
      <w:r>
        <w:t xml:space="preserve"> (SPA UNION PHARMACEUITIQUE CONSTANTINOISE PRODUCTION) — Comprimé quadri-sécable 6 mg — Boîte de 1 tube de 30 — Actif</w:t>
      </w:r>
    </w:p>
    <w:p>
      <w:pPr>
        <w:pStyle w:val="ListBullet"/>
      </w:pPr>
      <w:r/>
      <w:r>
        <w:rPr>
          <w:b/>
        </w:rPr>
        <w:t>QUIETILINE</w:t>
      </w:r>
      <w:r>
        <w:t xml:space="preserve"> (LABORATOIRE MOBEN) — Comprimé quadri-sécable 6 mg — B/30 — Actif</w:t>
      </w:r>
    </w:p>
    <w:p>
      <w:pPr>
        <w:pStyle w:val="ListBullet"/>
      </w:pPr>
      <w:r/>
      <w:r>
        <w:rPr>
          <w:b/>
        </w:rPr>
        <w:t>TRANSOMIL</w:t>
      </w:r>
      <w:r>
        <w:t xml:space="preserve"> (GROUPE SAIDAL) — Comprimé quadri-sécable 6 mg — B/30 (Non Renouvelable) ; Comprimé 1,5 mg — B/20 (Non Renouvelable) ; Comprimé 3 mg — B/20 (Non Renouvelable)</w:t>
      </w:r>
    </w:p>
    <w:p>
      <w:pPr>
        <w:pStyle w:val="ListBullet"/>
      </w:pPr>
      <w:r/>
      <w:r>
        <w:rPr>
          <w:b/>
        </w:rPr>
        <w:t>BROMAZEPAM-BIOGARAN</w:t>
      </w:r>
      <w:r>
        <w:t xml:space="preserve"> (BIOGARAN) — Comprimé sécable 6 mg — B/30 — Retiré (R)</w:t>
      </w:r>
    </w:p>
    <w:p>
      <w:pPr>
        <w:pStyle w:val="ListBullet"/>
      </w:pPr>
      <w:r/>
      <w:r>
        <w:rPr>
          <w:b/>
        </w:rPr>
        <w:t>LEXOMIL</w:t>
      </w:r>
      <w:r>
        <w:t xml:space="preserve"> (ROCHE S.A.) — Comprimé sécable 6 mg — B/30 — Retiré (R)</w:t>
      </w:r>
    </w:p>
    <w:p>
      <w:pPr>
        <w:pStyle w:val="ListBullet"/>
      </w:pPr>
      <w:r/>
      <w:r>
        <w:rPr>
          <w:b/>
        </w:rPr>
        <w:t>UNICALMYL</w:t>
      </w:r>
      <w:r>
        <w:t xml:space="preserve"> (UNILAB PHARMACEUTICALS) — Comprimé quadri-sécable 6 mg — B/30 — Retiré (R)</w:t>
      </w:r>
    </w:p>
    <w:p>
      <w:r/>
      <w:r>
        <w:rPr>
          <w:b/>
        </w:rPr>
        <w:t>Sous-classe et Mécanisme d'action :</w:t>
      </w:r>
      <w:r/>
    </w:p>
    <w:p>
      <w:pPr>
        <w:pStyle w:val="ListBullet"/>
      </w:pPr>
      <w:r>
        <w:t>Sous-classe : Benzodiazépine anxiolytique de demi-vie intermédiaire, classée N05BA08 dans la classification ATC. Sa puissance clinique et son profil anxiolytique prédominant en font une molécule de choix dans les troubles anxieux modérés à sévères.</w:t>
      </w:r>
    </w:p>
    <w:p>
      <w:pPr>
        <w:pStyle w:val="ListBullet"/>
      </w:pPr>
      <w:r>
        <w:t>Mécanisme d'action : Modulateur allostérique positif du récepteur GABA-A. Le bromazépam se fixe sur le site ω (interface α/γ du récepteur pentamérique) et augmente la fréquence d'ouverture du canal chlore en présence de GABA endogène, ce qui hyperpolarise la membrane postsynaptique et réduit l'excitabilité neuronale. L'effet anxiolytique est prédominant (sous-unités α2 et α3 du système limbique). Sa haute affinité pour les récepteurs GABA-A explique sa puissance clinique supérieure à celle du diazépam.</w:t>
      </w:r>
    </w:p>
    <w:p>
      <w:r/>
      <w:r>
        <w:rPr>
          <w:b/>
        </w:rPr>
        <w:t>Profil Pharmacologique :</w:t>
      </w:r>
      <w:r/>
    </w:p>
    <w:p>
      <w:pPr>
        <w:pStyle w:val="ListBullet"/>
      </w:pPr>
      <w:r>
        <w:t>Indications : Traitement de l'anxiété généralisée modérée à sévère, des crises d'angoisse paroxystiques, des troubles anxieux réactionnels, de l'anxiété associée aux troubles psychosomatiques (palpitations, troubles fonctionnels intestinaux, douleurs chroniques d'origine tensionnelle), en appoint des antidépresseurs dans la composante anxieuse de la dépression. La durée du traitement doit être aussi brève que possible (4 à 12 semaines maximum).</w:t>
      </w:r>
    </w:p>
    <w:p>
      <w:pPr>
        <w:pStyle w:val="ListBullet"/>
      </w:pPr>
      <w:r>
        <w:t>Contre-indications : Myasthénie (CI absolue), insuffisance respiratoire sévère, syndrome d'apnée du sommeil, insuffisance hépatique sévère, glaucome aigu par fermeture de l'angle, allergie aux benzodiazépines, intoxication alcoolique aiguë. Association aux opioïdes : mise en garde majeure.</w:t>
      </w:r>
    </w:p>
    <w:p>
      <w:pPr>
        <w:pStyle w:val="ListBullet"/>
      </w:pPr>
      <w:r>
        <w:t>Effets Indésirables : Sédation, somnolence, asthénie, ataxie, dysarthrie, troubles de la mémoire antérograde, confusion chez le sujet âgé, hypotonie musculaire, réactions paradoxales (agitation, agressivité, insomnie, troubles du comportement), dépendance physique et psychologique après 4 à 12 semaines d'usage régulier, syndrome de sevrage à l'arrêt brutal (anxiété rebond, insomnie de rebond, tremblements, convulsions, délire). L'effet myorelaxant majore le risque de chutes chez le sujet âgé.</w:t>
      </w:r>
    </w:p>
    <w:p>
      <w:r/>
      <w:r>
        <w:rPr>
          <w:b/>
        </w:rPr>
        <w:t>Prévention et Gestion des Effets Indésirables :</w:t>
      </w:r>
      <w:r/>
    </w:p>
    <w:p>
      <w:pPr>
        <w:pStyle w:val="ListBullet"/>
      </w:pPr>
      <w:r>
        <w:t>Mesures Préventives : Limiter la prescription à 4–12 semaines (HAS), prescrire la dose minimale efficace, éviter les prises systématiques au long cours, privilégier une prise ponctuelle ou discontinue (« à la demande ») plutôt qu'une prescription régulière. Chez le sujet âgé : réduire la dose de moitié (3 mg au lieu de 6 mg), surveiller l'équilibre et les fonctions cognitives. Informer explicitement le patient sur les risques de dépendance, de sevrage, et d'interactions avec l'alcool.</w:t>
      </w:r>
    </w:p>
    <w:p>
      <w:pPr>
        <w:pStyle w:val="ListBullet"/>
      </w:pPr>
      <w:r>
        <w:t>Conduite à Tenir : En cas d'usage prolongé au-delà de 12 semaines, organiser un arrêt progressif sur 4 à 8 semaines par paliers de 1/8 à 1/4 de la dose initiale (le comprimé quadri-sécable facilite cette décroissance). En cas de réaction paradoxale : arrêt immédiat et réévaluation psychiatrique. En cas de surdosage : flumazénil (Anexate®) en IV à 0,2 mg puis 0,1 mg/min jusqu'à 1 mg, en milieu hospitalier.</w:t>
      </w:r>
    </w:p>
    <w:p>
      <w:r/>
      <w:r>
        <w:rPr>
          <w:b/>
        </w:rPr>
        <w:t>Interactions Importantes :</w:t>
      </w:r>
      <w:r/>
    </w:p>
    <w:p>
      <w:pPr>
        <w:pStyle w:val="ListBullet"/>
      </w:pPr>
      <w:r>
        <w:t>Bromazépam + alcool : potentialisation majeure de la sédation et de la dépression respiratoire (CI absolue).</w:t>
      </w:r>
    </w:p>
    <w:p>
      <w:pPr>
        <w:pStyle w:val="ListBullet"/>
      </w:pPr>
      <w:r>
        <w:t>Bromazépam + opioïdes (morphine, tramadol, codéine, fentanyl) : risque vital de dépression respiratoire.</w:t>
      </w:r>
    </w:p>
    <w:p>
      <w:pPr>
        <w:pStyle w:val="ListBullet"/>
      </w:pPr>
      <w:r>
        <w:t>Bromazépam + autres dépresseurs du SNC (antihistaminiques H1 sédatifs, antipsychotiques, barbituriques, autres BZD) : potentialisation de la sédation.</w:t>
      </w:r>
    </w:p>
    <w:p>
      <w:pPr>
        <w:pStyle w:val="ListBullet"/>
      </w:pPr>
      <w:r>
        <w:t>Bromazépam + fluoxétine, fluvoxamine (inhibiteurs CYP3A4) : augmentation possible des concentrations.</w:t>
      </w:r>
    </w:p>
    <w:p>
      <w:pPr>
        <w:pStyle w:val="ListBullet"/>
      </w:pPr>
      <w:r>
        <w:t>Bromazépam + rifampicine, carbamazépine, phénobarbital (inducteurs enzymatiques) : diminution de l'efficacité.</w:t>
      </w:r>
    </w:p>
    <w:p>
      <w:pPr>
        <w:pStyle w:val="ListBullet"/>
      </w:pPr>
      <w:r>
        <w:t>Bromazépam + cisapride, érythromycine, clarithromycine, kétoconazole, itraconazole (inhibiteurs CYP3A4) : augmentation des concentrations.</w:t>
      </w:r>
    </w:p>
    <w:p>
      <w:r/>
      <w:r>
        <w:rPr>
          <w:b/>
        </w:rPr>
        <w:t>Grossesse et Allaitement :</w:t>
      </w:r>
      <w:r/>
    </w:p>
    <w:p>
      <w:pPr>
        <w:pStyle w:val="ListBullet"/>
      </w:pPr>
      <w:r>
        <w:t>Grossesse : À éviter, surtout au 1er trimestre (risque malformatif) et au 3e trimestre (risque de syndrome de sevrage néonatal, hypotonie, détresse respiratoire, hypothermie). Le CRAT recommande un arrêt préférentiel avant la fin de grossesse.</w:t>
      </w:r>
    </w:p>
    <w:p>
      <w:pPr>
        <w:pStyle w:val="ListBullet"/>
      </w:pPr>
      <w:r>
        <w:t>Allaitement : Le bromazépam passe dans le lait maternel. Le CRAT recommande de ne pas allaiter sous bromazépam, ou de respecter un délai après la dernière prise.</w:t>
      </w:r>
    </w:p>
    <w:p>
      <w:pPr>
        <w:pStyle w:val="ListBullet"/>
      </w:pPr>
      <w:r>
        <w:t>Précisions : En cas de traitement indispensable au long cours, contraception efficace obligatoire. Si découverte de grossesse sous bromazépam : ne pas arrêter brutalement, envisager un sevrage progressif et une surveillance prénatale spécialisée.</w:t>
      </w:r>
    </w:p>
    <w:p>
      <w:r/>
      <w:r>
        <w:rPr>
          <w:b/>
        </w:rPr>
        <w:t>Posologie et Mode d'administration (Standard) :</w:t>
      </w:r>
      <w:r/>
    </w:p>
    <w:p>
      <w:pPr>
        <w:pStyle w:val="ListBullet"/>
      </w:pPr>
      <w:r>
        <w:t>Adulte : 3 à 6 mg par prise, 2 à 3 fois par jour, soit 6 à 18 mg/jour (maximum 36 mg/jour en psychiatrie). Dans les crises d'angoisse paroxystiques : 6 mg en prise ponctuelle. Schéma usuel : 6 mg matin, midi, soir ou 6 mg matin et soir selon la sévérité.</w:t>
      </w:r>
    </w:p>
    <w:p>
      <w:pPr>
        <w:pStyle w:val="ListBullet"/>
      </w:pPr>
      <w:r>
        <w:t>Sujet âgé : 1,5 à 3 mg par prise, 2 fois par jour, soit 3 à 6 mg/jour.</w:t>
      </w:r>
    </w:p>
    <w:p>
      <w:pPr>
        <w:pStyle w:val="ListBullet"/>
      </w:pPr>
      <w:r>
        <w:t>Enfant : non recommandé avant 6 ans ; 0,1 à 0,5 mg/kg/jour sous surveillance pédiatrique.</w:t>
      </w:r>
    </w:p>
    <w:p>
      <w:pPr>
        <w:pStyle w:val="ListBullet"/>
      </w:pPr>
      <w:r>
        <w:t>Durée : 4 à 12 semaines maximum, y compris la période d'arrêt progressif.</w:t>
      </w:r>
    </w:p>
    <w:p>
      <w:pPr>
        <w:pStyle w:val="ListBullet"/>
      </w:pPr>
      <w:r>
        <w:t>Moment de la prise : réparti sur la journée (matin, midi, soir). Pour les crises d'angoisse paroxystiques : prise ponctuelle au moment de la crise.</w:t>
      </w:r>
    </w:p>
    <w:p>
      <w:r/>
      <w:r>
        <w:rPr>
          <w:b/>
        </w:rPr>
        <w:t>Arbitrage et Bénéfices des Formes Galéniques :</w:t>
      </w:r>
      <w:r/>
    </w:p>
    <w:p>
      <w:pPr>
        <w:pStyle w:val="ListBullet"/>
      </w:pPr>
      <w:r>
        <w:t>Comprimés quadri-sécables 6 mg : forme de référence, particulièrement adaptée à la titration fine et à la décroissance progressive (1/4 = 1,5 mg, 1/8 = 0,75 mg). C'est la galénique de choix pour le sevrage progressif des patients dépendants.</w:t>
      </w:r>
    </w:p>
    <w:p>
      <w:pPr>
        <w:pStyle w:val="ListBullet"/>
      </w:pPr>
      <w:r>
        <w:t>Comprimés 1,5 et 3 mg (Transomil) : utiles pour les posologies faibles et le sujet âgé.</w:t>
      </w:r>
    </w:p>
    <w:p>
      <w:pPr>
        <w:pStyle w:val="ListBullet"/>
      </w:pPr>
      <w:r>
        <w:t>Absence de forme injectable en Algérie : limitation pour l'urgence.</w:t>
      </w:r>
    </w:p>
    <w:p>
      <w:pPr>
        <w:pStyle w:val="ListBullet"/>
      </w:pPr>
      <w:r>
        <w:t>Absence de solution buvable : pas d'adaptation pédiatrique aisée.</w:t>
      </w:r>
    </w:p>
    <w:p>
      <w:r/>
      <w:r>
        <w:rPr>
          <w:b/>
        </w:rPr>
        <w:t>Instructions et Conseils au Patient :</w:t>
      </w:r>
      <w:r/>
    </w:p>
    <w:p>
      <w:pPr>
        <w:pStyle w:val="ListBullet"/>
      </w:pPr>
      <w:r>
        <w:t>Communication au comptoir : « Ce médicament calme votre anxiété mais ne doit pas être pris plus de 12 semaines. Ne l'arrêtez jamais brutalement : votre médecin vous expliquera comment diminuer progressivement. Le comprimé est quadri-sécable, ce qui permet de découper la dose facilement. Ne buvez pas d'alcool pendant le traitement. Évitez la conduite automobile les premiers jours. »</w:t>
      </w:r>
    </w:p>
    <w:p>
      <w:pPr>
        <w:pStyle w:val="ListBullet"/>
      </w:pPr>
      <w:r>
        <w:t>Mode d'utilisation pratique : Prendre à heure fixe pour faciliter l'observance. En cas d'oubli, ne pas doubler la dose suivante. Utiliser un sécateur à comprimés pour une découpe propre et précise. Tenir un journal de l'anxiété pour évaluer l'efficacité. Signaler tout signe de dépendance (envie d'augmenter la dose, anxiété à l'oubli d'une prise).</w:t>
      </w:r>
    </w:p>
    <w:p>
      <w:r/>
      <w:r>
        <w:rPr>
          <w:b/>
        </w:rPr>
        <w:t>Notes, Règles d'Or &amp; Pièges au Comptoir :</w:t>
      </w:r>
      <w:r/>
    </w:p>
    <w:p>
      <w:pPr>
        <w:pStyle w:val="ListBullet"/>
      </w:pPr>
      <w:r>
        <w:t>Piège classique : La prescription au long cours au-delà de 12 semaines entraîne quasi inévitablement une dépendance. Le comprimé quadri-sécable 6 mg est galéniquement parfait pour la décroissance, mais les patients ont tendance à fractionner pour répéter les prises « à la demande » et majorer la dose quotidienne totale. Le sujet âgé présente un risque accru de chutes et de décompensation cognitive.</w:t>
      </w:r>
    </w:p>
    <w:p>
      <w:pPr>
        <w:pStyle w:val="ListBullet"/>
      </w:pPr>
      <w:r>
        <w:t>Règle de prise : Pas d'automédication, pas d'association à l'alcool ni aux opioïdes, pas de partage avec l'entourage.</w:t>
      </w:r>
    </w:p>
    <w:p>
      <w:pPr>
        <w:pStyle w:val="ListBullet"/>
      </w:pPr>
      <w:r>
        <w:t>Préparation et Conservation : Conserver à température ambiante (&lt; 25 °C), à l'abri de la lumière et de l'humidité. Tenir hors de portée des enfants.</w:t>
      </w:r>
    </w:p>
    <w:p>
      <w:pPr>
        <w:pStyle w:val="ListBullet"/>
      </w:pPr>
      <w:r>
        <w:t>Piège du surdosage / Substitution : Le flumazénil (Anexate®) est l'antidote spécifique en cas de surdosage, en milieu hospitalier. Équivalence pour substitution : bromazépam 6 mg ≈ diazépam 10 mg ≈ lorazépam 1 mg ≈ prazépam 20 mg ≈ clorazépate 10 mg.</w:t>
      </w:r>
    </w:p>
    <w:p>
      <w:pPr>
        <w:pStyle w:val="Heading2"/>
      </w:pPr>
      <w:r>
        <w:t>4. DCI : Prazépam (Seule)</w:t>
      </w:r>
    </w:p>
    <w:p>
      <w:r/>
      <w:r>
        <w:rPr>
          <w:b/>
        </w:rPr>
        <w:t>Liste des Catégories :</w:t>
      </w:r>
      <w:r>
        <w:t xml:space="preserve"> Anxiolytiques — Benzodiazépines (anxiolytiques) ; Liste I (substance vénéneuse).</w:t>
      </w:r>
    </w:p>
    <w:p>
      <w:r>
        <w:t xml:space="preserve">Le prazépam est une benzodiazépine anxiolytique </w:t>
      </w:r>
      <w:r>
        <w:rPr>
          <w:b/>
        </w:rPr>
        <w:t>prodrogue</w:t>
      </w:r>
      <w:r>
        <w:t xml:space="preserve">, lentement transformée dans le foie en </w:t>
      </w:r>
      <w:r>
        <w:rPr>
          <w:b/>
        </w:rPr>
        <w:t>désméthyldiazépam (nordazépam)</w:t>
      </w:r>
      <w:r>
        <w:t xml:space="preserve">, son métabolite actif principal. Cette conversion hépatique explique un </w:t>
      </w:r>
      <w:r>
        <w:rPr>
          <w:b/>
        </w:rPr>
        <w:t>délai d'action retardé</w:t>
      </w:r>
      <w:r>
        <w:t xml:space="preserve"> (1 à 3 heures après la prise orale) et une </w:t>
      </w:r>
      <w:r>
        <w:rPr>
          <w:b/>
        </w:rPr>
        <w:t>demi-vie d'élimination très longue</w:t>
      </w:r>
      <w:r>
        <w:t xml:space="preserve"> du métabolite actif (30 à 150 heures, en moyenne 60 heures). Le prazépam est donc particulièrement indiqué dans les </w:t>
      </w:r>
      <w:r>
        <w:rPr>
          <w:b/>
        </w:rPr>
        <w:t>anxiétés chroniques</w:t>
      </w:r>
      <w:r>
        <w:t xml:space="preserve"> où l'on recherche une couverture anxiolytique prolongée et stable, sans pics d'action ni fluctuations. Son profil pharmacologique évite les effets de rebond entre les prises et limite l'euphorie initiale recherchée par les patients dépendants. La spécialité historique Lysanxia® (Pfizer, en association avec Upjohn-Saidal Pharma pour la production locale) reste disponible en Algérie en comprimés 10 mg.</w:t>
      </w:r>
    </w:p>
    <w:p>
      <w:r/>
      <w:r>
        <w:rPr>
          <w:b/>
        </w:rPr>
        <w:t>Médicaments disponibles en Algérie (Marques, Laboratoires, Formes et Dosages) :</w:t>
      </w:r>
      <w:r/>
    </w:p>
    <w:p>
      <w:pPr>
        <w:pStyle w:val="ListBullet"/>
      </w:pPr>
      <w:r/>
      <w:r>
        <w:rPr>
          <w:b/>
        </w:rPr>
        <w:t>LYSANXIA</w:t>
      </w:r>
      <w:r>
        <w:t xml:space="preserve"> (UPJOHN SAIDAL PHARMA)</w:t>
      </w:r>
    </w:p>
    <w:p>
      <w:pPr>
        <w:pStyle w:val="ListBullet"/>
      </w:pPr>
      <w:r>
        <w:t>Formes et Dosages : Comprimé sécable 10 mg — B/40</w:t>
      </w:r>
    </w:p>
    <w:p>
      <w:pPr>
        <w:pStyle w:val="ListBullet"/>
      </w:pPr>
      <w:r>
        <w:t>Statut : Actif</w:t>
      </w:r>
    </w:p>
    <w:p>
      <w:pPr>
        <w:pStyle w:val="ListBullet"/>
      </w:pPr>
      <w:r/>
      <w:r>
        <w:rPr>
          <w:b/>
        </w:rPr>
        <w:t>PRAZEPAM GS</w:t>
      </w:r>
      <w:r>
        <w:t xml:space="preserve"> (SARL GROUPE SANTE)</w:t>
      </w:r>
    </w:p>
    <w:p>
      <w:pPr>
        <w:pStyle w:val="ListBullet"/>
      </w:pPr>
      <w:r>
        <w:t>Formes et Dosages : Comprimé 10 mg — B/40 ; Solution buvable en gouttes 15 mg/mL avec pipette graduée — Flacon 20 mL</w:t>
      </w:r>
    </w:p>
    <w:p>
      <w:pPr>
        <w:pStyle w:val="ListBullet"/>
      </w:pPr>
      <w:r>
        <w:t>Statut : Actif</w:t>
      </w:r>
    </w:p>
    <w:p>
      <w:pPr>
        <w:pStyle w:val="ListBullet"/>
      </w:pPr>
      <w:r/>
      <w:r>
        <w:rPr>
          <w:b/>
        </w:rPr>
        <w:t>PREZIVA</w:t>
      </w:r>
      <w:r>
        <w:t xml:space="preserve"> (BIOGALENIC)</w:t>
      </w:r>
    </w:p>
    <w:p>
      <w:pPr>
        <w:pStyle w:val="ListBullet"/>
      </w:pPr>
      <w:r>
        <w:t>Formes et Dosages : Comprimé 10 mg — B/40 ; Solution buvable en gouttes 15 mg/mL — Flacon compte-gouttes de 20 mL</w:t>
      </w:r>
    </w:p>
    <w:p>
      <w:pPr>
        <w:pStyle w:val="ListBullet"/>
      </w:pPr>
      <w:r>
        <w:t>Statut : Actif</w:t>
      </w:r>
    </w:p>
    <w:p>
      <w:pPr>
        <w:pStyle w:val="ListBullet"/>
      </w:pPr>
      <w:r/>
      <w:r>
        <w:rPr>
          <w:b/>
        </w:rPr>
        <w:t>LYSANXIA</w:t>
      </w:r>
      <w:r>
        <w:t xml:space="preserve"> (PFIZER HOLDING FRANCE) — Solution buvable en gouttes 15 mg/mL — Flacon 20 mL — Retiré (R)</w:t>
      </w:r>
    </w:p>
    <w:p>
      <w:r/>
      <w:r>
        <w:rPr>
          <w:b/>
        </w:rPr>
        <w:t>Sous-classe et Mécanisme d'action :</w:t>
      </w:r>
      <w:r/>
    </w:p>
    <w:p>
      <w:pPr>
        <w:pStyle w:val="ListBullet"/>
      </w:pPr>
      <w:r>
        <w:t>Sous-classe : Benzodiazépine anxiolytique de longue durée d'action, prodrogue, classée N05BA10 dans la classification ATC. Son métabolite actif (désméthyldiazépam) est responsable de l'activité pharmacologique.</w:t>
      </w:r>
    </w:p>
    <w:p>
      <w:pPr>
        <w:pStyle w:val="ListBullet"/>
      </w:pPr>
      <w:r>
        <w:t xml:space="preserve">Mécanisme d'action : Le prazépam lui-même est peu actif ; après absorption intestinale, il est métabolisé dans le foie en </w:t>
      </w:r>
      <w:r>
        <w:rPr>
          <w:b/>
        </w:rPr>
        <w:t>désméthyldiazépam (nordazépam)</w:t>
      </w:r>
      <w:r>
        <w:t>, qui est un modulateur allostérique positif du récepteur GABA-A. Le nordazépam se fixe sur le site ω (interface α/γ du récepteur pentamérique) et augmente la fréquence d'ouverture du canal chlore en présence de GABA endogène, ce qui hyperpolarise la membrane postsynaptique et réduit l'excitabilité neuronale. L'effet anxiolytique est prédominant (sous-unités α2, α3 du système limbique), avec une longue durée d'action permettant une couverture 24 heures en une ou deux prises.</w:t>
      </w:r>
    </w:p>
    <w:p>
      <w:r/>
      <w:r>
        <w:rPr>
          <w:b/>
        </w:rPr>
        <w:t>Profil Pharmacologique :</w:t>
      </w:r>
      <w:r/>
    </w:p>
    <w:p>
      <w:pPr>
        <w:pStyle w:val="ListBullet"/>
      </w:pPr>
      <w:r>
        <w:t>Indications : Traitement de l'anxiété généralisée chronique, des troubles anxieux réactionnels persistants, de l'anxiété associée à la dépression (en appoint), en relais d'une BZD courte durée pour stabiliser le traitement. Le prazépam est particulièrement indiqué lorsque l'on recherche une couverture anxiolytique continue sans fluctuations. La durée du traitement ne doit pas excéder 12 semaines (HAS).</w:t>
      </w:r>
    </w:p>
    <w:p>
      <w:pPr>
        <w:pStyle w:val="ListBullet"/>
      </w:pPr>
      <w:r>
        <w:t>Contre-indications : Myasthénie (CI absolue), insuffisance respiratoire sévère, syndrome d'apnée du sommeil, insuffisance hépatique sévère (le métabolisme de prodrogue est compromis), glaucome aigu par fermeture de l'angle, allergie aux benzodiazépines, intoxication alcoolique aiguë. Association aux opioïdes : mise en garde majeure.</w:t>
      </w:r>
    </w:p>
    <w:p>
      <w:pPr>
        <w:pStyle w:val="ListBullet"/>
      </w:pPr>
      <w:r>
        <w:t>Effets Indésirables : Sédation diurne (fréquente en raison de l'accumulation du métabolite actif), somnolence, asthénie, ataxie, troubles de la mémoire antérograde, confusion chez le sujet âgé (à éviter chez le sujet âgé en raison de l'accumulation), hypotonie musculaire, réactions paradoxales (agitation, agressivité, insomnie), dépendance physique et psychologique après 4 à 12 semaines, syndrome de sevrage à l'arrêt brutal (anxiété rebond, insomnie de rebond, tremblements, convulsions, délire). La longue demi-vie expose à un risque d'accumulation et d'effets résiduels prolongés.</w:t>
      </w:r>
    </w:p>
    <w:p>
      <w:r/>
      <w:r>
        <w:rPr>
          <w:b/>
        </w:rPr>
        <w:t>Prévention et Gestion des Effets Indésirables :</w:t>
      </w:r>
      <w:r/>
    </w:p>
    <w:p>
      <w:pPr>
        <w:pStyle w:val="ListBullet"/>
      </w:pPr>
      <w:r>
        <w:t>Mesures Préventives : Limiter la prescription à 4–12 semaines (HAS), prescrire la dose minimale efficace, éviter chez le sujet âgé en raison de l'accumulation du métabolite actif et du risque de décompensation cognitive et de chutes. Informer le patient des risques de dépendance, de sevrage et d'accumulation. Privilégier une seule prise le soir ou deux prises (matin et soir) plutôt que des prises fractionnées. Association systématique à une prise en charge non pharmacologique.</w:t>
      </w:r>
    </w:p>
    <w:p>
      <w:pPr>
        <w:pStyle w:val="ListBullet"/>
      </w:pPr>
      <w:r>
        <w:t>Conduite à Tenir : En cas d'usage prolongé au-delà de 12 semaines, organiser un arrêt progressif sur 6 à 12 semaines (plus long que pour les BZD courte durée en raison de la longue demi-vie) par paliers de 1/8 à 1/4 de la dose initiale. En cas de surdosage : flumazénil (Anexate®) en IV à 0,2 mg puis 0,1 mg/min jusqu'à 1 mg ; surveillance hospitalière prolongée 12 à 24 h en raison de la longue demi-vie du métabolite actif.</w:t>
      </w:r>
    </w:p>
    <w:p>
      <w:r/>
      <w:r>
        <w:rPr>
          <w:b/>
        </w:rPr>
        <w:t>Interactions Importantes :</w:t>
      </w:r>
      <w:r/>
    </w:p>
    <w:p>
      <w:pPr>
        <w:pStyle w:val="ListBullet"/>
      </w:pPr>
      <w:r>
        <w:t>Prazépam + alcool : potentialisation majeure de la sédation (CI absolue).</w:t>
      </w:r>
    </w:p>
    <w:p>
      <w:pPr>
        <w:pStyle w:val="ListBullet"/>
      </w:pPr>
      <w:r>
        <w:t>Prazépam + opioïdes : risque vital de dépression respiratoire.</w:t>
      </w:r>
    </w:p>
    <w:p>
      <w:pPr>
        <w:pStyle w:val="ListBullet"/>
      </w:pPr>
      <w:r>
        <w:t>Prazépam + autres dépresseurs du SNC : potentialisation de la sédation.</w:t>
      </w:r>
    </w:p>
    <w:p>
      <w:pPr>
        <w:pStyle w:val="ListBullet"/>
      </w:pPr>
      <w:r>
        <w:t>Prazépam + fluoxétine, fluvoxamine, isoniazide, oméprazole (inhibiteurs CYP3A4) : augmentation des concentrations du métabolite actif.</w:t>
      </w:r>
    </w:p>
    <w:p>
      <w:pPr>
        <w:pStyle w:val="ListBullet"/>
      </w:pPr>
      <w:r>
        <w:t>Prazépam + rifampicine, carbamazépine, phénobarbital (inducteurs enzymatiques) : diminution de l'efficacité.</w:t>
      </w:r>
    </w:p>
    <w:p>
      <w:pPr>
        <w:pStyle w:val="ListBullet"/>
      </w:pPr>
      <w:r>
        <w:t>Prazépam + phénytoïne : interaction métabolique (modification des concentrations de phénytoïne).</w:t>
      </w:r>
    </w:p>
    <w:p>
      <w:pPr>
        <w:pStyle w:val="ListBullet"/>
      </w:pPr>
      <w:r>
        <w:t>Prazépam + cimétidine, disulfirame : diminution de la métabolisation du prazépam.</w:t>
      </w:r>
    </w:p>
    <w:p>
      <w:r/>
      <w:r>
        <w:rPr>
          <w:b/>
        </w:rPr>
        <w:t>Grossesse et Allaitement :</w:t>
      </w:r>
      <w:r/>
    </w:p>
    <w:p>
      <w:pPr>
        <w:pStyle w:val="ListBullet"/>
      </w:pPr>
      <w:r>
        <w:t>Grossesse : À éviter, surtout au 1er trimestre (risque malformatif) et au 3e trimestre (risque de syndrome de sevrage néonatal, hypotonie, détresse respiratoire, hypothermie). Le CRAT recommande un arrêt préférentiel avant la fin de grossesse. Le métabolite actif (nordazépam) traverse massivement la barrière placentaire.</w:t>
      </w:r>
    </w:p>
    <w:p>
      <w:pPr>
        <w:pStyle w:val="ListBullet"/>
      </w:pPr>
      <w:r>
        <w:t>Allaitement : Le métabolite actif passe dans le lait maternel et peut s'accumuler chez le nourrisson. Le CRAT recommande de ne pas allaiter sous prazépam.</w:t>
      </w:r>
    </w:p>
    <w:p>
      <w:pPr>
        <w:pStyle w:val="ListBullet"/>
      </w:pPr>
      <w:r>
        <w:t>Précisions : En cas de traitement indispensable au long cours, contraception efficace obligatoire. Si découverte de grossesse sous prazépam : ne pas arrêter brutalement, envisager un sevrage progressif long en raison de la longue demi-vie.</w:t>
      </w:r>
    </w:p>
    <w:p>
      <w:r/>
      <w:r>
        <w:rPr>
          <w:b/>
        </w:rPr>
        <w:t>Posologie et Mode d'administration (Standard) :</w:t>
      </w:r>
      <w:r/>
    </w:p>
    <w:p>
      <w:pPr>
        <w:pStyle w:val="ListBullet"/>
      </w:pPr>
      <w:r>
        <w:t>Adulte : 10 mg par prise, 2 à 3 fois par jour, soit 20 à 30 mg/jour (maximum 60 mg/jour en psychiatrie). Schéma usuel : 10 mg matin, midi et soir, ou 20 mg matin et soir selon la sévérité. Dans les anxiétés chroniques : 20 mg le soir en une prise.</w:t>
      </w:r>
    </w:p>
    <w:p>
      <w:pPr>
        <w:pStyle w:val="ListBullet"/>
      </w:pPr>
      <w:r>
        <w:t>Sujet âgé : 5 à 10 mg par prise, 2 fois par jour, soit 10 à 20 mg/jour. À éviter en première intention en raison de l'accumulation du métabolite actif.</w:t>
      </w:r>
    </w:p>
    <w:p>
      <w:pPr>
        <w:pStyle w:val="ListBullet"/>
      </w:pPr>
      <w:r>
        <w:t>Enfant : non recommandé en dessous de 6 ans ; 0,2 à 0,5 mg/kg/jour sous surveillance pédiatrique.</w:t>
      </w:r>
    </w:p>
    <w:p>
      <w:pPr>
        <w:pStyle w:val="ListBullet"/>
      </w:pPr>
      <w:r>
        <w:t>Durée : 4 à 12 semaines maximum, y compris période d'arrêt progressif.</w:t>
      </w:r>
    </w:p>
    <w:p>
      <w:pPr>
        <w:pStyle w:val="ListBullet"/>
      </w:pPr>
      <w:r>
        <w:t>Moment de la prise : réparti sur la journée. La prise unique vespérale est possible dans les anxiétés chroniques.</w:t>
      </w:r>
    </w:p>
    <w:p>
      <w:r/>
      <w:r>
        <w:rPr>
          <w:b/>
        </w:rPr>
        <w:t>Arbitrage et Bénéfices des Formes Galéniques :</w:t>
      </w:r>
      <w:r/>
    </w:p>
    <w:p>
      <w:pPr>
        <w:pStyle w:val="ListBullet"/>
      </w:pPr>
      <w:r>
        <w:t>Comprimés 10 mg : forme orale de référence, adaptée à la posologie standard adulte. La sécabilité permet l'adaptation posologique.</w:t>
      </w:r>
    </w:p>
    <w:p>
      <w:pPr>
        <w:pStyle w:val="ListBullet"/>
      </w:pPr>
      <w:r>
        <w:t>Solution buvable gouttes 15 mg/mL (Prazepam GS, Preziva) : indiquée pour les posologies faibles, les patients ayant des difficultés à avaler les comprimés, les posologies pédiatriques (rare), et la titration fine. Précaution au comptoir : bien expliquer l'équivalence gouttes/mg (1 goutte ≈ 0,5 mg selon le compte-gouttes).</w:t>
      </w:r>
    </w:p>
    <w:p>
      <w:pPr>
        <w:pStyle w:val="ListBullet"/>
      </w:pPr>
      <w:r>
        <w:t>Absence de forme injectable : limitation pour l'urgence.</w:t>
      </w:r>
    </w:p>
    <w:p>
      <w:r/>
      <w:r>
        <w:rPr>
          <w:b/>
        </w:rPr>
        <w:t>Instructions et Conseils au Patient :</w:t>
      </w:r>
      <w:r/>
    </w:p>
    <w:p>
      <w:pPr>
        <w:pStyle w:val="ListBullet"/>
      </w:pPr>
      <w:r>
        <w:t>Communication au comptoir : « Ce médicament agit progressivement et maintient une couverture anxiolytique prolongée. L'effet peut mettre quelques heures à apparaître : ne pas doubler la dose en cas d'impatience. Ne pas dépasser 12 semaines de traitement. L'arrêt devra se faire très progressivement. Ne buvez pas d'alcool. Évitez la conduite automobile. »</w:t>
      </w:r>
    </w:p>
    <w:p>
      <w:pPr>
        <w:pStyle w:val="ListBullet"/>
      </w:pPr>
      <w:r>
        <w:t>Mode d'utilisation pratique : Prendre à heure fixe pour faciliter l'observance. En cas d'oubli, ne pas doubler la dose suivante. Pour la solution buvable : bien agiter le flacon, utiliser le compte-gouttes ou la pipette calibré, ne pas dépasser la dose prescrite. Tenir un journal de l'anxiété. Signaler tout signe de dépendance ou d'accumulation (sédation diurne croissante, confusion, chutes).</w:t>
      </w:r>
    </w:p>
    <w:p>
      <w:r/>
      <w:r>
        <w:rPr>
          <w:b/>
        </w:rPr>
        <w:t>Notes, Règles d'Or &amp; Pièges au Comptoir :</w:t>
      </w:r>
      <w:r/>
    </w:p>
    <w:p>
      <w:pPr>
        <w:pStyle w:val="ListBullet"/>
      </w:pPr>
      <w:r>
        <w:t>Piège classique : Le prazépam est une prodrogue à délai d'action retardé — les patients peuvent être tentés de reprendre une dose en cas d'impatience, ce qui majore le risque de surdosage et d'accumulation du métabolite actif. La longue demi-vie du nordazépam expose à un risque d'accumulation et d'effets résiduels, particulièrement chez le sujet âgé. L'arrêt brutal expose à un syndrome de sevrage sévère (convulsions, délire).</w:t>
      </w:r>
    </w:p>
    <w:p>
      <w:pPr>
        <w:pStyle w:val="ListBullet"/>
      </w:pPr>
      <w:r>
        <w:t>Règle de prise : Pas d'automédication, pas de reprise de dose en cas d'impatience, pas d'association à l'alcool ni aux opioïdes.</w:t>
      </w:r>
    </w:p>
    <w:p>
      <w:pPr>
        <w:pStyle w:val="ListBullet"/>
      </w:pPr>
      <w:r>
        <w:t>Préparation et Conservation : Conserver à température ambiante (&lt; 25 °C), à l'abri de la lumière et de l'humidité. La solution buvable se conserve après ouverture selon les mentions du RCP (généralement 1 mois). Tenir hors de portée des enfants.</w:t>
      </w:r>
    </w:p>
    <w:p>
      <w:pPr>
        <w:pStyle w:val="ListBullet"/>
      </w:pPr>
      <w:r>
        <w:t>Piège du surdosage / Substitution : Le flumazénil (Anexate®) est l'antidote spécifique en cas de surdosage, à utiliser en milieu hospitalier. La substitution du prazépam par une autre BZD doit se faire par équivalence de dose (prazépam 10 mg ≈ diazépam 5 mg ≈ lorazépam 0,5 mg ≈ bromazépam 3 mg ≈ clorazépate 5 mg).</w:t>
      </w:r>
    </w:p>
    <w:p>
      <w:pPr>
        <w:pStyle w:val="Heading2"/>
      </w:pPr>
      <w:r>
        <w:t>5. DCI : Clorazépate (dipotassique) (Seule)</w:t>
      </w:r>
    </w:p>
    <w:p>
      <w:r/>
      <w:r>
        <w:rPr>
          <w:b/>
        </w:rPr>
        <w:t>Liste des Catégories :</w:t>
      </w:r>
      <w:r>
        <w:t xml:space="preserve"> Anxiolytiques — Benzodiazépines (anxiolytiques) ; Liste I (substance vénéneuse).</w:t>
      </w:r>
    </w:p>
    <w:p>
      <w:r>
        <w:t xml:space="preserve">Le clorazépate dipotassique est une benzodiazépine anxiolytique </w:t>
      </w:r>
      <w:r>
        <w:rPr>
          <w:b/>
        </w:rPr>
        <w:t>prodrogue</w:t>
      </w:r>
      <w:r>
        <w:t xml:space="preserve">, rapidement hydrolysée dans le tractus gastro-intestinal et le plasma en </w:t>
      </w:r>
      <w:r>
        <w:rPr>
          <w:b/>
        </w:rPr>
        <w:t>désméthyldiazépam (nordazépam)</w:t>
      </w:r>
      <w:r>
        <w:t xml:space="preserve">, son métabolite actif principal. La transformation est rapide (en moins de 30 minutes), avec un délai d'action court (1 à 2 heures) et une </w:t>
      </w:r>
      <w:r>
        <w:rPr>
          <w:b/>
        </w:rPr>
        <w:t>demi-vie d'élimination longue</w:t>
      </w:r>
      <w:r>
        <w:t xml:space="preserve"> (30 à 150 heures, en moyenne 60 heures). Le clorazépam se distingue du prazépam par une conversion plus rapide en métabolite actif, ce qui permet un effet d'apparition plus rapide tout en conservant une longue durée d'action. Il est indiqué dans les anxiétés chroniques nécessitant une couverture prolongée, et existe également en forme </w:t>
      </w:r>
      <w:r>
        <w:rPr>
          <w:b/>
        </w:rPr>
        <w:t>lyophilisat injectable</w:t>
      </w:r>
      <w:r>
        <w:t xml:space="preserve"> (Tranxène 20 mg et 50 mg) pour les urgences (sevrage alcoolique, agitation aiguë, état de mal épileptique). Cette diversité galénique en fait une BZD polyvalente.</w:t>
      </w:r>
    </w:p>
    <w:p>
      <w:r/>
      <w:r>
        <w:rPr>
          <w:b/>
        </w:rPr>
        <w:t>Médicaments disponibles en Algérie (Marques, Laboratoires, Formes et Dosages) :</w:t>
      </w:r>
      <w:r/>
    </w:p>
    <w:p>
      <w:pPr>
        <w:pStyle w:val="ListBullet"/>
      </w:pPr>
      <w:r/>
      <w:r>
        <w:rPr>
          <w:b/>
        </w:rPr>
        <w:t>TRANXENE</w:t>
      </w:r>
      <w:r>
        <w:t xml:space="preserve"> (SANOFI SYNTHELABO FRANCE)</w:t>
      </w:r>
    </w:p>
    <w:p>
      <w:pPr>
        <w:pStyle w:val="ListBullet"/>
      </w:pPr>
      <w:r>
        <w:t>Formes et Dosages : Lyophilisat 20 mg/2 mL — B/5+5 ; Lyophilisat 50 mg/2,5 mL — B/5+5</w:t>
      </w:r>
    </w:p>
    <w:p>
      <w:pPr>
        <w:pStyle w:val="ListBullet"/>
      </w:pPr>
      <w:r>
        <w:t>Statut : Actif</w:t>
      </w:r>
    </w:p>
    <w:p>
      <w:pPr>
        <w:pStyle w:val="ListBullet"/>
      </w:pPr>
      <w:r/>
      <w:r>
        <w:rPr>
          <w:b/>
        </w:rPr>
        <w:t>TRANXENE</w:t>
      </w:r>
      <w:r>
        <w:t xml:space="preserve"> (SANOFI AVENTIS FRANCE)</w:t>
      </w:r>
    </w:p>
    <w:p>
      <w:pPr>
        <w:pStyle w:val="ListBullet"/>
      </w:pPr>
      <w:r>
        <w:t>Formes et Dosages : Gélule 5 mg — B/30 ; Gélule 10 mg — B/30</w:t>
      </w:r>
    </w:p>
    <w:p>
      <w:pPr>
        <w:pStyle w:val="ListBullet"/>
      </w:pPr>
      <w:r>
        <w:t>Statut : Actif</w:t>
      </w:r>
    </w:p>
    <w:p>
      <w:pPr>
        <w:pStyle w:val="ListBullet"/>
      </w:pPr>
      <w:r/>
      <w:r>
        <w:rPr>
          <w:b/>
        </w:rPr>
        <w:t>CLORAXENE</w:t>
      </w:r>
      <w:r>
        <w:t xml:space="preserve"> (LABORATOIRES SALEM)</w:t>
      </w:r>
    </w:p>
    <w:p>
      <w:pPr>
        <w:pStyle w:val="ListBullet"/>
      </w:pPr>
      <w:r>
        <w:t>Formes et Dosages : Gélule 5 mg — B/30 ; Gélule 10 mg — B/30</w:t>
      </w:r>
    </w:p>
    <w:p>
      <w:pPr>
        <w:pStyle w:val="ListBullet"/>
      </w:pPr>
      <w:r>
        <w:t>Statut : Actif</w:t>
      </w:r>
    </w:p>
    <w:p>
      <w:pPr>
        <w:pStyle w:val="ListBullet"/>
      </w:pPr>
      <w:r/>
      <w:r>
        <w:rPr>
          <w:b/>
        </w:rPr>
        <w:t>NOXENE</w:t>
      </w:r>
      <w:r>
        <w:t xml:space="preserve"> (BIOGALENIC)</w:t>
      </w:r>
    </w:p>
    <w:p>
      <w:pPr>
        <w:pStyle w:val="ListBullet"/>
      </w:pPr>
      <w:r>
        <w:t>Formes et Dosages : Gélule 5 mg — B/30 ; Gélule 10 mg — B/30</w:t>
      </w:r>
    </w:p>
    <w:p>
      <w:pPr>
        <w:pStyle w:val="ListBullet"/>
      </w:pPr>
      <w:r>
        <w:t>Statut : Actif</w:t>
      </w:r>
    </w:p>
    <w:p>
      <w:pPr>
        <w:pStyle w:val="ListBullet"/>
      </w:pPr>
      <w:r/>
      <w:r>
        <w:rPr>
          <w:b/>
        </w:rPr>
        <w:t>TRANOXANE</w:t>
      </w:r>
      <w:r>
        <w:t xml:space="preserve"> (SANAMED)</w:t>
      </w:r>
    </w:p>
    <w:p>
      <w:pPr>
        <w:pStyle w:val="ListBullet"/>
      </w:pPr>
      <w:r>
        <w:t>Formes et Dosages : Gélule 5 mg — B/30 ; Gélule 10 mg — B/30</w:t>
      </w:r>
    </w:p>
    <w:p>
      <w:pPr>
        <w:pStyle w:val="ListBullet"/>
      </w:pPr>
      <w:r>
        <w:t>Statut : Actif</w:t>
      </w:r>
    </w:p>
    <w:p>
      <w:r/>
      <w:r>
        <w:rPr>
          <w:b/>
        </w:rPr>
        <w:t>Sous-classe et Mécanisme d'action :</w:t>
      </w:r>
      <w:r/>
    </w:p>
    <w:p>
      <w:pPr>
        <w:pStyle w:val="ListBullet"/>
      </w:pPr>
      <w:r>
        <w:t>Sous-classe : Benzodiazépine anxiolytique de longue durée d'action, prodrogue, classée N05BA05 dans la classification ATC. Son métabolite actif (désméthyldiazépam/nordazépam) est responsable de l'activité pharmacologique.</w:t>
      </w:r>
    </w:p>
    <w:p>
      <w:pPr>
        <w:pStyle w:val="ListBullet"/>
      </w:pPr>
      <w:r>
        <w:t xml:space="preserve">Mécanisme d'action : Le clorazépate dipotassique est hydrolysé en </w:t>
      </w:r>
      <w:r>
        <w:rPr>
          <w:b/>
        </w:rPr>
        <w:t>désméthyldiazépam</w:t>
      </w:r>
      <w:r>
        <w:t xml:space="preserve"> (nordazépam) avant d'atteindre la circulation systémique. Le nordazépam est un modulateur allostérique positif du récepteur GABA-A, qui se fixe sur le site ω (interface α/γ du récepteur pentamérique) et augmente la fréquence d'ouverture du canal chlore en présence de GABA endogène, hyperpolarisant la membrane postsynaptique et réduisant l'excitabilité neuronale. L'effet anxiolytique est prédominant (sous-unités α2 et α3 du système limbique), avec une longue durée d'action permettant une couverture 24 heures en une ou deux prises.</w:t>
      </w:r>
    </w:p>
    <w:p>
      <w:r/>
      <w:r>
        <w:rPr>
          <w:b/>
        </w:rPr>
        <w:t>Profil Pharmacologique :</w:t>
      </w:r>
      <w:r/>
    </w:p>
    <w:p>
      <w:pPr>
        <w:pStyle w:val="ListBullet"/>
      </w:pPr>
      <w:r>
        <w:t>Indications : Traitement de l'anxiété généralisée chronique, des troubles anxieux réactionnels, de l'anxiété associée à la dépression (en appoint), du sevrage alcoolique (forme injectable en hospitalisation), de l'agitation aiguë (forme injectable), de l'état de mal épileptique (forme injectable en alternative au diazépam). La durée du traitement oral ne doit pas excéder 12 semaines (HAS).</w:t>
      </w:r>
    </w:p>
    <w:p>
      <w:pPr>
        <w:pStyle w:val="ListBullet"/>
      </w:pPr>
      <w:r>
        <w:t>Contre-indications : Myasthénie (CI absolue), insuffisance respiratoire sévère, syndrome d'apnée du sommeil, insuffisance hépatique sévère (la conversion en métabolite actif est compromise), glaucome aigu par fermeture de l'angle, allergie aux benzodiazépines, intoxication alcoolique aiguë. Association aux opioïdes : mise en garde majeure.</w:t>
      </w:r>
    </w:p>
    <w:p>
      <w:pPr>
        <w:pStyle w:val="ListBullet"/>
      </w:pPr>
      <w:r>
        <w:t>Effets Indésirables : Sédation diurne (fréquente en raison de l'accumulation du métabolite actif), somnolence, asthénie, ataxie, troubles de la mémoire antérograde, confusion chez le sujet âgé, hypotonie musculaire, réactions paradoxales (agitation, agressivité, insomnie), dépendance physique et psychologique après 4 à 12 semaines, syndrome de sevrage à l'arrêt brutal. La longue demi-vie expose à un risque d'accumulation et d'effets résiduels prolongés.</w:t>
      </w:r>
    </w:p>
    <w:p>
      <w:r/>
      <w:r>
        <w:rPr>
          <w:b/>
        </w:rPr>
        <w:t>Prévention et Gestion des Effets Indésirables :</w:t>
      </w:r>
      <w:r/>
    </w:p>
    <w:p>
      <w:pPr>
        <w:pStyle w:val="ListBullet"/>
      </w:pPr>
      <w:r>
        <w:t>Mesures Préventives : Limiter la prescription à 4–12 semaines (HAS), prescrire la dose minimale efficace, éviter chez le sujet âgé en raison de l'accumulation du métabolite actif. Informer le patient des risques de dépendance, de sevrage et d'accumulation. Privilégier une seule prise le soir ou deux prises (matin et soir). Association systématique à une prise en charge non pharmacologique (TCC, hygiène de vie).</w:t>
      </w:r>
    </w:p>
    <w:p>
      <w:pPr>
        <w:pStyle w:val="ListBullet"/>
      </w:pPr>
      <w:r>
        <w:t>Conduite à Tenir : En cas d'usage prolongé au-delà de 12 semaines, organiser un arrêt progressif sur 6 à 12 semaines par paliers de 1/8 à 1/4 de la dose initiale. En cas de surdosage : flumazénil (Anexate®) en IV à 0,2 mg puis 0,1 mg/min jusqu'à 1 mg ; surveillance hospitalière prolongée 12 à 24 h en raison de la longue demi-vie du métabolite actif. Pour la forme injectable en cas de surdosage aigu, surveillance continue en réanimation.</w:t>
      </w:r>
    </w:p>
    <w:p>
      <w:r/>
      <w:r>
        <w:rPr>
          <w:b/>
        </w:rPr>
        <w:t>Interactions Importantes :</w:t>
      </w:r>
      <w:r/>
    </w:p>
    <w:p>
      <w:pPr>
        <w:pStyle w:val="ListBullet"/>
      </w:pPr>
      <w:r>
        <w:t>Clorazépate + alcool : potentialisation majeure (CI absolue).</w:t>
      </w:r>
    </w:p>
    <w:p>
      <w:pPr>
        <w:pStyle w:val="ListBullet"/>
      </w:pPr>
      <w:r>
        <w:t>Clorazépate + opioïdes : risque vital de dépression respiratoire.</w:t>
      </w:r>
    </w:p>
    <w:p>
      <w:pPr>
        <w:pStyle w:val="ListBullet"/>
      </w:pPr>
      <w:r>
        <w:t>Clorazépate + autres dépresseurs du SNC : potentialisation de la sédation.</w:t>
      </w:r>
    </w:p>
    <w:p>
      <w:pPr>
        <w:pStyle w:val="ListBullet"/>
      </w:pPr>
      <w:r>
        <w:t>Clorazépate + fluoxétine, fluvoxamine, isoniazide, oméprazole (inhibiteurs CYP3A4) : augmentation des concentrations du métabolite actif.</w:t>
      </w:r>
    </w:p>
    <w:p>
      <w:pPr>
        <w:pStyle w:val="ListBullet"/>
      </w:pPr>
      <w:r>
        <w:t>Clorazépate + rifampicine, carbamazépine, phénobarbital : diminution de l'efficacité.</w:t>
      </w:r>
    </w:p>
    <w:p>
      <w:pPr>
        <w:pStyle w:val="ListBullet"/>
      </w:pPr>
      <w:r>
        <w:t>Clorazépate + phénytoïne : interaction métabolique.</w:t>
      </w:r>
    </w:p>
    <w:p>
      <w:pPr>
        <w:pStyle w:val="ListBullet"/>
      </w:pPr>
      <w:r>
        <w:t>Clorazépate + cimétidine, disulfirame : diminution de la métabolisation.</w:t>
      </w:r>
    </w:p>
    <w:p>
      <w:r/>
      <w:r>
        <w:rPr>
          <w:b/>
        </w:rPr>
        <w:t>Grossesse et Allaitement :</w:t>
      </w:r>
      <w:r/>
    </w:p>
    <w:p>
      <w:pPr>
        <w:pStyle w:val="ListBullet"/>
      </w:pPr>
      <w:r>
        <w:t>Grossesse : À éviter, surtout au 1er trimestre (risque malformatif) et au 3e trimestre (risque de syndrome de sevrage néonatal, hypotonie, détresse respiratoire, hypothermie). Le CRAT recommande un arrêt préférentiel avant la fin de grossesse. Le métabolite actif (nordazépam) traverse massivement la barrière placentaire.</w:t>
      </w:r>
    </w:p>
    <w:p>
      <w:pPr>
        <w:pStyle w:val="ListBullet"/>
      </w:pPr>
      <w:r>
        <w:t>Allaitement : Le métabolite actif passe dans le lait maternel et peut s'accumuler chez le nourrisson. Le CRAT recommande de ne pas allaiter sous clorazépate.</w:t>
      </w:r>
    </w:p>
    <w:p>
      <w:pPr>
        <w:pStyle w:val="ListBullet"/>
      </w:pPr>
      <w:r>
        <w:t>Précisions : En cas de traitement indispensable au long cours, contraception efficace obligatoire. Si découverte de grossesse sous clorazépate : ne pas arrêter brutalement, envisager un sevrage progressif long.</w:t>
      </w:r>
    </w:p>
    <w:p>
      <w:r/>
      <w:r>
        <w:rPr>
          <w:b/>
        </w:rPr>
        <w:t>Posologie et Mode d'administration (Standard) :</w:t>
      </w:r>
      <w:r/>
    </w:p>
    <w:p>
      <w:pPr>
        <w:pStyle w:val="ListBullet"/>
      </w:pPr>
      <w:r>
        <w:t>Adulte : 5 à 10 mg par prise, 2 à 3 fois par jour, soit 10 à 30 mg/jour (maximum 60 mg/jour en psychiatrie). Schéma usuel : 10 mg matin, midi et soir ou 20 mg matin et soir. Dans le sevrage alcoolique en hospitalisation : 25 à 100 mg/jour en IM ou IV, adaptation selon la sévérité. État de mal épileptique : 20 mg IV lente, renouvelable.</w:t>
      </w:r>
    </w:p>
    <w:p>
      <w:pPr>
        <w:pStyle w:val="ListBullet"/>
      </w:pPr>
      <w:r>
        <w:t>Sujet âgé : 2,5 à 5 mg par prise, 2 fois par jour, soit 5 à 10 mg/jour. À éviter en première intention.</w:t>
      </w:r>
    </w:p>
    <w:p>
      <w:pPr>
        <w:pStyle w:val="ListBullet"/>
      </w:pPr>
      <w:r>
        <w:t>Enfant : non recommandé en dessous de 6 ans ; posologie adaptée au poids.</w:t>
      </w:r>
    </w:p>
    <w:p>
      <w:pPr>
        <w:pStyle w:val="ListBullet"/>
      </w:pPr>
      <w:r>
        <w:t>Durée : 4 à 12 semaines maximum, y compris période d'arrêt progressif.</w:t>
      </w:r>
    </w:p>
    <w:p>
      <w:pPr>
        <w:pStyle w:val="ListBullet"/>
      </w:pPr>
      <w:r>
        <w:t>Moment de la prise : réparti sur la journée. La prise unique vespérale est possible dans les anxiétés chroniques.</w:t>
      </w:r>
    </w:p>
    <w:p>
      <w:r/>
      <w:r>
        <w:rPr>
          <w:b/>
        </w:rPr>
        <w:t>Arbitrage et Bénéfices des Formes Galéniques :</w:t>
      </w:r>
      <w:r/>
    </w:p>
    <w:p>
      <w:pPr>
        <w:pStyle w:val="ListBullet"/>
      </w:pPr>
      <w:r>
        <w:t>Gélules 5 mg et 10 mg : forme orale de référence, permet une titration fine et une adaptation posologique aisée. La gélule ne peut pas être sécable, ce qui peut limiter la décroissance ultra-fine.</w:t>
      </w:r>
    </w:p>
    <w:p>
      <w:pPr>
        <w:pStyle w:val="ListBullet"/>
      </w:pPr>
      <w:r>
        <w:t>Lyophilisat injectable 20 mg/2 mL et 50 mg/2,5 mL (Tranxène) : indiqué pour les urgences (sevrage alcoolique hospitalier, agitation aiguë, état de mal épileptique). Le lyophilisat se reconstitue avec le solvant fourni dans la boîte. Précaution au comptoir : bien vérifier la présence des deux flacons (poudre + solvant), expliquer la reconstitution au personnel soignant.</w:t>
      </w:r>
    </w:p>
    <w:p>
      <w:pPr>
        <w:pStyle w:val="ListBullet"/>
      </w:pPr>
      <w:r>
        <w:t>Absence de solution buvable : pas d'adaptation pédiatrique aisée.</w:t>
      </w:r>
    </w:p>
    <w:p>
      <w:r/>
      <w:r>
        <w:rPr>
          <w:b/>
        </w:rPr>
        <w:t>Instructions et Conseils au Patient :</w:t>
      </w:r>
      <w:r/>
    </w:p>
    <w:p>
      <w:pPr>
        <w:pStyle w:val="ListBullet"/>
      </w:pPr>
      <w:r>
        <w:t>Communication au comptoir : « Ce médicament agit en continu pour calmer votre anxiété. L'effet peut mettre quelques heures à s'installer. Ne pas dépasser 12 semaines de traitement. L'arrêt devra se faire très progressivement. Ne buvez pas d'alcool. Évitez la conduite automobile. »</w:t>
      </w:r>
    </w:p>
    <w:p>
      <w:pPr>
        <w:pStyle w:val="ListBullet"/>
      </w:pPr>
      <w:r>
        <w:t>Mode d'utilisation pratique : Prendre à heure fixe pour faciliter l'observance. En cas d'oubli, ne pas doubler la dose suivante. Tenir un journal de l'anxiété. Signaler tout signe de dépendance ou d'accumulation (sédation diurne croissante, confusion, chutes). Pour le lyophilisat injectable : usage exclusivement hospitalier.</w:t>
      </w:r>
    </w:p>
    <w:p>
      <w:r/>
      <w:r>
        <w:rPr>
          <w:b/>
        </w:rPr>
        <w:t>Notes, Règles d'Or &amp; Pièges au Comptoir :</w:t>
      </w:r>
      <w:r/>
    </w:p>
    <w:p>
      <w:pPr>
        <w:pStyle w:val="ListBullet"/>
      </w:pPr>
      <w:r>
        <w:t>Piège classique : La longue demi-vie du métabolite actif (nordazépam) expose à un risque d'accumulation et d'effets résiduels, particulièrement chez le sujet âgé. L'arrêt brutal expose à un syndrome de sevrage sévère (convulsions, délire). Le risque d'amnésie antérograde est présent mais moins marqué qu'avec le lorazépam ou le flunitrazépam.</w:t>
      </w:r>
    </w:p>
    <w:p>
      <w:pPr>
        <w:pStyle w:val="ListBullet"/>
      </w:pPr>
      <w:r>
        <w:t>Règle de prise : Pas d'automédication, pas de reprise de dose en cas d'impatience, pas d'association à l'alcool ni aux opioïdes.</w:t>
      </w:r>
    </w:p>
    <w:p>
      <w:pPr>
        <w:pStyle w:val="ListBullet"/>
      </w:pPr>
      <w:r>
        <w:t>Préparation et Conservation : Conserver à température ambiante (&lt; 25 °C), à l'abri de la lumière et de l'humidité. Le lyophilisat se conserve selon les mentions du RCP ; la solution reconstituée doit être utilisée immédiatement. Tenir hors de portée des enfants.</w:t>
      </w:r>
    </w:p>
    <w:p>
      <w:pPr>
        <w:pStyle w:val="ListBullet"/>
      </w:pPr>
      <w:r>
        <w:t>Piège du surdosage / Substitution : Le flumazénil (Anexate®) est l'antidote spécifique en cas de surdosage, à utiliser en milieu hospitalier. La substitution du clorazépate par une autre BZD doit se faire par équivalence de dose (clorazépate 10 mg ≈ diazépam 5 mg ≈ prazépam 10 mg ≈ lorazépam 0,5 mg ≈ bromazépam 3 mg).</w:t>
      </w:r>
    </w:p>
    <w:p>
      <w:pPr>
        <w:pStyle w:val="Heading2"/>
      </w:pPr>
      <w:r>
        <w:t>6. DCI : Chlordiazépoxide (Seule)</w:t>
      </w:r>
    </w:p>
    <w:p>
      <w:r/>
      <w:r>
        <w:rPr>
          <w:b/>
        </w:rPr>
        <w:t>Liste des Catégories :</w:t>
      </w:r>
      <w:r>
        <w:t xml:space="preserve"> Anxiolytiques — Benzodiazépines (anxiolytiques) ; Liste I (substance vénéneuse).</w:t>
      </w:r>
    </w:p>
    <w:p>
      <w:r>
        <w:t xml:space="preserve">Le chlordiazépoxide est la </w:t>
      </w:r>
      <w:r>
        <w:rPr>
          <w:b/>
        </w:rPr>
        <w:t>toute première benzodiazépine</w:t>
      </w:r>
      <w:r>
        <w:t xml:space="preserve"> synthétisée, découverte accidentellement par Leo Sternbach chez Hoffmann-La Roche en 1957, et commercialisée sous le nom de </w:t>
      </w:r>
      <w:r>
        <w:rPr>
          <w:b/>
        </w:rPr>
        <w:t>Librium®</w:t>
      </w:r>
      <w:r>
        <w:t xml:space="preserve"> dès 1960. Cette molécule historique a ouvert l'ère des BZD, supplantant les barbituriques et le méprobamate. Sa pharmacologie est caractérisée par une </w:t>
      </w:r>
      <w:r>
        <w:rPr>
          <w:b/>
        </w:rPr>
        <w:t>demi-vie longue</w:t>
      </w:r>
      <w:r>
        <w:t xml:space="preserve"> (5 à 30 heures) avec un </w:t>
      </w:r>
      <w:r>
        <w:rPr>
          <w:b/>
        </w:rPr>
        <w:t>métabolite actif principal</w:t>
      </w:r>
      <w:r>
        <w:t xml:space="preserve">, le désméthylchlordiazépoxide, lui-même transformé en </w:t>
      </w:r>
      <w:r>
        <w:rPr>
          <w:b/>
        </w:rPr>
        <w:t>démoxépam</w:t>
      </w:r>
      <w:r>
        <w:t xml:space="preserve"> (demi-vie 14 à 95 heures) puis en nordazépam. L'accumulation de ces métabolites actifs explique une longue durée d'action et un risque d'accumulation. Le chlordiazépoxide a été largement utilisé dans le sevrage alcoolique (prévention du delirium tremens), l'anxiété, et en association avec un anticholinergique (clidinium) dans les troubles fonctionnels intestinaux. En Algérie, la spécialité Novapoxid® (Nova Argentia) subsiste en statut </w:t>
      </w:r>
      <w:r>
        <w:rPr>
          <w:b/>
        </w:rPr>
        <w:t>Non Renouvelable</w:t>
      </w:r>
      <w:r>
        <w:t>.</w:t>
      </w:r>
    </w:p>
    <w:p>
      <w:r/>
      <w:r>
        <w:rPr>
          <w:b/>
        </w:rPr>
        <w:t>Médicaments disponibles en Algérie (Marques, Laboratoires, Formes et Dosages) :</w:t>
      </w:r>
      <w:r/>
    </w:p>
    <w:p>
      <w:pPr>
        <w:pStyle w:val="ListBullet"/>
      </w:pPr>
      <w:r/>
      <w:r>
        <w:rPr>
          <w:b/>
        </w:rPr>
        <w:t>NOVAPOXID</w:t>
      </w:r>
      <w:r>
        <w:t xml:space="preserve"> (NOVA ARGENTIA)</w:t>
      </w:r>
    </w:p>
    <w:p>
      <w:pPr>
        <w:pStyle w:val="ListBullet"/>
      </w:pPr>
      <w:r>
        <w:t>Formes et Dosages : Comprimé 5 mg — B/30</w:t>
      </w:r>
    </w:p>
    <w:p>
      <w:pPr>
        <w:pStyle w:val="ListBullet"/>
      </w:pPr>
      <w:r>
        <w:t>Statut : Non Renouvelable</w:t>
      </w:r>
    </w:p>
    <w:p>
      <w:pPr>
        <w:pStyle w:val="ListBullet"/>
      </w:pPr>
      <w:r/>
      <w:r>
        <w:rPr>
          <w:b/>
        </w:rPr>
        <w:t>NOVAPOXID</w:t>
      </w:r>
      <w:r>
        <w:t xml:space="preserve"> (NOVA ARGENTIA) — Gélules 10 mg — B/50 — Retiré (R)</w:t>
      </w:r>
    </w:p>
    <w:p>
      <w:pPr>
        <w:pStyle w:val="ListBullet"/>
      </w:pPr>
      <w:r/>
      <w:r>
        <w:rPr>
          <w:b/>
        </w:rPr>
        <w:t>CHLORDIAZEPOXIDE</w:t>
      </w:r>
      <w:r>
        <w:t xml:space="preserve"> (MEDICUBA) — Comprimé 10 mg — B/10 — Retiré (R)</w:t>
      </w:r>
    </w:p>
    <w:p>
      <w:r/>
      <w:r>
        <w:rPr>
          <w:b/>
        </w:rPr>
        <w:t>Sous-classe et Mécanisme d'action :</w:t>
      </w:r>
      <w:r/>
    </w:p>
    <w:p>
      <w:pPr>
        <w:pStyle w:val="ListBullet"/>
      </w:pPr>
      <w:r>
        <w:t>Sous-classe : Benzodiazépine anxiolytique de longue durée d'action, classée N05BA02 dans la classification ATC. Première BZD historique, tombée en relative désuétude en raison de la disponibilité de molécules plus modernes.</w:t>
      </w:r>
    </w:p>
    <w:p>
      <w:pPr>
        <w:pStyle w:val="ListBullet"/>
      </w:pPr>
      <w:r>
        <w:t>Mécanisme d'action : Modulateur allostérique positif du récepteur GABA-A. Le chlordiazépoxide se fixe sur le site ω (interface α/γ du récepteur pentamérique) et augmente la fréquence d'ouverture du canal chlore en présence de GABA endogène, hyperpolarisant la membrane postsynaptique et réduisant l'excitabilité neuronale. L'effet anxiolytique est prédominant. Ses métabolites (désméthylchlordiazépoxide, démoxépam, nordazépam) sont également actifs sur le récepteur GABA-A.</w:t>
      </w:r>
    </w:p>
    <w:p>
      <w:r/>
      <w:r>
        <w:rPr>
          <w:b/>
        </w:rPr>
        <w:t>Profil Pharmacologique :</w:t>
      </w:r>
      <w:r/>
    </w:p>
    <w:p>
      <w:pPr>
        <w:pStyle w:val="ListBullet"/>
      </w:pPr>
      <w:r>
        <w:t>Indications : Historiquement indiqué dans le traitement de l'anxiété généralisée, des troubles anxieux réactionnels, et du sevrage alcoolique (prévention du delirium tremens). Aujourd'hui supplanté par le diazépam et le lorazépam pour ces indications. La durée du traitement ne doit pas excéder 12 semaines (HAS).</w:t>
      </w:r>
    </w:p>
    <w:p>
      <w:pPr>
        <w:pStyle w:val="ListBullet"/>
      </w:pPr>
      <w:r>
        <w:t>Contre-indications : Myasthénie (CI absolue), insuffisance respiratoire sévère, syndrome d'apnée du sommeil, insuffisance hépatique sévère, glaucome aigu par fermeture de l'angle, allergie aux benzodiazépines, intoxication alcoolique aiguë. Association aux opioïdes : mise en garde majeure.</w:t>
      </w:r>
    </w:p>
    <w:p>
      <w:pPr>
        <w:pStyle w:val="ListBullet"/>
      </w:pPr>
      <w:r>
        <w:t>Effets Indésirables : Sédation, somnolence, asthénie, ataxie, troubles de la mémoire antérograde, confusion chez le sujet âgé, hypotonie musculaire, réactions paradoxales (agitation, agressivité, insomnie), dépendance physique et psychologique après 4 à 12 semaines, syndrome de sevrage à l'arrêt brutal. La longue demi-vie des métabolites actifs expose à un risque d'accumulation.</w:t>
      </w:r>
    </w:p>
    <w:p>
      <w:r/>
      <w:r>
        <w:rPr>
          <w:b/>
        </w:rPr>
        <w:t>Prévention et Gestion des Effets Indésirables :</w:t>
      </w:r>
      <w:r/>
    </w:p>
    <w:p>
      <w:pPr>
        <w:pStyle w:val="ListBullet"/>
      </w:pPr>
      <w:r>
        <w:t>Mesures Préventives : Limiter la prescription à 4–12 semaines (HAS), prescrire la dose minimale efficace, éviter chez le sujet âgé. Informer le patient des risques de dépendance et de sevrage. Association systématique à une prise en charge non pharmacologique.</w:t>
      </w:r>
    </w:p>
    <w:p>
      <w:pPr>
        <w:pStyle w:val="ListBullet"/>
      </w:pPr>
      <w:r>
        <w:t>Conduite à Tenir : En cas d'usage prolongé au-delà de 12 semaines, organiser un arrêt progressif sur 6 à 12 semaines par paliers de 1/8 à 1/4 de la dose initiale. En cas de surdosage : flumazénil (Anexate®) en IV à 0,2 mg puis 0,1 mg/min jusqu'à 1 mg, en milieu hospitalier.</w:t>
      </w:r>
    </w:p>
    <w:p>
      <w:r/>
      <w:r>
        <w:rPr>
          <w:b/>
        </w:rPr>
        <w:t>Interactions Importantes :</w:t>
      </w:r>
      <w:r/>
    </w:p>
    <w:p>
      <w:pPr>
        <w:pStyle w:val="ListBullet"/>
      </w:pPr>
      <w:r>
        <w:t>Chlordiazépoxide + alcool : potentialisation majeure (CI absolue).</w:t>
      </w:r>
    </w:p>
    <w:p>
      <w:pPr>
        <w:pStyle w:val="ListBullet"/>
      </w:pPr>
      <w:r>
        <w:t>Chlordiazépoxide + opioïdes : risque vital de dépression respiratoire.</w:t>
      </w:r>
    </w:p>
    <w:p>
      <w:pPr>
        <w:pStyle w:val="ListBullet"/>
      </w:pPr>
      <w:r>
        <w:t>Chlordiazépoxide + autres dépresseurs du SNC : potentialisation de la sédation.</w:t>
      </w:r>
    </w:p>
    <w:p>
      <w:pPr>
        <w:pStyle w:val="ListBullet"/>
      </w:pPr>
      <w:r>
        <w:t>Chlordiazépoxide + inhibiteurs CYP3A4 : augmentation des concentrations.</w:t>
      </w:r>
    </w:p>
    <w:p>
      <w:pPr>
        <w:pStyle w:val="ListBullet"/>
      </w:pPr>
      <w:r>
        <w:t>Chlordiazépoxide + inducteurs enzymatiques : diminution de l'efficacité.</w:t>
      </w:r>
    </w:p>
    <w:p>
      <w:r/>
      <w:r>
        <w:rPr>
          <w:b/>
        </w:rPr>
        <w:t>Grossesse et Allaitement :</w:t>
      </w:r>
      <w:r/>
    </w:p>
    <w:p>
      <w:pPr>
        <w:pStyle w:val="ListBullet"/>
      </w:pPr>
      <w:r>
        <w:t>Grossesse : À éviter, surtout au 1er et au 3e trimestre (syndrome de sevrage néonatal, hypotonie). Le CRAT recommande un arrêt préférentiel avant la fin de grossesse.</w:t>
      </w:r>
    </w:p>
    <w:p>
      <w:pPr>
        <w:pStyle w:val="ListBullet"/>
      </w:pPr>
      <w:r>
        <w:t>Allaitement : Le chlordiazépoxide et ses métabolites passent dans le lait maternel. Le CRAT recommande de ne pas allaiter sous chlordiazépoxide.</w:t>
      </w:r>
    </w:p>
    <w:p>
      <w:pPr>
        <w:pStyle w:val="ListBullet"/>
      </w:pPr>
      <w:r>
        <w:t>Précisions : En cas de traitement indispensable au long cours, contraception efficace obligatoire.</w:t>
      </w:r>
    </w:p>
    <w:p>
      <w:r/>
      <w:r>
        <w:rPr>
          <w:b/>
        </w:rPr>
        <w:t>Posologie et Mode d'administration (Standard) :</w:t>
      </w:r>
      <w:r/>
    </w:p>
    <w:p>
      <w:pPr>
        <w:pStyle w:val="ListBullet"/>
      </w:pPr>
      <w:r>
        <w:t>Adulte : 5 à 10 mg par prise, 3 à 4 fois par jour, soit 15 à 40 mg/jour (maximum 100 mg/jour dans le sevrage alcoolique hospitalier). Schéma usuel : 10 mg matin, midi et soir.</w:t>
      </w:r>
    </w:p>
    <w:p>
      <w:pPr>
        <w:pStyle w:val="ListBullet"/>
      </w:pPr>
      <w:r>
        <w:t>Sujet âgé : 2,5 à 5 mg par prise, 2 fois par jour.</w:t>
      </w:r>
    </w:p>
    <w:p>
      <w:pPr>
        <w:pStyle w:val="ListBullet"/>
      </w:pPr>
      <w:r>
        <w:t>Enfant : 0,5 mg/kg/jour sous surveillance pédiatrique.</w:t>
      </w:r>
    </w:p>
    <w:p>
      <w:pPr>
        <w:pStyle w:val="ListBullet"/>
      </w:pPr>
      <w:r>
        <w:t>Durée : 4 à 12 semaines maximum, y compris période d'arrêt progressif.</w:t>
      </w:r>
    </w:p>
    <w:p>
      <w:pPr>
        <w:pStyle w:val="ListBullet"/>
      </w:pPr>
      <w:r>
        <w:t>Moment de la prise : réparti sur la journée.</w:t>
      </w:r>
    </w:p>
    <w:p>
      <w:r/>
      <w:r>
        <w:rPr>
          <w:b/>
        </w:rPr>
        <w:t>Arbitrage et Bénéfices des Formes Galéniques :</w:t>
      </w:r>
      <w:r/>
    </w:p>
    <w:p>
      <w:pPr>
        <w:pStyle w:val="ListBullet"/>
      </w:pPr>
      <w:r>
        <w:t>Comprimés 5 mg et 10 mg : forme orale de référence. Pas de sécabilité aisée, ce qui peut limiter la décroissance fine.</w:t>
      </w:r>
    </w:p>
    <w:p>
      <w:pPr>
        <w:pStyle w:val="ListBullet"/>
      </w:pPr>
      <w:r>
        <w:t>Absence de forme injectable ou buvable en Algérie.</w:t>
      </w:r>
    </w:p>
    <w:p>
      <w:r/>
      <w:r>
        <w:rPr>
          <w:b/>
        </w:rPr>
        <w:t>Instructions et Conseils au Patient :</w:t>
      </w:r>
      <w:r/>
    </w:p>
    <w:p>
      <w:pPr>
        <w:pStyle w:val="ListBullet"/>
      </w:pPr>
      <w:r>
        <w:t>Communication au comptoir : « Ce médicament calme votre anxiété mais ne doit pas être pris plus de 12 semaines. Ne l'arrêtez jamais brutalement. Ne buvez pas d'alcool. Évitez la conduite automobile. »</w:t>
      </w:r>
    </w:p>
    <w:p>
      <w:pPr>
        <w:pStyle w:val="ListBullet"/>
      </w:pPr>
      <w:r>
        <w:t>Mode d'utilisation pratique : Prendre à heure fixe pour faciliter l'observance. En cas d'oubli, ne pas doubler la dose suivante. Tenir un journal de l'anxiété. Signaler tout signe de dépendance.</w:t>
      </w:r>
    </w:p>
    <w:p>
      <w:r/>
      <w:r>
        <w:rPr>
          <w:b/>
        </w:rPr>
        <w:t>Notes, Règles d'Or &amp; Pièges au Comptoir :</w:t>
      </w:r>
      <w:r/>
    </w:p>
    <w:p>
      <w:pPr>
        <w:pStyle w:val="ListBullet"/>
      </w:pPr>
      <w:r>
        <w:t>Piège classique : La longue demi-vie des métabolites actifs expose à un risque d'accumulation. L'arrêt brutal expose à un syndrome de sevrage sévère. Le sujet âgé présente un risque accru de chutes et de décompensation cognitive.</w:t>
      </w:r>
    </w:p>
    <w:p>
      <w:pPr>
        <w:pStyle w:val="ListBullet"/>
      </w:pPr>
      <w:r>
        <w:t>Règle de prise : Pas d'automédication, pas d'association à l'alcool ni aux opioïdes.</w:t>
      </w:r>
    </w:p>
    <w:p>
      <w:pPr>
        <w:pStyle w:val="ListBullet"/>
      </w:pPr>
      <w:r>
        <w:t>Préparation et Conservation : Conserver à température ambiante (&lt; 25 °C), à l'abri de la lumière et de l'humidité. Tenir hors de portée des enfants.</w:t>
      </w:r>
    </w:p>
    <w:p>
      <w:pPr>
        <w:pStyle w:val="ListBullet"/>
      </w:pPr>
      <w:r>
        <w:t>Piège du surdosage / Substitution : Le flumazénil (Anexate®) est l'antidote spécifique en cas de surdosage. Équivalence : chlordiazépoxide 25 mg ≈ diazépam 5 mg ≈ lorazépam 0,5 mg.</w:t>
      </w:r>
    </w:p>
    <w:p>
      <w:pPr>
        <w:pStyle w:val="Heading2"/>
      </w:pPr>
      <w:r>
        <w:t>7. DCI : Clonazépam (Seule)</w:t>
      </w:r>
    </w:p>
    <w:p>
      <w:r/>
      <w:r>
        <w:rPr>
          <w:b/>
        </w:rPr>
        <w:t>Liste des Catégories :</w:t>
      </w:r>
      <w:r>
        <w:t xml:space="preserve"> Anxiolytiques — Benzodiazépines (antiépileptique/anxiolytique) ; Liste I (substance vénéneuse).</w:t>
      </w:r>
    </w:p>
    <w:p>
      <w:r>
        <w:t xml:space="preserve">Le clonazépam est une benzodiazépine à </w:t>
      </w:r>
      <w:r>
        <w:rPr>
          <w:b/>
        </w:rPr>
        <w:t>longue durée d'action</w:t>
      </w:r>
      <w:r>
        <w:t xml:space="preserve"> (20 à 60 heures) dotée d'un puissant effet </w:t>
      </w:r>
      <w:r>
        <w:rPr>
          <w:b/>
        </w:rPr>
        <w:t>anticonvulsivant</w:t>
      </w:r>
      <w:r>
        <w:t xml:space="preserve">. Historiquement commercialisée sous le nom de Rivotril® (Roche, retiré du marché algérien), la molécule est encore disponible sous plusieurs génériques actifs en Algérie (Clona, Novatril, Rivomed). Le clonazépam est indiqué en première intention dans certaines épilepsies (absences, myoclonies, crises partielles complexes), en traitement adjuvant des troubles anxieux sévères, des crises d'angoisse paroxystiques résistantes au lorazépam, du syndrome des jambes sans repos sévère, et des douleurs neuropathiques paroxystiques (névralgies faciales). Sa prescription initiale est </w:t>
      </w:r>
      <w:r>
        <w:rPr>
          <w:b/>
        </w:rPr>
        <w:t>réservée aux neurologues et psychiatres</w:t>
      </w:r>
      <w:r>
        <w:t xml:space="preserve"> en France (mention de prescription restreinte), le renouvellement pouvant être fait par tout médecin. En Algérie, le statut Liste I n'impose pas de restriction de prescription, mais la prudence est de mise en raison du risque de mésusage et de dépendance.</w:t>
      </w:r>
    </w:p>
    <w:p>
      <w:r/>
      <w:r>
        <w:rPr>
          <w:b/>
        </w:rPr>
        <w:t>Médicaments disponibles en Algérie (Marques, Laboratoires, Formes et Dosages) :</w:t>
      </w:r>
      <w:r/>
    </w:p>
    <w:p>
      <w:pPr>
        <w:pStyle w:val="ListBullet"/>
      </w:pPr>
      <w:r/>
      <w:r>
        <w:rPr>
          <w:b/>
        </w:rPr>
        <w:t>CLONA</w:t>
      </w:r>
      <w:r>
        <w:t xml:space="preserve"> (SARL GROUPE SANTE)</w:t>
      </w:r>
    </w:p>
    <w:p>
      <w:pPr>
        <w:pStyle w:val="ListBullet"/>
      </w:pPr>
      <w:r>
        <w:t>Formes et Dosages : Comprimé 2 mg — B/20 ; Solution buvable 2,5 mg/mL — Flacon de 20 mL</w:t>
      </w:r>
    </w:p>
    <w:p>
      <w:pPr>
        <w:pStyle w:val="ListBullet"/>
      </w:pPr>
      <w:r>
        <w:t>Statut : Actif</w:t>
      </w:r>
    </w:p>
    <w:p>
      <w:pPr>
        <w:pStyle w:val="ListBullet"/>
      </w:pPr>
      <w:r/>
      <w:r>
        <w:rPr>
          <w:b/>
        </w:rPr>
        <w:t>NOVATRIL</w:t>
      </w:r>
      <w:r>
        <w:t xml:space="preserve"> (INDUSTRIA FARMACEUTICA NOVA ARGENTIA SPA)</w:t>
      </w:r>
    </w:p>
    <w:p>
      <w:pPr>
        <w:pStyle w:val="ListBullet"/>
      </w:pPr>
      <w:r>
        <w:t>Formes et Dosages : Comprimé 2 mg — B/40</w:t>
      </w:r>
    </w:p>
    <w:p>
      <w:pPr>
        <w:pStyle w:val="ListBullet"/>
      </w:pPr>
      <w:r>
        <w:t>Statut : Actif</w:t>
      </w:r>
    </w:p>
    <w:p>
      <w:pPr>
        <w:pStyle w:val="ListBullet"/>
      </w:pPr>
      <w:r/>
      <w:r>
        <w:rPr>
          <w:b/>
        </w:rPr>
        <w:t>RIVOMED</w:t>
      </w:r>
      <w:r>
        <w:t xml:space="preserve"> (SANAMED)</w:t>
      </w:r>
    </w:p>
    <w:p>
      <w:pPr>
        <w:pStyle w:val="ListBullet"/>
      </w:pPr>
      <w:r>
        <w:t>Formes et Dosages : Comprimé quadri-sécable 2 mg — B/40</w:t>
      </w:r>
    </w:p>
    <w:p>
      <w:pPr>
        <w:pStyle w:val="ListBullet"/>
      </w:pPr>
      <w:r>
        <w:t>Statut : Actif</w:t>
      </w:r>
    </w:p>
    <w:p>
      <w:pPr>
        <w:pStyle w:val="ListBullet"/>
      </w:pPr>
      <w:r/>
      <w:r>
        <w:rPr>
          <w:b/>
        </w:rPr>
        <w:t>RIVOMED</w:t>
      </w:r>
      <w:r>
        <w:t xml:space="preserve"> (SANAMED) — Solution buvable gouttes 2,5 mg/mL — Flacon 25 mL + pipette de 1 mL — Retiré (R)</w:t>
      </w:r>
    </w:p>
    <w:p>
      <w:pPr>
        <w:pStyle w:val="ListBullet"/>
      </w:pPr>
      <w:r/>
      <w:r>
        <w:rPr>
          <w:b/>
        </w:rPr>
        <w:t>RIVOTRIL</w:t>
      </w:r>
      <w:r>
        <w:t xml:space="preserve"> (ROCHE) — Comprimé quadri-sécable 2 mg — B/40 — Retiré (R)</w:t>
      </w:r>
    </w:p>
    <w:p>
      <w:pPr>
        <w:pStyle w:val="ListBullet"/>
      </w:pPr>
      <w:r/>
      <w:r>
        <w:rPr>
          <w:b/>
        </w:rPr>
        <w:t>RIVOTRIL</w:t>
      </w:r>
      <w:r>
        <w:t xml:space="preserve"> (ROCHE) — Solution buvable gouttes 2,5 mg/mL — Flacon 20 mL — Retiré (R)</w:t>
      </w:r>
    </w:p>
    <w:p>
      <w:r/>
      <w:r>
        <w:rPr>
          <w:b/>
        </w:rPr>
        <w:t>Sous-classe et Mécanisme d'action :</w:t>
      </w:r>
      <w:r/>
    </w:p>
    <w:p>
      <w:pPr>
        <w:pStyle w:val="ListBullet"/>
      </w:pPr>
      <w:r>
        <w:t>Sous-classe : Benzodiazépine antiépileptique/anxiolytique de longue durée d'action, classée N03AE01 dans la classification ATC (antiépileptique) et N05BA22 (anxiolytique). Sa puissance anticonvulsivante en fait le traitement de référence de certaines épilepsies.</w:t>
      </w:r>
    </w:p>
    <w:p>
      <w:pPr>
        <w:pStyle w:val="ListBullet"/>
      </w:pPr>
      <w:r>
        <w:t>Mécanisme d'action : Modulateur allostérique positif du récepteur GABA-A. Le clonazépam se fixe sur le site ω (interface α/γ du récepteur pentamérique) et augmente la fréquence d'ouverture du canal chlore en présence de GABA endogène, hyperpolarisant la membrane postsynaptique et réduisant l'excitabilité neuronale. L'effet anticonvulsivant est médié par une action prédominante sur les sous-unités α1 et α2 du cortex et de l'hippocampe, augmentant le seuil épileptogène et limitant la propagation des décharges neuronales. Son affinité élevée pour les récepteurs GABA-A explique sa puissance clinique (10 fois supérieure au diazépam mg pour mg).</w:t>
      </w:r>
    </w:p>
    <w:p>
      <w:r/>
      <w:r>
        <w:rPr>
          <w:b/>
        </w:rPr>
        <w:t>Profil Pharmacologique :</w:t>
      </w:r>
      <w:r/>
    </w:p>
    <w:p>
      <w:pPr>
        <w:pStyle w:val="ListBullet"/>
      </w:pPr>
      <w:r>
        <w:t>Indications : En neurologie : épilepsies partielles et généralisées (absences, myoclonies, crises tonico-cloniques), syndrome de Lennox-Gastaut, état de mal épileptique (forme IV). En psychiatrie : troubles anxieux sévères résistants au lorazépam, crises d'angoisse paroxystiques réfractaires, anxiété anticipatrice. En médecine de spécialité : syndrome des jambes sans repos sévère (en cas d'échec des agonistes dopaminergiques), douleurs neuropathiques paroxystiques (névralgie faciale, névralgie post-zostérienne), tremblements essentiels.</w:t>
      </w:r>
    </w:p>
    <w:p>
      <w:pPr>
        <w:pStyle w:val="ListBullet"/>
      </w:pPr>
      <w:r>
        <w:t>Contre-indications : Myasthénie (CI absolue), insuffisance respiratoire sévère, syndrome d'apnée du sommeil, insuffisance hépatique sévère, glaucome aigu par fermeture de l'angle, allergie aux benzodiazépines, intoxication alcoolique aiguë, antécédents de dépendance aux psychotropes. Association aux opioïdes : mise en garde majeure.</w:t>
      </w:r>
    </w:p>
    <w:p>
      <w:pPr>
        <w:pStyle w:val="ListBullet"/>
      </w:pPr>
      <w:r>
        <w:t xml:space="preserve">Effets Indésirables : Sédation (très fréquente), somnolence, asthénie, ataxie, dysarthrie, troubles de la mémoire antérograde, confusion chez le sujet âgé, hypotonie musculaire, réactions paradoxales (agitation, agressivité, insomnie, hyperactivité paradoxale chez l'enfant), dépendance physique et psychologique après usage prolongé, syndrome de sevrage à l'arrêt brutal. </w:t>
      </w:r>
      <w:r>
        <w:rPr>
          <w:b/>
        </w:rPr>
        <w:t>Chez l'enfant épileptique</w:t>
      </w:r>
      <w:r>
        <w:t xml:space="preserve"> : hyperactivité, irritabilité, troubles du comportement. À l'arrêt brutal : état de mal épileptique.</w:t>
      </w:r>
    </w:p>
    <w:p>
      <w:r/>
      <w:r>
        <w:rPr>
          <w:b/>
        </w:rPr>
        <w:t>Prévention et Gestion des Effets Indésirables :</w:t>
      </w:r>
      <w:r/>
    </w:p>
    <w:p>
      <w:pPr>
        <w:pStyle w:val="ListBullet"/>
      </w:pPr>
      <w:r>
        <w:t>Mesures Préventives : Limiter la prescription à la durée minimale nécessaire. En épileptologie : prescription au long cours souvent nécessaire, surveillance EEG régulière, surveillance des fonctions cognitives chez l'enfant. En psychiatrie : limiter à 4–12 semaines, privilégier la prise ponctuelle ou discontinue. Chez le sujet âgé : réduire la dose de moitié, surveiller l'équilibre et les fonctions cognitives. Informer explicitement le patient des risques de dépendance, de sevrage, et de l'interdiction d'arrêt brutal (risque d'état de mal épileptique chez l'épileptique).</w:t>
      </w:r>
    </w:p>
    <w:p>
      <w:pPr>
        <w:pStyle w:val="ListBullet"/>
      </w:pPr>
      <w:r>
        <w:t>Conduite à Tenir : En cas d'usage prolongé, organiser un arrêt progressif sur 6 à 12 semaines par paliers de 1/8 à 1/4 de la dose initiale. En cas d'arrêt brutal et de syndrome de sevrage sévère : hospitalisation, réintroduction de la BZD puis décroissance lente. En cas de surdosage : flumazénil (Anexate®) en IV à 0,2 mg puis 0,1 mg/min jusqu'à 1 mg ; attention au risque de déclenchement de convulsions chez l'épileptique.</w:t>
      </w:r>
    </w:p>
    <w:p>
      <w:r/>
      <w:r>
        <w:rPr>
          <w:b/>
        </w:rPr>
        <w:t>Interactions Importantes :</w:t>
      </w:r>
      <w:r/>
    </w:p>
    <w:p>
      <w:pPr>
        <w:pStyle w:val="ListBullet"/>
      </w:pPr>
      <w:r>
        <w:t>Clonazépam + alcool : potentialisation majeure (CI absolue).</w:t>
      </w:r>
    </w:p>
    <w:p>
      <w:pPr>
        <w:pStyle w:val="ListBullet"/>
      </w:pPr>
      <w:r>
        <w:t>Clonazépam + opioïdes : risque vital de dépression respiratoire.</w:t>
      </w:r>
    </w:p>
    <w:p>
      <w:pPr>
        <w:pStyle w:val="ListBullet"/>
      </w:pPr>
      <w:r>
        <w:t>Clonazépam + autres dépresseurs du SNC : potentialisation de la sédation.</w:t>
      </w:r>
    </w:p>
    <w:p>
      <w:pPr>
        <w:pStyle w:val="ListBullet"/>
      </w:pPr>
      <w:r>
        <w:t>Clonazépam + phénytoïne, phénobarbital, valproate : interactions métaboliques, surveillance des concentrations d'antiépileptiques.</w:t>
      </w:r>
    </w:p>
    <w:p>
      <w:pPr>
        <w:pStyle w:val="ListBullet"/>
      </w:pPr>
      <w:r>
        <w:t>Clonazépam + inhibiteurs CYP3A4 (fluoxétine, fluvoxamine, érythromycine, kétoconazole) : augmentation des concentrations.</w:t>
      </w:r>
    </w:p>
    <w:p>
      <w:pPr>
        <w:pStyle w:val="ListBullet"/>
      </w:pPr>
      <w:r>
        <w:t>Clonazépam + inducteurs enzymatiques (rifampicine, carbamazépine) : diminution de l'efficacité.</w:t>
      </w:r>
    </w:p>
    <w:p>
      <w:pPr>
        <w:pStyle w:val="ListBullet"/>
      </w:pPr>
      <w:r>
        <w:t>Clonazépam + autres antiépileptiques : potentialisation des effets indésirables neurologiques (sédation, ataxie).</w:t>
      </w:r>
    </w:p>
    <w:p>
      <w:r/>
      <w:r>
        <w:rPr>
          <w:b/>
        </w:rPr>
        <w:t>Grossesse et Allaitement :</w:t>
      </w:r>
      <w:r/>
    </w:p>
    <w:p>
      <w:pPr>
        <w:pStyle w:val="ListBullet"/>
      </w:pPr>
      <w:r>
        <w:t>Grossesse : Le clonazépam est l'une des BZD les plus sécurisantes en cas d'épilepsie maternelle. Le CRAT le considère comme utilisable pendant la grossesse en cas de nécessité absolue, en monothérapie et à la dose minimale efficace. Le risque malformatif est faible. Le risque de syndrome de sevrage néonatal et d'hypotonie existe en cas d'usage en fin de grossesse.</w:t>
      </w:r>
    </w:p>
    <w:p>
      <w:pPr>
        <w:pStyle w:val="ListBullet"/>
      </w:pPr>
      <w:r>
        <w:t>Allaitement : Le clonazépam passe dans le lait maternel en très faible quantité. Le CRAT considère l'allaitement comme possible en cas de dose inférieure à 8 mg/jour, avec surveillance de la sédation et de la succion du nourrisson.</w:t>
      </w:r>
    </w:p>
    <w:p>
      <w:pPr>
        <w:pStyle w:val="ListBullet"/>
      </w:pPr>
      <w:r>
        <w:t>Précisions : En cas de traitement indispensable au long cours chez une femme épileptique enceinte, ne pas arrêter le clonazépam (risque d'état de mal). Surveillance prénatale spécialisée (neurologue + obstétricien).</w:t>
      </w:r>
    </w:p>
    <w:p>
      <w:r/>
      <w:r>
        <w:rPr>
          <w:b/>
        </w:rPr>
        <w:t>Posologie et Mode d'administration (Standard) :</w:t>
      </w:r>
      <w:r/>
    </w:p>
    <w:p>
      <w:pPr>
        <w:pStyle w:val="ListBullet"/>
      </w:pPr>
      <w:r>
        <w:t>Adulte : 0,5 à 2 mg par prise, 2 à 3 fois par jour, soit 1 à 6 mg/jour (maximum 20 mg/jour dans les épilepsies réfractaires). Schéma usuel en anxiété : 2 mg/jour en 2 prises. Schéma usuel en épilepsie : 1 à 4 mg/jour en 2 à 3 prises.</w:t>
      </w:r>
    </w:p>
    <w:p>
      <w:pPr>
        <w:pStyle w:val="ListBullet"/>
      </w:pPr>
      <w:r>
        <w:t>Sujet âgé : 0,25 à 0,5 mg par prise, 2 fois par jour.</w:t>
      </w:r>
    </w:p>
    <w:p>
      <w:pPr>
        <w:pStyle w:val="ListBullet"/>
      </w:pPr>
      <w:r>
        <w:t>Enfant : 0,01 à 0,03 mg/kg/jour en début, augmentation progressive jusqu'à 0,1 mg/kg/jour maximum, sous stricte surveillance pédiatrique.</w:t>
      </w:r>
    </w:p>
    <w:p>
      <w:pPr>
        <w:pStyle w:val="ListBullet"/>
      </w:pPr>
      <w:r>
        <w:t>État de mal épileptique : 1 mg IV lente chez l'adulte (0,5 mg IV chez l'enfant &gt; 1 an), renouvelable.</w:t>
      </w:r>
    </w:p>
    <w:p>
      <w:pPr>
        <w:pStyle w:val="ListBullet"/>
      </w:pPr>
      <w:r>
        <w:t>Durée : Selon l'indication. En anxiété : 4 à 12 semaines maximum. En épilepsie : au long cours sous surveillance EEG.</w:t>
      </w:r>
    </w:p>
    <w:p>
      <w:pPr>
        <w:pStyle w:val="ListBullet"/>
      </w:pPr>
      <w:r>
        <w:t>Moment de la prise : réparti sur la journée en 2 à 3 prises pour maintenir une couverture anticonvulsivante continue.</w:t>
      </w:r>
    </w:p>
    <w:p>
      <w:r/>
      <w:r>
        <w:rPr>
          <w:b/>
        </w:rPr>
        <w:t>Arbitrage et Bénéfices des Formes Galéniques :</w:t>
      </w:r>
      <w:r/>
    </w:p>
    <w:p>
      <w:pPr>
        <w:pStyle w:val="ListBullet"/>
      </w:pPr>
      <w:r>
        <w:t>Comprimés quadri-sécables 2 mg : forme orale de référence, permet une titration fine par 0,5 mg (1/4). Idéale pour la décroissance progressive et l'adaptation pédiatrique.</w:t>
      </w:r>
    </w:p>
    <w:p>
      <w:pPr>
        <w:pStyle w:val="ListBullet"/>
      </w:pPr>
      <w:r>
        <w:t>Solution buvable 2,5 mg/mL : indiquée pour les enfants, les patients ayant des difficultés à avaler les comprimés, et la titration ultra-fine. Précaution au comptoir : bien expliquer l'équivalence gouttes/mg (4 gouttes = 0,1 mg pour la solution 2,5 mg/mL avec un compte-gouttes calibré standard).</w:t>
      </w:r>
    </w:p>
    <w:p>
      <w:pPr>
        <w:pStyle w:val="ListBullet"/>
      </w:pPr>
      <w:r>
        <w:t>Absence de forme injectable active en Algérie (limitation pour l'état de mal épileptique aigu — alternative : diazépam IV).</w:t>
      </w:r>
    </w:p>
    <w:p>
      <w:r/>
      <w:r>
        <w:rPr>
          <w:b/>
        </w:rPr>
        <w:t>Instructions et Conseils au Patient :</w:t>
      </w:r>
      <w:r/>
    </w:p>
    <w:p>
      <w:pPr>
        <w:pStyle w:val="ListBullet"/>
      </w:pPr>
      <w:r>
        <w:t>Communication au comptoir : « Ce médicament est utilisé pour votre épilepsie (ou votre anxiété sévère). Prenez-le exactement comme prescrit, à heures fixes. Ne l'arrêtez jamais brutalement : cela pourrait déclencher des convulsions. Ne buvez pas d'alcool. Évitez la conduite automobile, surtout en début de traitement. Signalez toute somnolence excessive ou trouble du comportement. »</w:t>
      </w:r>
    </w:p>
    <w:p>
      <w:pPr>
        <w:pStyle w:val="ListBullet"/>
      </w:pPr>
      <w:r>
        <w:t>Mode d'utilisation pratique : Prendre à heure fixe pour maintenir une couverture continue (surtout en épilepsie). En cas d'oubli d'une prise, la prendre dès que possible si le délai depuis la prise précédente est court ; ne pas doubler la dose suivante. Pour la solution buvable : bien agiter le flacon, utiliser le compte-gouttes ou la pipette calibré. Tenir un journal des crises et des effets indésirables. Signaler tout signe de dépendance ou d'accumulation.</w:t>
      </w:r>
    </w:p>
    <w:p>
      <w:r/>
      <w:r>
        <w:rPr>
          <w:b/>
        </w:rPr>
        <w:t>Notes, Règles d'Or &amp; Pièges au Comptoir :</w:t>
      </w:r>
      <w:r/>
    </w:p>
    <w:p>
      <w:pPr>
        <w:pStyle w:val="ListBullet"/>
      </w:pPr>
      <w:r>
        <w:t xml:space="preserve">Piège classique : L'arrêt brutal du clonazépam chez un patient épileptique peut déclencher un </w:t>
      </w:r>
      <w:r>
        <w:rPr>
          <w:b/>
        </w:rPr>
        <w:t>état de mal épileptique</w:t>
      </w:r>
      <w:r>
        <w:t xml:space="preserve"> potentiellement létal. L'association à l'alcool ou aux opioïdes expose à un risque vital de dépression respiratoire. Le sujet âgé présente un risque accru de chutes et de décompensation cognitive. Chez l'enfant, des réactions paradoxales (hyperactivité, irritabilité) peuvent survenir.</w:t>
      </w:r>
    </w:p>
    <w:p>
      <w:pPr>
        <w:pStyle w:val="ListBullet"/>
      </w:pPr>
      <w:r>
        <w:t>Règle de prise : Pas d'automédication, pas d'arrêt brutal, pas d'association à l'alcool ni aux opioïdes, prescription initiale réservée aux spécialistes (neurologues, psychiatres) en France.</w:t>
      </w:r>
    </w:p>
    <w:p>
      <w:pPr>
        <w:pStyle w:val="ListBullet"/>
      </w:pPr>
      <w:r>
        <w:t>Préparation et Conservation : Conserver à température ambiante (&lt; 25 °C), à l'abri de la lumière et de l'humidité. La solution buvable se conserve après ouverture selon les mentions du RCP (généralement 1 mois). Tenir hors de portée des enfants.</w:t>
      </w:r>
    </w:p>
    <w:p>
      <w:pPr>
        <w:pStyle w:val="ListBullet"/>
      </w:pPr>
      <w:r>
        <w:t>Piège du surdosage / Substitution : Le flumazénil (Anexate®) est l'antidote spécifique en cas de surdosage, à utiliser en milieu hospitalier. Attention : chez le patient épileptique, le flumazénil peut déclencher des convulsions. Équivalence pour substitution : clonazépam 0,5 mg ≈ diazépam 10 mg ≈ lorazépam 1 mg.</w:t>
      </w:r>
    </w:p>
    <w:p>
      <w:pPr>
        <w:pStyle w:val="Heading2"/>
      </w:pPr>
      <w:r>
        <w:t>8. DCI : Chlordiazépoxide + Clidinium (Association)</w:t>
      </w:r>
    </w:p>
    <w:p>
      <w:r/>
      <w:r>
        <w:rPr>
          <w:b/>
        </w:rPr>
        <w:t>Liste des Catégories :</w:t>
      </w:r>
      <w:r>
        <w:t xml:space="preserve"> Anxiolytiques — Benzodiazépines + anticholinergique (spasmolytique) ; Liste I (substance vénéneuse).</w:t>
      </w:r>
    </w:p>
    <w:p>
      <w:r>
        <w:t xml:space="preserve">L'association chlordiazépoxide + clidinium bromure combine une benzodiazépine anxiolytique (chlordiazépoxide 5 mg) à un anticholinergique quaternaire (clidinium bromure 2,5 mg). Cette combinaison historique, commercialisée sous le nom de </w:t>
      </w:r>
      <w:r>
        <w:rPr>
          <w:b/>
        </w:rPr>
        <w:t>Librax®</w:t>
      </w:r>
      <w:r>
        <w:t xml:space="preserve"> dès les années 1960, exploite la synergie entre une action anxiolytique (BZD) et une action spasmolytique-antisécrétoire (anticholinergique). Elle est indiquée dans les troubles fonctionnels digestifs avec composante anxieuse : côlon irritable, dyspepsies nerveuses, ballonnements, spasmes digestifs, diarrhée nerveuse, troubles fonctionnels intestinaux du sujet anxieux. En Algérie, l'unique spécialité recensée est </w:t>
      </w:r>
      <w:r>
        <w:rPr>
          <w:b/>
        </w:rPr>
        <w:t>Librax®</w:t>
      </w:r>
      <w:r>
        <w:t xml:space="preserve"> (Stéripharma), actuellement en statut </w:t>
      </w:r>
      <w:r>
        <w:rPr>
          <w:b/>
        </w:rPr>
        <w:t>Non Renouvelable</w:t>
      </w:r>
      <w:r>
        <w:t>.</w:t>
      </w:r>
    </w:p>
    <w:p>
      <w:r/>
      <w:r>
        <w:rPr>
          <w:b/>
        </w:rPr>
        <w:t>Médicaments disponibles en Algérie (Marques, Laboratoires, Formes et Dosages) :</w:t>
      </w:r>
      <w:r/>
    </w:p>
    <w:p>
      <w:pPr>
        <w:pStyle w:val="ListBullet"/>
      </w:pPr>
      <w:r/>
      <w:r>
        <w:rPr>
          <w:b/>
        </w:rPr>
        <w:t>LIBRAX</w:t>
      </w:r>
      <w:r>
        <w:t xml:space="preserve"> (STERIPHARMA)</w:t>
      </w:r>
    </w:p>
    <w:p>
      <w:pPr>
        <w:pStyle w:val="ListBullet"/>
      </w:pPr>
      <w:r>
        <w:t>Formes et Dosages : Comprimé dragéifié 5 mg/2,5 mg (chlordiazépoxide 5 mg + clidinium bromure 2,5 mg) — B/30</w:t>
      </w:r>
    </w:p>
    <w:p>
      <w:pPr>
        <w:pStyle w:val="ListBullet"/>
      </w:pPr>
      <w:r>
        <w:t>Statut : Non Renouvelable</w:t>
      </w:r>
    </w:p>
    <w:p>
      <w:r/>
      <w:r>
        <w:rPr>
          <w:b/>
        </w:rPr>
        <w:t>Sous-classe et Mécanisme d'action :</w:t>
      </w:r>
      <w:r/>
    </w:p>
    <w:p>
      <w:pPr>
        <w:pStyle w:val="ListBullet"/>
      </w:pPr>
      <w:r>
        <w:t>Sous-classe : Association d'une benzodiazépine anxiolytique (chlordiazépoxide) et d'un anticholinergique quaternaire (clidinium bromure). Classée N05BB52 (anxiolytique en association) dans la classification ATC. L'anticholinergique ajoute un effet spasmolytique digestif et antisécrétoire.</w:t>
      </w:r>
    </w:p>
    <w:p>
      <w:pPr>
        <w:pStyle w:val="ListBullet"/>
      </w:pPr>
      <w:r>
        <w:t>Mécanisme d'action : Le chlordiazépoxide est un modulateur allostérique positif du récepteur GABA-A, augmentant la fréquence d'ouverture du canal chlore en présence de GABA endogène (effet anxiolytique, sédatif, myorelaxant). Le clidinium bromure est un antagoniste compétitif des récepteurs muscariniques M1, M2, M3 (surtout M3), bloquant l'action de l'acétylcholine au niveau du système nerveux entérique. Cette action inhibe le péristaltisme (effet spasmolytique), réduit les sécrétions digestives (gastriques, intestinales, salivaires), et diminue le tonus des sphincters digestifs. L'association vise à traiter à la fois la composante anxieuse (BZD) et la composante fonctionnelle digestive (anticholinergique) des troubles digestifs psychosomatiques.</w:t>
      </w:r>
    </w:p>
    <w:p>
      <w:r/>
      <w:r>
        <w:rPr>
          <w:b/>
        </w:rPr>
        <w:t>Profil Pharmacologique :</w:t>
      </w:r>
      <w:r/>
    </w:p>
    <w:p>
      <w:pPr>
        <w:pStyle w:val="ListBullet"/>
      </w:pPr>
      <w:r>
        <w:t>Indications : Troubles fonctionnels digestifs avec composante anxieuse : côlon irritable (intestin nerveux), dyspepsies nerveuses, ballonnements, spasmes digestifs, diarrhée nerveuse, troubles fonctionnels intestinaux du sujet anxieux. La durée du traitement doit être limitée à 4–12 semaines (HAS).</w:t>
      </w:r>
    </w:p>
    <w:p>
      <w:pPr>
        <w:pStyle w:val="ListBullet"/>
      </w:pPr>
      <w:r>
        <w:t>Contre-indications : Contre-indications liées au chlordiazépoxide (myasthénie, insuffisance respiratoire sévère, syndrome d'apnée du sommeil, insuffisance hépatique sévère, glaucome aigu par fermeture de l'angle, allergie aux BZD) + contre-indications liées au clidinium (glaucome aigu par fermeture de l'angle, hypertrophie prostatique avec rétention urinaire, iléus paralytique, mégacôlon toxique, tachycardie sévère, insuffisance coronarienne, myasthénie). Chez le sujet âgé : à éviter en raison du risque de décompensation cognitive et de syndrome atropinique.</w:t>
      </w:r>
    </w:p>
    <w:p>
      <w:pPr>
        <w:pStyle w:val="ListBullet"/>
      </w:pPr>
      <w:r>
        <w:t>Effets Indésirables : Effets liés au chlordiazépoxide (sédation, somnolence, troubles de la mémoire antérograde, dépendance, syndrome de sevrage) + effets liés au clidinium (syndrome atropinique : sécheresse buccale, constipation, troubles visuels d'accommodation, mydriase, rétention urinaire, tachycardie, flushing, hyperthermie). Chez le sujet âgé : risque majeur de confusion mentale, de rétention urinaire aiguë, de glaucome aigu, d'iléus paralytique. Réactions paradoxales possibles (agitation, agressivité).</w:t>
      </w:r>
    </w:p>
    <w:p>
      <w:r/>
      <w:r>
        <w:rPr>
          <w:b/>
        </w:rPr>
        <w:t>Prévention et Gestion des Effets Indésirables :</w:t>
      </w:r>
      <w:r/>
    </w:p>
    <w:p>
      <w:pPr>
        <w:pStyle w:val="ListBullet"/>
      </w:pPr>
      <w:r>
        <w:t>Mesures Préventives : Limiter la prescription à 4–12 semaines (HAS), éviter chez le sujet âgé en raison de la double toxicité (BZD + anticholinergique). Évaluer systématiquement l'absence de glaucome aigu, d'hypertrophie prostatique, de troubles du rythme avant prescription. Informer le patient des risques de dépendance, de sevrage et d'effets atropiniques. Encourager une hydratation suffisante (sécheresse buccale) et une surveillance de la constipation.</w:t>
      </w:r>
    </w:p>
    <w:p>
      <w:pPr>
        <w:pStyle w:val="ListBullet"/>
      </w:pPr>
      <w:r>
        <w:t>Conduite à Tenir : En cas d'usage prolongé, organiser un arrêt progressif (BZD). En cas d'apparition d'un syndrome atropinique : arrêt immédiat et consultation. En cas de surdosage : flumazénil (Anexate®) pour la composante BZD, néostigmine ou physostigmine pour la composante anticholinergique, en milieu hospitalier.</w:t>
      </w:r>
    </w:p>
    <w:p>
      <w:r/>
      <w:r>
        <w:rPr>
          <w:b/>
        </w:rPr>
        <w:t>Interactions Importantes :</w:t>
      </w:r>
      <w:r/>
    </w:p>
    <w:p>
      <w:pPr>
        <w:pStyle w:val="ListBullet"/>
      </w:pPr>
      <w:r>
        <w:t>Association + alcool : potentialisation majeure (CI absolue).</w:t>
      </w:r>
    </w:p>
    <w:p>
      <w:pPr>
        <w:pStyle w:val="ListBullet"/>
      </w:pPr>
      <w:r>
        <w:t>Association + opioïdes : risque vital de dépression respiratoire.</w:t>
      </w:r>
    </w:p>
    <w:p>
      <w:pPr>
        <w:pStyle w:val="ListBullet"/>
      </w:pPr>
      <w:r>
        <w:t>Association + autres anticholinergiques (atropine, tropatépine, antidépresseurs tricycliques, antihistaminiques H1, antiparkinsoniens anticholinergiques) : potentialisation du syndrome atropinique.</w:t>
      </w:r>
    </w:p>
    <w:p>
      <w:pPr>
        <w:pStyle w:val="ListBullet"/>
      </w:pPr>
      <w:r>
        <w:t>Association + autres dépresseurs du SNC : potentialisation de la sédation.</w:t>
      </w:r>
    </w:p>
    <w:p>
      <w:pPr>
        <w:pStyle w:val="ListBullet"/>
      </w:pPr>
      <w:r>
        <w:t>Association + inhibiteurs CYP3A4 : augmentation des concentrations de chlordiazépoxide.</w:t>
      </w:r>
    </w:p>
    <w:p>
      <w:pPr>
        <w:pStyle w:val="ListBullet"/>
      </w:pPr>
      <w:r>
        <w:t>Association + lévodopa, métoclopramide : antagonisme pharmacologique sur la motilité digestive.</w:t>
      </w:r>
    </w:p>
    <w:p>
      <w:r/>
      <w:r>
        <w:rPr>
          <w:b/>
        </w:rPr>
        <w:t>Grossesse et Allaitement :</w:t>
      </w:r>
      <w:r/>
    </w:p>
    <w:p>
      <w:pPr>
        <w:pStyle w:val="ListBullet"/>
      </w:pPr>
      <w:r>
        <w:t>Grossesse : CI absolue en raison de la présence du clidinium (anticholinergique tératogène et fœtotoxique) et du chlordiazépoxide (risque malformatif et syndrome de sevrage néonatal). Le CRAT recommande un arrêt pré conceptionnel et un changement de traitement.</w:t>
      </w:r>
    </w:p>
    <w:p>
      <w:pPr>
        <w:pStyle w:val="ListBullet"/>
      </w:pPr>
      <w:r>
        <w:t>Allaitement : CI absolue (le clidinium et le chlordiazépoxide passent dans le lait maternel ; risque d'effets atropiniques et de sédation chez le nourrisson).</w:t>
      </w:r>
    </w:p>
    <w:p>
      <w:pPr>
        <w:pStyle w:val="ListBullet"/>
      </w:pPr>
      <w:r>
        <w:t>Précisions : Chez la femme en âge de procréer, contraception efficace obligatoire.</w:t>
      </w:r>
    </w:p>
    <w:p>
      <w:r/>
      <w:r>
        <w:rPr>
          <w:b/>
        </w:rPr>
        <w:t>Posologie et Mode d'administration (Standard) :</w:t>
      </w:r>
      <w:r/>
    </w:p>
    <w:p>
      <w:pPr>
        <w:pStyle w:val="ListBullet"/>
      </w:pPr>
      <w:r>
        <w:t>Adulte : 1 comprimé (5 mg/2,5 mg) par prise, 2 à 3 fois par jour, soit 2 à 3 comprimés/jour (10 à 15 mg de chlordiazépoxide et 5 à 7,5 mg de clidinium bromure). Schéma usuel : 1 comprimé matin, midi et soir, ou 1 comprimé matin et soir.</w:t>
      </w:r>
    </w:p>
    <w:p>
      <w:pPr>
        <w:pStyle w:val="ListBullet"/>
      </w:pPr>
      <w:r>
        <w:t>Sujet âgé : à éviter en raison du risque atropinique majoré. Si nécessaire : 1 comprimé matin et soir.</w:t>
      </w:r>
    </w:p>
    <w:p>
      <w:pPr>
        <w:pStyle w:val="ListBullet"/>
      </w:pPr>
      <w:r>
        <w:t>Enfant : CI avant 12 ans.</w:t>
      </w:r>
    </w:p>
    <w:p>
      <w:pPr>
        <w:pStyle w:val="ListBullet"/>
      </w:pPr>
      <w:r>
        <w:t>Durée : 4 à 12 semaines maximum, y compris période d'arrêt progressif.</w:t>
      </w:r>
    </w:p>
    <w:p>
      <w:pPr>
        <w:pStyle w:val="ListBullet"/>
      </w:pPr>
      <w:r>
        <w:t>Moment de la prise : avant ou pendant les repas pour optimiser l'effet spasmolytique digestif.</w:t>
      </w:r>
    </w:p>
    <w:p>
      <w:r/>
      <w:r>
        <w:rPr>
          <w:b/>
        </w:rPr>
        <w:t>Arbitrage et Bénéfices des Formes Galéniques :</w:t>
      </w:r>
      <w:r/>
    </w:p>
    <w:p>
      <w:pPr>
        <w:pStyle w:val="ListBullet"/>
      </w:pPr>
      <w:r>
        <w:t>Comprimés dragéifiés 5 mg/2,5 mg : forme orale unique. Le dragéage masque le goût et facilite l'ingestion. Pas de sécabilité, ce qui peut limiter l'adaptation posologique fine.</w:t>
      </w:r>
    </w:p>
    <w:p>
      <w:pPr>
        <w:pStyle w:val="ListBullet"/>
      </w:pPr>
      <w:r>
        <w:t>Absence de forme injectable ou buvable.</w:t>
      </w:r>
    </w:p>
    <w:p>
      <w:r/>
      <w:r>
        <w:rPr>
          <w:b/>
        </w:rPr>
        <w:t>Instructions et Conseils au Patient :</w:t>
      </w:r>
      <w:r/>
    </w:p>
    <w:p>
      <w:pPr>
        <w:pStyle w:val="ListBullet"/>
      </w:pPr>
      <w:r>
        <w:t>Communication au comptoir : « Ce médicament calme votre anxiété et détend votre système digestif. Ne le dépassez pas 12 semaines. Ne le cumulez pas avec d'autres médicaments sans avis médical. Ne buvez pas d'alcool. Signalez toute sécheresse buccale, constipation, troubles visuels ou rétention urinaire. »</w:t>
      </w:r>
    </w:p>
    <w:p>
      <w:pPr>
        <w:pStyle w:val="ListBullet"/>
      </w:pPr>
      <w:r>
        <w:t>Mode d'utilisation pratique : Prendre à heure fixe, avant ou pendant les repas. En cas d'oubli, ne pas doubler la dose suivante. Boire suffisamment d'eau pour limiter la sécheresse buccale et la constipation. Surveiller l'apparition d'effets atropiniques et consulter en cas de rétention urinaire ou de troubles visuels.</w:t>
      </w:r>
    </w:p>
    <w:p>
      <w:r/>
      <w:r>
        <w:rPr>
          <w:b/>
        </w:rPr>
        <w:t>Notes, Règles d'Or &amp; Pièges au Comptoir :</w:t>
      </w:r>
      <w:r/>
    </w:p>
    <w:p>
      <w:pPr>
        <w:pStyle w:val="ListBullet"/>
      </w:pPr>
      <w:r>
        <w:t>Piège classique : Le sujet âgé présente un risque majeur de décompensation cognitive (syndrome atropinique + sédation), de rétention urinaire aiguë (hypertrophie prostatique), de glaucome aigu, d'iléus paralytique, et de chutes. L'association avec d'autres anticholinergiques (notamment les antidépresseurs tricycliques) majore significativement le risque.</w:t>
      </w:r>
    </w:p>
    <w:p>
      <w:pPr>
        <w:pStyle w:val="ListBullet"/>
      </w:pPr>
      <w:r>
        <w:t>Règle de prise : Pas d'automédication, pas d'association à l'alcool ni aux opioïdes, pas d'association à d'autres anticholinergiques sans avis médical.</w:t>
      </w:r>
    </w:p>
    <w:p>
      <w:pPr>
        <w:pStyle w:val="ListBullet"/>
      </w:pPr>
      <w:r>
        <w:t>Préparation et Conservation : Conserver à température ambiante (&lt; 25 °C), à l'abri de la lumière et de l'humidité. Tenir hors de portée des enfants.</w:t>
      </w:r>
    </w:p>
    <w:p>
      <w:pPr>
        <w:pStyle w:val="ListBullet"/>
      </w:pPr>
      <w:r>
        <w:t>Piège du surdosage / Substitution : En cas de surdosage, association possible de flumazénil (BZD) et de physostigmine (anticholinergique) en milieu hospitalier de réanimation. Surveillance prolongée nécessaire.</w:t>
      </w:r>
    </w:p>
    <w:p>
      <w:pPr>
        <w:pStyle w:val="Heading2"/>
      </w:pPr>
      <w:r>
        <w:t>9. DCI : Étifoxine (Seule)</w:t>
      </w:r>
    </w:p>
    <w:p>
      <w:r/>
      <w:r>
        <w:rPr>
          <w:b/>
        </w:rPr>
        <w:t>Liste des Catégories :</w:t>
      </w:r>
      <w:r>
        <w:t xml:space="preserve"> Anxiolytiques — Non benzodiazépines ; Liste I (substance vénéneuse).</w:t>
      </w:r>
    </w:p>
    <w:p>
      <w:r>
        <w:t xml:space="preserve">L'étifoxine est un anxiolytique non benzodiazépine au </w:t>
      </w:r>
      <w:r>
        <w:rPr>
          <w:b/>
        </w:rPr>
        <w:t>mécanisme d'action dual original</w:t>
      </w:r>
      <w:r>
        <w:t xml:space="preserve">. Elle se distingue des BZD par son absence de liaison au site ω du récepteur GABA-A et par son action sur la </w:t>
      </w:r>
      <w:r>
        <w:rPr>
          <w:b/>
        </w:rPr>
        <w:t>TSPO (Translocator Protein 18 kDa)</w:t>
      </w:r>
      <w:r>
        <w:t xml:space="preserve">, anciennement appelée récepteur périphérique des benzodiazépines (PBR). Cette liaison à la TSPO mitochondriale stimule la synthèse de </w:t>
      </w:r>
      <w:r>
        <w:rPr>
          <w:b/>
        </w:rPr>
        <w:t>neurostéroïdes</w:t>
      </w:r>
      <w:r>
        <w:t xml:space="preserve"> (allopregnanolone, pregnenolone), qui sont des modulateurs positifs du récepteur GABA-A, entraînant une anxiolyse sans sédation excessive, sans amnésie antérograde, et surtout </w:t>
      </w:r>
      <w:r>
        <w:rPr>
          <w:b/>
        </w:rPr>
        <w:t>sans dépendance ni syndrome de sevrage</w:t>
      </w:r>
      <w:r>
        <w:t>. Cette propriété en fait une alternative de choix aux BZD pour le traitement prolongé de l'anxiété réactionnelle. En Algérie, l'étifoxine est disponible sous la marque Stresam® (Biocodex) en gélules 50 mg.</w:t>
      </w:r>
    </w:p>
    <w:p>
      <w:r/>
      <w:r>
        <w:rPr>
          <w:b/>
        </w:rPr>
        <w:t>Médicaments disponibles en Algérie (Marques, Laboratoires, Formes et Dosages) :</w:t>
      </w:r>
      <w:r/>
    </w:p>
    <w:p>
      <w:pPr>
        <w:pStyle w:val="ListBullet"/>
      </w:pPr>
      <w:r/>
      <w:r>
        <w:rPr>
          <w:b/>
        </w:rPr>
        <w:t>STRESAM</w:t>
      </w:r>
      <w:r>
        <w:t xml:space="preserve"> (BIOCODEX)</w:t>
      </w:r>
    </w:p>
    <w:p>
      <w:pPr>
        <w:pStyle w:val="ListBullet"/>
      </w:pPr>
      <w:r>
        <w:t>Formes et Dosages : Gélule 50 mg — B/24 et B/60</w:t>
      </w:r>
    </w:p>
    <w:p>
      <w:pPr>
        <w:pStyle w:val="ListBullet"/>
      </w:pPr>
      <w:r>
        <w:t>Statut : Actif</w:t>
      </w:r>
    </w:p>
    <w:p>
      <w:r/>
      <w:r>
        <w:rPr>
          <w:b/>
        </w:rPr>
        <w:t>Sous-classe et Mécanisme d'action :</w:t>
      </w:r>
      <w:r/>
    </w:p>
    <w:p>
      <w:pPr>
        <w:pStyle w:val="ListBullet"/>
      </w:pPr>
      <w:r>
        <w:t>Sous-classe : Anxiolytique non benzodiazépine, classée N05BX03 (autres anxiolytiques) dans la classification ATC. Originalité : pas de structure chimique benzodiazépine, pas de liaison au site ω, pas de dépendance.</w:t>
      </w:r>
    </w:p>
    <w:p>
      <w:pPr>
        <w:pStyle w:val="ListBullet"/>
      </w:pPr>
      <w:r>
        <w:t>Mécanisme d'action : L'étifoxine possède un mécanisme d'action dual original combinant deux voies :</w:t>
      </w:r>
    </w:p>
    <w:p>
      <w:pPr>
        <w:pStyle w:val="ListNumber"/>
      </w:pPr>
      <w:r/>
      <w:r>
        <w:rPr>
          <w:b/>
        </w:rPr>
        <w:t>Liaison allostérique au récepteur GABA-A</w:t>
      </w:r>
      <w:r>
        <w:t xml:space="preserve"> sur un site distinct de celui des BZD (les antagonistes BZD comme le flumazénil ne bloquent pas son effet), ce qui potentialise l'action du GABA endogène.</w:t>
      </w:r>
    </w:p>
    <w:p>
      <w:pPr>
        <w:pStyle w:val="ListNumber"/>
      </w:pPr>
      <w:r/>
      <w:r>
        <w:rPr>
          <w:b/>
        </w:rPr>
        <w:t>Liaison à la TSPO mitochondriale</w:t>
      </w:r>
      <w:r>
        <w:t xml:space="preserve"> : stimule le transfert du cholestérol vers la matrice mitochondriale, étape limitante de la </w:t>
      </w:r>
      <w:r>
        <w:rPr>
          <w:b/>
        </w:rPr>
        <w:t>synthèse des neurostéroïdes</w:t>
      </w:r>
      <w:r>
        <w:t xml:space="preserve"> (allopregnanolone, pregnenolone). Ces neurostéroïdes modulent positivement le récepteur GABA-A (augmentation de la durée d'ouverture du canal chlore), sans effet direct sur le site ω. L'allopregnanolone est un métabolite endogène de la progestérone, particulièrement puissant sur les sous-unités α4β2δ et α5β3γ2 du récepteur GABA-A.</w:t>
      </w:r>
    </w:p>
    <w:p>
      <w:pPr>
        <w:pStyle w:val="ListBullet"/>
      </w:pPr>
      <w:r>
        <w:t>Ce double mécanisme explique l'anxiolyse sans sédation excessive, sans amnésie antérograde, sans risque de dépendance physique, et sans syndrome de sevrage à l'arrêt.</w:t>
      </w:r>
    </w:p>
    <w:p>
      <w:r/>
      <w:r>
        <w:rPr>
          <w:b/>
        </w:rPr>
        <w:t>Profil Pharmacologique :</w:t>
      </w:r>
      <w:r/>
    </w:p>
    <w:p>
      <w:pPr>
        <w:pStyle w:val="ListBullet"/>
      </w:pPr>
      <w:r>
        <w:t>Indications : Traitement de l'anxiété réactionnelle, des états d'angoisse, des troubles psychosomatiques (manifestations somatiques de l'anxiété : palpitations, douleurs fonctionnelles, troubles fonctionnels digestifs), de l'anxiété associée à la dépression (en appoint des antidépresseurs). L'étifoxine est particulièrement indiquée en cas d'anxiété chronique nécessitant un traitement prolongé au-delà des 12 semaines limites des BZD. Possibilité d'utilisation en relais d'une BZD pour le sevrage progressif.</w:t>
      </w:r>
    </w:p>
    <w:p>
      <w:pPr>
        <w:pStyle w:val="ListBullet"/>
      </w:pPr>
      <w:r>
        <w:t>Contre-indications : Choc, insuffisance hépatique sévère, insuffisance respiratoire sévère, myasthénie (par prudence), allergie à l'étifoxine, enfant de moins de 15 ans. En pratique, moins de contre-indications que les BZD.</w:t>
      </w:r>
    </w:p>
    <w:p>
      <w:pPr>
        <w:pStyle w:val="ListBullet"/>
      </w:pPr>
      <w:r>
        <w:t xml:space="preserve">Effets Indésirables : L'étifoxine est globalement bien tolérée. Effets possibles : somnolence légère (transitoire, disparaissant après quelques jours), éruptions cutanées (rares), réactions allergiques (rares), asthénie. Pas de dépendance physique, pas de syndrome de sevrage, pas de troubles mnésiques significatifs, pas d'effet myorelaxant notable. </w:t>
      </w:r>
      <w:r>
        <w:rPr>
          <w:b/>
        </w:rPr>
        <w:t>Important</w:t>
      </w:r>
      <w:r>
        <w:t xml:space="preserve"> : ne pas interrompre brutalement en cas de relais par une BZD.</w:t>
      </w:r>
    </w:p>
    <w:p>
      <w:r/>
      <w:r>
        <w:rPr>
          <w:b/>
        </w:rPr>
        <w:t>Prévention et Gestion des Effets Indésirables :</w:t>
      </w:r>
      <w:r/>
    </w:p>
    <w:p>
      <w:pPr>
        <w:pStyle w:val="ListBullet"/>
      </w:pPr>
      <w:r>
        <w:t>Mesures Préventives : Évaluer la fonction hépatique avant traitement prolongé. Informer le patient de la possibilité d'une somnolence transitoire en début de traitement (1 à 3 jours) et de la nécessité de poursuivre le traitement malgré cet effet. Aucun risque de dépendance, mais ne pas associer à l'alcool.</w:t>
      </w:r>
    </w:p>
    <w:p>
      <w:pPr>
        <w:pStyle w:val="ListBullet"/>
      </w:pPr>
      <w:r>
        <w:t>Conduite à Tenir : En cas d'éruption cutanée : arrêt et consultation. En cas de surdosage : traitement symptomatique, surveillance hospitalière (pas d'antidote spécifique — le flumazénil n'est pas efficace sur la composante TSPO).</w:t>
      </w:r>
    </w:p>
    <w:p>
      <w:r/>
      <w:r>
        <w:rPr>
          <w:b/>
        </w:rPr>
        <w:t>Interactions Importantes :</w:t>
      </w:r>
      <w:r/>
    </w:p>
    <w:p>
      <w:pPr>
        <w:pStyle w:val="ListBullet"/>
      </w:pPr>
      <w:r>
        <w:t>Étifoxine + alcool : potentialisation possible de la sédation, à éviter.</w:t>
      </w:r>
    </w:p>
    <w:p>
      <w:pPr>
        <w:pStyle w:val="ListBullet"/>
      </w:pPr>
      <w:r>
        <w:t>Étifoxine + autres dépresseurs du SNC (BZD, opioïdes, antihistaminiques H1) : potentialisation possible de la sédation.</w:t>
      </w:r>
    </w:p>
    <w:p>
      <w:pPr>
        <w:pStyle w:val="ListBullet"/>
      </w:pPr>
      <w:r>
        <w:t>Étifoxine + inhibiteurs enzymatiques : pas d'interaction CYP450 majeure connue.</w:t>
      </w:r>
    </w:p>
    <w:p>
      <w:pPr>
        <w:pStyle w:val="ListBullet"/>
      </w:pPr>
      <w:r>
        <w:t>Étifoxine + florquinéfloxacine, ofloxacine : prudence (effet GABA-ergique additif possible).</w:t>
      </w:r>
    </w:p>
    <w:p>
      <w:r/>
      <w:r>
        <w:rPr>
          <w:b/>
        </w:rPr>
        <w:t>Grossesse et Allaitement :</w:t>
      </w:r>
      <w:r/>
    </w:p>
    <w:p>
      <w:pPr>
        <w:pStyle w:val="ListBullet"/>
      </w:pPr>
      <w:r>
        <w:t>Grossesse : Données limitées. Par prudence, à éviter pendant la grossesse, surtout au 1er trimestre. Le CRAT recommande l'évaluation au cas par cas en fonction de la sévérité de l'anxiété maternelle.</w:t>
      </w:r>
    </w:p>
    <w:p>
      <w:pPr>
        <w:pStyle w:val="ListBullet"/>
      </w:pPr>
      <w:r>
        <w:t>Allaitement : Données limitées. Par prudence, à éviter pendant l'allaitement.</w:t>
      </w:r>
    </w:p>
    <w:p>
      <w:pPr>
        <w:pStyle w:val="ListBullet"/>
      </w:pPr>
      <w:r>
        <w:t>Précisions : En cas de traitement indispensable chez une femme enceinte, privilégier les thérapies non pharmacologiques (TCC, hygiène de vie) en première intention.</w:t>
      </w:r>
    </w:p>
    <w:p>
      <w:r/>
      <w:r>
        <w:rPr>
          <w:b/>
        </w:rPr>
        <w:t>Posologie et Mode d'administration (Standard) :</w:t>
      </w:r>
      <w:r/>
    </w:p>
    <w:p>
      <w:pPr>
        <w:pStyle w:val="ListBullet"/>
      </w:pPr>
      <w:r>
        <w:t>Adulte : 50 mg par prise, 2 à 3 fois par jour, soit 100 à 150 mg/jour. Schéma usuel : 1 gélule matin, midi et soir, ou 1 gélule matin et soir.</w:t>
      </w:r>
    </w:p>
    <w:p>
      <w:pPr>
        <w:pStyle w:val="ListBullet"/>
      </w:pPr>
      <w:r>
        <w:t>Sujet âgé : pas de réduction systématique de dose, mais surveillance.</w:t>
      </w:r>
    </w:p>
    <w:p>
      <w:pPr>
        <w:pStyle w:val="ListBullet"/>
      </w:pPr>
      <w:r>
        <w:t>Enfant de plus de 15 ans : 50 mg, 2 fois par jour.</w:t>
      </w:r>
    </w:p>
    <w:p>
      <w:pPr>
        <w:pStyle w:val="ListBullet"/>
      </w:pPr>
      <w:r>
        <w:t>Durée : pas de limite stricte, peut être prescrit au long cours (jusqu'à plusieurs mois). Réévaluation régulière de la pertinence.</w:t>
      </w:r>
    </w:p>
    <w:p>
      <w:pPr>
        <w:pStyle w:val="ListBullet"/>
      </w:pPr>
      <w:r>
        <w:t>Moment de la prise : réparti sur la journée, pendant ou hors des repas.</w:t>
      </w:r>
    </w:p>
    <w:p>
      <w:r/>
      <w:r>
        <w:rPr>
          <w:b/>
        </w:rPr>
        <w:t>Arbitrage et Bénéfices des Formes Galéniques :</w:t>
      </w:r>
      <w:r/>
    </w:p>
    <w:p>
      <w:pPr>
        <w:pStyle w:val="ListBullet"/>
      </w:pPr>
      <w:r>
        <w:t>Gélules 50 mg (B/24 et B/60) : forme orale unique. La gélule n'est pas sécable, ce qui peut limiter l'adaptation posologique fine. Conditionnements de 24 gélules (8 jours à 3 gélules/jour) et 60 gélules (20 jours à 3 gélules/jour) adaptés aux traitements prolongés.</w:t>
      </w:r>
    </w:p>
    <w:p>
      <w:pPr>
        <w:pStyle w:val="ListBullet"/>
      </w:pPr>
      <w:r>
        <w:t>Absence de forme injectable ou buvable : pas d'usage en urgence ni d'adaptation pédiatrique aisée.</w:t>
      </w:r>
    </w:p>
    <w:p>
      <w:r/>
      <w:r>
        <w:rPr>
          <w:b/>
        </w:rPr>
        <w:t>Instructions et Conseils au Patient :</w:t>
      </w:r>
      <w:r/>
    </w:p>
    <w:p>
      <w:pPr>
        <w:pStyle w:val="ListBullet"/>
      </w:pPr>
      <w:r>
        <w:t>Communication au comptoir : « Ce médicament calme votre anxiété. Son avantage principal est l'absence de risque de dépendance : vous pouvez l'utiliser plus longtemps que les tranquillisants classiques, sans effet de sevrage. Une somnolence légère peut survenir en début de traitement, mais elle disparaît en quelques jours. Ne l'associez pas à l'alcool. »</w:t>
      </w:r>
    </w:p>
    <w:p>
      <w:pPr>
        <w:pStyle w:val="ListBullet"/>
      </w:pPr>
      <w:r>
        <w:t>Mode d'utilisation pratique : Prendre à heure fixe pour faciliter l'observance. En cas d'oubli, ne pas doubler la dose suivante. Poursuivre le traitement même en cas d'effet transitoire en début de traitement. Tenir un journal de l'anxiété pour évaluer l'efficacité.</w:t>
      </w:r>
    </w:p>
    <w:p>
      <w:r/>
      <w:r>
        <w:rPr>
          <w:b/>
        </w:rPr>
        <w:t>Notes, Règles d'Or &amp; Pièges au Comptoir :</w:t>
      </w:r>
      <w:r/>
    </w:p>
    <w:p>
      <w:pPr>
        <w:pStyle w:val="ListBullet"/>
      </w:pPr>
      <w:r>
        <w:t>Piège classique : L'étifoxine ne provoque pas de dépendance, mais certains patients peuvent être tentés de l'associer aux BZD ou à l'alcool en pensant qu'elle est « inoffensive ». La somnolence initiale peut surprendre. Le relais par une BZD doit se faire avec prudence, en évitant l'arrêt brutal.</w:t>
      </w:r>
    </w:p>
    <w:p>
      <w:pPr>
        <w:pStyle w:val="ListBullet"/>
      </w:pPr>
      <w:r>
        <w:t>Règle de prise : Pas d'automédication, pas d'association systématique à l'alcool ni aux autres dépresseurs du SNC.</w:t>
      </w:r>
    </w:p>
    <w:p>
      <w:pPr>
        <w:pStyle w:val="ListBullet"/>
      </w:pPr>
      <w:r>
        <w:t>Préparation et Conservation : Conserver à température ambiante (&lt; 25 °C), à l'abri de la lumière et de l'humidité. Tenir hors de portée des enfants.</w:t>
      </w:r>
    </w:p>
    <w:p>
      <w:pPr>
        <w:pStyle w:val="ListBullet"/>
      </w:pPr>
      <w:r>
        <w:t>Piège du surdosage / Substitution : En cas de surdosage, pas d'antidote spécifique (le flumazénil n'est pas efficace sur la composante TSPO). Traitement symptomatique et surveillance hospitalière. Substitution possible par les BZD en cas de nécessité d'anxiolyse rapide, mais l'étifoxine est une option de choix pour les anxiétés chroniques nécessitant un traitement prolongé.</w:t>
      </w:r>
    </w:p>
    <w:p>
      <w:pPr>
        <w:pStyle w:val="Heading2"/>
      </w:pPr>
      <w:r>
        <w:t>10. DCI : Méprobamate (Seule)</w:t>
      </w:r>
    </w:p>
    <w:p>
      <w:r/>
      <w:r>
        <w:rPr>
          <w:b/>
        </w:rPr>
        <w:t>Liste des Catégories :</w:t>
      </w:r>
      <w:r>
        <w:t xml:space="preserve"> Anxiolytiques — Carbamates ; Liste I (substance vénéneuse).</w:t>
      </w:r>
    </w:p>
    <w:p>
      <w:r>
        <w:t xml:space="preserve">Le méprobamate est un anxiolytique de la classe des carbamates, synthétisé en 1955 par Frank Berger et commercialisé sous le nom de </w:t>
      </w:r>
      <w:r>
        <w:rPr>
          <w:b/>
        </w:rPr>
        <w:t>Miltown®</w:t>
      </w:r>
      <w:r>
        <w:t xml:space="preserve">. Il a précédé l'avènement des benzodiazépines comme traitement de référence de l'anxiété, mais a été largement supplanté en raison de son </w:t>
      </w:r>
      <w:r>
        <w:rPr>
          <w:b/>
        </w:rPr>
        <w:t>index thérapeutique étroit</w:t>
      </w:r>
      <w:r>
        <w:t xml:space="preserve"> et surtout de sa </w:t>
      </w:r>
      <w:r>
        <w:rPr>
          <w:b/>
        </w:rPr>
        <w:t>toxicité majeure en surdosage</w:t>
      </w:r>
      <w:r>
        <w:t xml:space="preserve"> (dépression respiratoire, hypotension sévère, coma, arythmies). Le méprobamate a été inscrit sur la liste des substances à surveiller en raison de son potentiel de mésusage. En Algérie, le méprobamate est recensé sous plusieurs marques historiques (Equanil, Calmex, Mepronova, Kaologeais) — </w:t>
      </w:r>
      <w:r>
        <w:rPr>
          <w:b/>
        </w:rPr>
        <w:t>toutes actuellement retirées du marché ou non renouvelables</w:t>
      </w:r>
      <w:r>
        <w:t>. La classe est mentionnée à titre historique et pour le diagnostic toxicologique des intoxications médicamenteuses volontaires.</w:t>
      </w:r>
    </w:p>
    <w:p>
      <w:r/>
      <w:r>
        <w:rPr>
          <w:b/>
        </w:rPr>
        <w:t>Médicaments disponibles en Algérie (Marques, Laboratoires, Formes et Dosages) :</w:t>
      </w:r>
      <w:r/>
    </w:p>
    <w:p>
      <w:pPr>
        <w:pStyle w:val="ListBullet"/>
      </w:pPr>
      <w:r/>
      <w:r>
        <w:rPr>
          <w:b/>
        </w:rPr>
        <w:t>KAOLOGEAIS</w:t>
      </w:r>
      <w:r>
        <w:t xml:space="preserve"> (EREMPHARMA) — Granulés 2 g/60 g/20 g/1 g/3,703 g/100 g — Flacon de 250 g — Retiré (R)</w:t>
      </w:r>
    </w:p>
    <w:p>
      <w:pPr>
        <w:pStyle w:val="ListBullet"/>
      </w:pPr>
      <w:r/>
      <w:r>
        <w:rPr>
          <w:b/>
        </w:rPr>
        <w:t>EQUANIL</w:t>
      </w:r>
      <w:r>
        <w:t xml:space="preserve"> (SANOFI WINTHROP) — Solution injectable IM 400 mg/5 mL — B/10 amp — Retiré (R)</w:t>
      </w:r>
    </w:p>
    <w:p>
      <w:pPr>
        <w:pStyle w:val="ListBullet"/>
      </w:pPr>
      <w:r/>
      <w:r>
        <w:rPr>
          <w:b/>
        </w:rPr>
        <w:t>EQUANIL</w:t>
      </w:r>
      <w:r>
        <w:t xml:space="preserve"> (SANOFI WINTHROP) — Comprimé enrobé sécable 400 mg — B/50 — Retiré (R)</w:t>
      </w:r>
    </w:p>
    <w:p>
      <w:pPr>
        <w:pStyle w:val="ListBullet"/>
      </w:pPr>
      <w:r/>
      <w:r>
        <w:rPr>
          <w:b/>
        </w:rPr>
        <w:t>CALMEX</w:t>
      </w:r>
      <w:r>
        <w:t xml:space="preserve"> (SAIDAL) — Comprimé 200 mg — B/60 — Retiré (R) ; Comprimé 400 mg — B/60 — Retiré (R)</w:t>
      </w:r>
    </w:p>
    <w:p>
      <w:pPr>
        <w:pStyle w:val="ListBullet"/>
      </w:pPr>
      <w:r/>
      <w:r>
        <w:rPr>
          <w:b/>
        </w:rPr>
        <w:t>MEPRONOVA</w:t>
      </w:r>
      <w:r>
        <w:t xml:space="preserve"> (NOVA ARGENTIA) — Comprimé 400 mg — B/50 — Retiré (R)</w:t>
      </w:r>
    </w:p>
    <w:p>
      <w:r/>
      <w:r>
        <w:rPr>
          <w:b/>
        </w:rPr>
        <w:t>Sous-classe et Mécanisme d'action :</w:t>
      </w:r>
      <w:r/>
    </w:p>
    <w:p>
      <w:pPr>
        <w:pStyle w:val="ListBullet"/>
      </w:pPr>
      <w:r>
        <w:t>Sous-classe : Anxiolytique de la classe des carbamates, classé N05BC01 dans la classification ATC. Historiquement premier anxiolytique moderne, tombé en désuétude en raison de sa toxicité en surdosage.</w:t>
      </w:r>
    </w:p>
    <w:p>
      <w:pPr>
        <w:pStyle w:val="ListBullet"/>
      </w:pPr>
      <w:r>
        <w:t xml:space="preserve">Mécanisme d'action : Le méprobamate est un </w:t>
      </w:r>
      <w:r>
        <w:rPr>
          <w:b/>
        </w:rPr>
        <w:t>dépresseur du SNC</w:t>
      </w:r>
      <w:r>
        <w:t xml:space="preserve"> de type barbiturique-like. Il potentialise l'inhibition GABAergique en augmentant la </w:t>
      </w:r>
      <w:r>
        <w:rPr>
          <w:b/>
        </w:rPr>
        <w:t>durée d'ouverture du canal chlore</w:t>
      </w:r>
      <w:r>
        <w:t xml:space="preserve"> du récepteur GABA-A (à la manière des barbituriques, contrairement aux BZD qui augmentent la fréquence d'ouverture). Il a également une action inhibitrice sur la transmission polysynaptique médullaire, à l'origine d'un effet myorelaxant et antispasmodique. Le mécanisme exact n'est pas totalement élucidé, mais il implique une modulation du récepteur GABA-A et des canaux calciques voltage-dépendants.</w:t>
      </w:r>
    </w:p>
    <w:p>
      <w:r/>
      <w:r>
        <w:rPr>
          <w:b/>
        </w:rPr>
        <w:t>Profil Pharmacologique :</w:t>
      </w:r>
      <w:r/>
    </w:p>
    <w:p>
      <w:pPr>
        <w:pStyle w:val="ListBullet"/>
      </w:pPr>
      <w:r>
        <w:t>Indications : Historiquement indiqué dans le traitement de l'anxiété, des troubles anxieux réactionnels, de l'agitation modérée, et en traitement adjuvant des sevrages alcoolique et barbiturique. Aujourd'hui supplanté par les BZD et les alternatives non pharmacologiques. Plus de prescription recommandée en première intention.</w:t>
      </w:r>
    </w:p>
    <w:p>
      <w:pPr>
        <w:pStyle w:val="ListBullet"/>
      </w:pPr>
      <w:r>
        <w:t>Contre-indications : Insuffisance respiratoire sévère, insuffisance hépatique sévère, insuffisance rénale sévère, porphyrie aiguë intermittente (CI absolue — déclenchement de crise), myasthénie, antécédents de dépendance aux psychotropes, allergie aux carbamates.</w:t>
      </w:r>
    </w:p>
    <w:p>
      <w:pPr>
        <w:pStyle w:val="ListBullet"/>
      </w:pPr>
      <w:r>
        <w:t xml:space="preserve">Effets Indésirables : Sédation, somnolence, ataxie, vertiges, asthénie, troubles de la mémoire, hypotonie musculaire, réactions allergiques (éruptions cutanées, prurit, purpura), dépendance physique et psychologique, syndrome de sevrage à l'arrêt brutal (anxiété rebond, tremblements, convulsions, délire, exceptionnellement état de mal). </w:t>
      </w:r>
      <w:r>
        <w:rPr>
          <w:b/>
        </w:rPr>
        <w:t>En surdosage</w:t>
      </w:r>
      <w:r>
        <w:t xml:space="preserve"> : coma, dépression respiratoire sévère, hypotension, arythmies, hypothermie, œdème pulmonaire, collapsus cardiovasculaire, décès possible.</w:t>
      </w:r>
    </w:p>
    <w:p>
      <w:r/>
      <w:r>
        <w:rPr>
          <w:b/>
        </w:rPr>
        <w:t>Prévention et Gestion des Effets Indésirables :</w:t>
      </w:r>
      <w:r/>
    </w:p>
    <w:p>
      <w:pPr>
        <w:pStyle w:val="ListBullet"/>
      </w:pPr>
      <w:r>
        <w:t>Mesures Préventives : Éviter la prescription en première intention (recommandation HAS). Limiter la durée à 4 semaines en cas de prescription. Évaluer systématiquement le risque suicidaire avant prescription (potentiel létal en surdosage volontaire). Chez le sujet âgé : réduire la dose de moitié, surveiller l'équilibre et les fonctions cognitives.</w:t>
      </w:r>
    </w:p>
    <w:p>
      <w:pPr>
        <w:pStyle w:val="ListBullet"/>
      </w:pPr>
      <w:r>
        <w:t xml:space="preserve">Conduite à Tenir : En cas d'usage prolongé, organiser un arrêt progressif sur 4 à 8 semaines. En cas de surdosage : </w:t>
      </w:r>
      <w:r>
        <w:rPr>
          <w:b/>
        </w:rPr>
        <w:t>urgence vitale</w:t>
      </w:r>
      <w:r>
        <w:t xml:space="preserve"> — hospitalisation en réanimation, ventilation mécanique si dépression respiratoire, remplissage vasculaire et vasopresseurs si collapsus, surveillance ECG continue. L'</w:t>
      </w:r>
      <w:r>
        <w:rPr>
          <w:b/>
        </w:rPr>
        <w:t>hémodialyse</w:t>
      </w:r>
      <w:r>
        <w:t xml:space="preserve"> peut être utile en cas de surdosage massif (élimination rénale partielle). Pas d'antidote spécifique.</w:t>
      </w:r>
    </w:p>
    <w:p>
      <w:r/>
      <w:r>
        <w:rPr>
          <w:b/>
        </w:rPr>
        <w:t>Interactions Importantes :</w:t>
      </w:r>
      <w:r/>
    </w:p>
    <w:p>
      <w:pPr>
        <w:pStyle w:val="ListBullet"/>
      </w:pPr>
      <w:r>
        <w:t>Méprobamate + alcool : potentialisation majeure (CI absolue).</w:t>
      </w:r>
    </w:p>
    <w:p>
      <w:pPr>
        <w:pStyle w:val="ListBullet"/>
      </w:pPr>
      <w:r>
        <w:t>Méprobamate + opioïdes : risque vital de dépression respiratoire.</w:t>
      </w:r>
    </w:p>
    <w:p>
      <w:pPr>
        <w:pStyle w:val="ListBullet"/>
      </w:pPr>
      <w:r>
        <w:t>Méprobamate + autres dépresseurs du SNC (BZD, barbituriques, antipsychotiques, antihistaminiques H1) : potentialisation de la sédation.</w:t>
      </w:r>
    </w:p>
    <w:p>
      <w:pPr>
        <w:pStyle w:val="ListBullet"/>
      </w:pPr>
      <w:r>
        <w:t>Méprobamate + anticoagulants oraux : interaction possible.</w:t>
      </w:r>
    </w:p>
    <w:p>
      <w:pPr>
        <w:pStyle w:val="ListBullet"/>
      </w:pPr>
      <w:r>
        <w:t>Méprobamate + contraceptifs oraux : diminution possible de l'efficacité du méprobamate.</w:t>
      </w:r>
    </w:p>
    <w:p>
      <w:r/>
      <w:r>
        <w:rPr>
          <w:b/>
        </w:rPr>
        <w:t>Grossesse et Allaitement :</w:t>
      </w:r>
      <w:r/>
    </w:p>
    <w:p>
      <w:pPr>
        <w:pStyle w:val="ListBullet"/>
      </w:pPr>
      <w:r>
        <w:t>Grossesse : CI absolue en raison de la toxicité fœtale et du potentiel tératogène suspecté. Le CRAT recommande un arrêt pré conceptionnel.</w:t>
      </w:r>
    </w:p>
    <w:p>
      <w:pPr>
        <w:pStyle w:val="ListBullet"/>
      </w:pPr>
      <w:r>
        <w:t>Allaitement : CI absolue (le méprobamate passe dans le lait maternel et peut entraîner une sédation et une hypotonie chez le nourrisson).</w:t>
      </w:r>
    </w:p>
    <w:p>
      <w:pPr>
        <w:pStyle w:val="ListBullet"/>
      </w:pPr>
      <w:r>
        <w:t>Précisions : Chez la femme en âge de procréer, contraception efficace obligatoire.</w:t>
      </w:r>
    </w:p>
    <w:p>
      <w:r/>
      <w:r>
        <w:rPr>
          <w:b/>
        </w:rPr>
        <w:t>Posologie et Mode d'administration (Standard) :</w:t>
      </w:r>
      <w:r/>
    </w:p>
    <w:p>
      <w:pPr>
        <w:pStyle w:val="ListBullet"/>
      </w:pPr>
      <w:r>
        <w:t>Adulte : 200 à 400 mg par prise, 2 à 4 fois par jour, soit 400 à 1600 mg/jour (maximum 2400 mg/jour).</w:t>
      </w:r>
    </w:p>
    <w:p>
      <w:pPr>
        <w:pStyle w:val="ListBullet"/>
      </w:pPr>
      <w:r>
        <w:t>Sujet âgé : 100 à 200 mg par prise, 2 à 3 fois par jour, soit 200 à 600 mg/jour.</w:t>
      </w:r>
    </w:p>
    <w:p>
      <w:pPr>
        <w:pStyle w:val="ListBullet"/>
      </w:pPr>
      <w:r>
        <w:t>Enfant de plus de 6 ans : 100 à 200 mg par prise, 2 fois par jour, sous surveillance pédiatrique.</w:t>
      </w:r>
    </w:p>
    <w:p>
      <w:pPr>
        <w:pStyle w:val="ListBullet"/>
      </w:pPr>
      <w:r>
        <w:t>Durée : 4 semaines maximum (recommandation HAS). Aujourd'hui, à éviter.</w:t>
      </w:r>
    </w:p>
    <w:p>
      <w:pPr>
        <w:pStyle w:val="ListBullet"/>
      </w:pPr>
      <w:r>
        <w:t>Moment de la prise : réparti sur la journée.</w:t>
      </w:r>
    </w:p>
    <w:p>
      <w:r/>
      <w:r>
        <w:rPr>
          <w:b/>
        </w:rPr>
        <w:t>Arbitrage et Bénéfices des Formes Galéniques :</w:t>
      </w:r>
      <w:r/>
    </w:p>
    <w:p>
      <w:pPr>
        <w:pStyle w:val="ListBullet"/>
      </w:pPr>
      <w:r>
        <w:t>Comprimés 200 mg et 400 mg : formes orales historiques, sécables pour adaptation posologique.</w:t>
      </w:r>
    </w:p>
    <w:p>
      <w:pPr>
        <w:pStyle w:val="ListBullet"/>
      </w:pPr>
      <w:r>
        <w:t>Solution injectable IM 400 mg/5 mL (Equanil) : usage hospitalier historique pour l'agitation aiguë — retirée du marché.</w:t>
      </w:r>
    </w:p>
    <w:p>
      <w:pPr>
        <w:pStyle w:val="ListBullet"/>
      </w:pPr>
      <w:r>
        <w:t>Granulés (Kaologeais) : forme historique pour usage pédiatrique ou adaptation posologique — retirée du marché.</w:t>
      </w:r>
    </w:p>
    <w:p>
      <w:r/>
      <w:r>
        <w:rPr>
          <w:b/>
        </w:rPr>
        <w:t>Instructions et Conseils au Patient :</w:t>
      </w:r>
      <w:r/>
    </w:p>
    <w:p>
      <w:pPr>
        <w:pStyle w:val="ListBullet"/>
      </w:pPr>
      <w:r>
        <w:t>Communication au comptoir : « Ce médicament n'est plus commercialisé en Algérie. Si vous en avez encore, ne le prenez pas sans avis médical. Il existe aujourd'hui des alternatives plus sûres et plus efficaces. »</w:t>
      </w:r>
    </w:p>
    <w:p>
      <w:pPr>
        <w:pStyle w:val="ListBullet"/>
      </w:pPr>
      <w:r>
        <w:t>Mode d'utilisation pratique : Historique, ne plus utiliser.</w:t>
      </w:r>
    </w:p>
    <w:p>
      <w:r/>
      <w:r>
        <w:rPr>
          <w:b/>
        </w:rPr>
        <w:t>Notes, Règles d'Or &amp; Pièges au Comptoir :</w:t>
      </w:r>
      <w:r/>
    </w:p>
    <w:p>
      <w:pPr>
        <w:pStyle w:val="ListBullet"/>
      </w:pPr>
      <w:r>
        <w:t>Piège classique : La toxicité en surdosage du méprobamate est majeure et potentiellement létale. Le diagnostic toxicologique doit être évoqué devant tout coma inexpliqué avec hypotension et dépression respiratoire. L'association à l'alcool ou aux opioïdes expose à un risque vital. Le risque de dépendance est élevé en cas d'usage prolongé.</w:t>
      </w:r>
    </w:p>
    <w:p>
      <w:pPr>
        <w:pStyle w:val="ListBullet"/>
      </w:pPr>
      <w:r>
        <w:t>Règle de prise : Ne plus prescrire en première intention. Privilégier les BZD (4–12 semaines max) ou les alternatives non pharmacologiques.</w:t>
      </w:r>
    </w:p>
    <w:p>
      <w:pPr>
        <w:pStyle w:val="ListBullet"/>
      </w:pPr>
      <w:r>
        <w:t>Préparation et Conservation : Conserver à température ambiante (&lt; 25 °C), à l'abri de la lumière et de l'humidité. Tenir hors de portée des enfants.</w:t>
      </w:r>
    </w:p>
    <w:p>
      <w:pPr>
        <w:pStyle w:val="ListBullet"/>
      </w:pPr>
      <w:r>
        <w:t>Piège du surdosage / Substitution : Pas d'antidote spécifique. Traitement symptomatique en réanimation (ventilation mécanique, vasopresseurs, hémodialyse possible). Substitution possible par les BZD en cas de sevrage d'un patient dépendant au méprobamate, sous surveillance médicale stricte.</w:t>
      </w:r>
    </w:p>
    <w:p>
      <w:pPr>
        <w:pStyle w:val="Heading2"/>
      </w:pPr>
      <w:r>
        <w:t>11. DCI : Flunitrazépam (Seule)</w:t>
      </w:r>
    </w:p>
    <w:p>
      <w:r/>
      <w:r>
        <w:rPr>
          <w:b/>
        </w:rPr>
        <w:t>Liste des Catégories :</w:t>
      </w:r>
      <w:r>
        <w:t xml:space="preserve"> Hypnotiques — Benzodiazépines hypnotiques ; Liste I (substance vénéneuse) ; </w:t>
      </w:r>
      <w:r>
        <w:rPr>
          <w:b/>
        </w:rPr>
        <w:t>Stupéfiant</w:t>
      </w:r>
      <w:r>
        <w:t xml:space="preserve"> dans la plupart des pays.</w:t>
      </w:r>
    </w:p>
    <w:p>
      <w:r>
        <w:t xml:space="preserve">Le flunitrazépam est une benzodiazépine </w:t>
      </w:r>
      <w:r>
        <w:rPr>
          <w:b/>
        </w:rPr>
        <w:t>hypnotique puissante</w:t>
      </w:r>
      <w:r>
        <w:t xml:space="preserve">, à </w:t>
      </w:r>
      <w:r>
        <w:rPr>
          <w:b/>
        </w:rPr>
        <w:t>demi-vie longue</w:t>
      </w:r>
      <w:r>
        <w:t xml:space="preserve"> (18 à 26 heures, avec un métabolite actif, le 7-aminoflunitrazépam, à demi-vie jusqu'à 40 heures). Commercialisé historiquement sous le nom de </w:t>
      </w:r>
      <w:r>
        <w:rPr>
          <w:b/>
        </w:rPr>
        <w:t>Rohypnol®</w:t>
      </w:r>
      <w:r>
        <w:t xml:space="preserve"> (Roche), le flunitrazépam a été retiré du marché français en 2001 puis algérien par la suite, en raison de son utilisation comme </w:t>
      </w:r>
      <w:r>
        <w:rPr>
          <w:b/>
        </w:rPr>
        <w:t>« drogue du viol »</w:t>
      </w:r>
      <w:r>
        <w:t xml:space="preserve"> (soumission chimique) et de son mésusage comme psychotrope (effet amnésiant, désinhibition, potentialisation des opioïdes et de l'alcool). Le flunitrazépam est classé comme </w:t>
      </w:r>
      <w:r>
        <w:rPr>
          <w:b/>
        </w:rPr>
        <w:t>stupéfiant</w:t>
      </w:r>
      <w:r>
        <w:t xml:space="preserve"> en Algérie et dans la majorité des pays, soumis à ordonnance sécurisée et à mentions obligatoires (nom du patient, quantité en toutes lettres). La seule spécialité subsistante en Algérie est </w:t>
      </w:r>
      <w:r>
        <w:rPr>
          <w:b/>
        </w:rPr>
        <w:t>Insom®</w:t>
      </w:r>
      <w:r>
        <w:t xml:space="preserve"> (Pharmacare Limited), elle-même </w:t>
      </w:r>
      <w:r>
        <w:rPr>
          <w:b/>
        </w:rPr>
        <w:t>retirée du marché</w:t>
      </w:r>
      <w:r>
        <w:t>. La molécule figure ici pour mémoire et pour le diagnostic toxicologique des intoxications et soumissions chimiques.</w:t>
      </w:r>
    </w:p>
    <w:p>
      <w:r/>
      <w:r>
        <w:rPr>
          <w:b/>
        </w:rPr>
        <w:t>Médicaments disponibles en Algérie (Marques, Laboratoires, Formes et Dosages) :</w:t>
      </w:r>
      <w:r/>
    </w:p>
    <w:p>
      <w:pPr>
        <w:pStyle w:val="ListBullet"/>
      </w:pPr>
      <w:r/>
      <w:r>
        <w:rPr>
          <w:b/>
        </w:rPr>
        <w:t>INSOM</w:t>
      </w:r>
      <w:r>
        <w:t xml:space="preserve"> (PHARMACARE LIMITED) — Comprimé 2 mg — B/20 — Retiré (R)</w:t>
      </w:r>
    </w:p>
    <w:p>
      <w:r/>
      <w:r>
        <w:rPr>
          <w:b/>
        </w:rPr>
        <w:t>Note importante</w:t>
      </w:r>
      <w:r>
        <w:t xml:space="preserve"> : La spécialité historique Rohypnol® (Roche) n'est pas recensée dans le fichier algérien (déjà retirée du marché avant la nomenclature). Le flunitrazépam n'est donc </w:t>
      </w:r>
      <w:r>
        <w:rPr>
          <w:b/>
        </w:rPr>
        <w:t>plus disponible en pratique clinique courante</w:t>
      </w:r>
      <w:r>
        <w:t xml:space="preserve"> en Algérie.</w:t>
      </w:r>
    </w:p>
    <w:p>
      <w:r/>
      <w:r>
        <w:rPr>
          <w:b/>
        </w:rPr>
        <w:t>Sous-classe et Mécanisme d'action :</w:t>
      </w:r>
      <w:r/>
    </w:p>
    <w:p>
      <w:pPr>
        <w:pStyle w:val="ListBullet"/>
      </w:pPr>
      <w:r>
        <w:t>Sous-classe : Benzodiazépine hypnotique de longue durée d'action, classée N05CD03 dans la classification ATC. Stupéfiant en raison de son mésusage.</w:t>
      </w:r>
    </w:p>
    <w:p>
      <w:pPr>
        <w:pStyle w:val="ListBullet"/>
      </w:pPr>
      <w:r>
        <w:t xml:space="preserve">Mécanisme d'action : Modulateur allostérique positif du récepteur GABA-A. Le flunitrazépam se fixe sur le site ω (interface α/γ du récepteur pentamérique) avec une </w:t>
      </w:r>
      <w:r>
        <w:rPr>
          <w:b/>
        </w:rPr>
        <w:t>haute affinité</w:t>
      </w:r>
      <w:r>
        <w:t>, et augmente la fréquence d'ouverture du canal chlore en présence de GABA endogène. Son affinité est 10 fois supérieure à celle du diazépam. L'effet hypnotique est prédominant (sous-unités α1 du cortex), avec un effet amnésiant marqué (à l'origine de son utilisation criminelle comme drogue du viol), un effet myorelaxant, et un effet désinhibiteur (levée du contrôle cortical). L'effet est rapide (15–30 min) et prolongé (8–12 h), avec une amnésie antérograde importante.</w:t>
      </w:r>
    </w:p>
    <w:p>
      <w:r/>
      <w:r>
        <w:rPr>
          <w:b/>
        </w:rPr>
        <w:t>Profil Pharmacologique :</w:t>
      </w:r>
      <w:r/>
    </w:p>
    <w:p>
      <w:pPr>
        <w:pStyle w:val="ListBullet"/>
      </w:pPr>
      <w:r>
        <w:t xml:space="preserve">Indications : Historiquement indiqué dans le traitement de l'insomnie sévère réfractaire aux autres hypnotiques. Aujourd'hui </w:t>
      </w:r>
      <w:r>
        <w:rPr>
          <w:b/>
        </w:rPr>
        <w:t>plus prescrit en Algérie</w:t>
      </w:r>
      <w:r>
        <w:t xml:space="preserve"> en raison du retrait du marché. Durée maximale recommandée : 4 semaines (HAS).</w:t>
      </w:r>
    </w:p>
    <w:p>
      <w:pPr>
        <w:pStyle w:val="ListBullet"/>
      </w:pPr>
      <w:r>
        <w:t>Contre-indications : Myasthénie (CI absolue), insuffisance respiratoire sévère, syndrome d'apnée du sommeil, insuffisance hépatique sévère, glaucome aigu par fermeture de l'angle, allergie aux BZD, intoxication alcoolique aiguë. Association aux opioïdes : mise en garde majeure (risque vital).</w:t>
      </w:r>
    </w:p>
    <w:p>
      <w:pPr>
        <w:pStyle w:val="ListBullet"/>
      </w:pPr>
      <w:r>
        <w:t xml:space="preserve">Effets Indésirables : Sédation profonde, somnolence prolongée, </w:t>
      </w:r>
      <w:r>
        <w:rPr>
          <w:b/>
        </w:rPr>
        <w:t>amnésie antérograde marquée</w:t>
      </w:r>
      <w:r>
        <w:t xml:space="preserve"> (effet recherché dans la soumission chimique), ataxie, dysarthrie, confusion, </w:t>
      </w:r>
      <w:r>
        <w:rPr>
          <w:b/>
        </w:rPr>
        <w:t>comportements complexes pendant le sommeil</w:t>
      </w:r>
      <w:r>
        <w:t xml:space="preserve"> (somnambulisme, conduite automobile non intentionnelle), réactions paradoxales (agitation, agressivité), dépendance physique et psychologique rapide (en 2 à 4 semaines), syndrome de sevrage sévère à l'arrêt brutal (convulsions, délire). </w:t>
      </w:r>
      <w:r>
        <w:rPr>
          <w:b/>
        </w:rPr>
        <w:t>En surdosage</w:t>
      </w:r>
      <w:r>
        <w:t xml:space="preserve"> : coma, dépression respiratoire, hypotension, collapsus cardiovasculaire (risque vital majoré en association avec l'alcool ou les opioïdes).</w:t>
      </w:r>
    </w:p>
    <w:p>
      <w:r/>
      <w:r>
        <w:rPr>
          <w:b/>
        </w:rPr>
        <w:t>Prévention et Gestion des Effets Indésirables :</w:t>
      </w:r>
      <w:r/>
    </w:p>
    <w:p>
      <w:pPr>
        <w:pStyle w:val="ListBullet"/>
      </w:pPr>
      <w:r>
        <w:t>Mesures Préventives : Ne plus prescrire. En cas de nécessité absolue exceptionnelle (contexte clinique très particulier) : dose minimale efficace, durée très courte (max 2 semaines), surveillance stricte, recherche systématique d'antécédents de dépendance. Information explicite du patient sur les risques d'amnésie, de dépendance, de comportements complexes pendant le sommeil, et de l'interdiction absolue de l'alcool. Sensibilisation des femmes jeunes au risque de soumission chimique et aux conseils de prévention.</w:t>
      </w:r>
    </w:p>
    <w:p>
      <w:pPr>
        <w:pStyle w:val="ListBullet"/>
      </w:pPr>
      <w:r>
        <w:t>Conduite à Tenir : En cas d'usage prolongé, organiser un arrêt progressif sur 4 à 8 semaines. En cas de suspicion de soumission chimique : prélèvement urinaire dans les 72 h, conservation pour analyse toxicologique, dépôt de plainte, prise en charge médico-psychologique. En cas de surdosage : flumazénil (Anexate®) en IV à 0,2 mg puis 0,1 mg/min jusqu'à 1 mg ; surveillance hospitalière prolongée 12 à 24 h en raison de la longue demi-vie.</w:t>
      </w:r>
    </w:p>
    <w:p>
      <w:r/>
      <w:r>
        <w:rPr>
          <w:b/>
        </w:rPr>
        <w:t>Interactions Importantes :</w:t>
      </w:r>
      <w:r/>
    </w:p>
    <w:p>
      <w:pPr>
        <w:pStyle w:val="ListBullet"/>
      </w:pPr>
      <w:r>
        <w:t xml:space="preserve">Flunitrazépam + alcool : </w:t>
      </w:r>
      <w:r>
        <w:rPr>
          <w:b/>
        </w:rPr>
        <w:t>potentialisation majeure</w:t>
      </w:r>
      <w:r>
        <w:t xml:space="preserve"> (CI absolue) — risque vital de dépression respiratoire et de coma ; c'est cette synergie qui est exploitée dans la soumission chimique.</w:t>
      </w:r>
    </w:p>
    <w:p>
      <w:pPr>
        <w:pStyle w:val="ListBullet"/>
      </w:pPr>
      <w:r>
        <w:t>Flunitrazépam + opioïdes : risque vital de dépression respiratoire.</w:t>
      </w:r>
    </w:p>
    <w:p>
      <w:pPr>
        <w:pStyle w:val="ListBullet"/>
      </w:pPr>
      <w:r>
        <w:t>Flunitrazépam + autres dépresseurs du SNC : potentialisation de la sédation.</w:t>
      </w:r>
    </w:p>
    <w:p>
      <w:pPr>
        <w:pStyle w:val="ListBullet"/>
      </w:pPr>
      <w:r>
        <w:t>Flunitrazépam + inhibiteurs CYP3A4 (fluoxétine, kétoconazole, érythromycine, ritonavir) : augmentation des concentrations.</w:t>
      </w:r>
    </w:p>
    <w:p>
      <w:pPr>
        <w:pStyle w:val="ListBullet"/>
      </w:pPr>
      <w:r>
        <w:t>Flunitrazépam + inducteurs enzymatiques (rifampicine, carbamazépine) : diminution de l'efficacité.</w:t>
      </w:r>
    </w:p>
    <w:p>
      <w:pPr>
        <w:pStyle w:val="ListBullet"/>
      </w:pPr>
      <w:r>
        <w:t>Flunitrazépam + cimétidine, disulfirame : diminution de la métabolisation.</w:t>
      </w:r>
    </w:p>
    <w:p>
      <w:r/>
      <w:r>
        <w:rPr>
          <w:b/>
        </w:rPr>
        <w:t>Grossesse et Allaitement :</w:t>
      </w:r>
      <w:r/>
    </w:p>
    <w:p>
      <w:pPr>
        <w:pStyle w:val="ListBullet"/>
      </w:pPr>
      <w:r>
        <w:t>Grossesse : CI absolue en raison du potentiel tératogène et du risque de syndrome de sevrage néonatal sévère.</w:t>
      </w:r>
    </w:p>
    <w:p>
      <w:pPr>
        <w:pStyle w:val="ListBullet"/>
      </w:pPr>
      <w:r>
        <w:t>Allaitement : CI absolue (le flunitrazépam et son métabolite passent massivement dans le lait maternel ; sédation profonde et hypotonie chez le nourrisson).</w:t>
      </w:r>
    </w:p>
    <w:p>
      <w:pPr>
        <w:pStyle w:val="ListBullet"/>
      </w:pPr>
      <w:r>
        <w:t>Précisions : Chez la femme en âge de procréer, contraception efficace obligatoire.</w:t>
      </w:r>
    </w:p>
    <w:p>
      <w:r/>
      <w:r>
        <w:rPr>
          <w:b/>
        </w:rPr>
        <w:t>Posologie et Mode d'administration (Standard) :</w:t>
      </w:r>
      <w:r/>
    </w:p>
    <w:p>
      <w:pPr>
        <w:pStyle w:val="ListBullet"/>
      </w:pPr>
      <w:r>
        <w:t>Adulte : 1 à 2 mg au coucher. Ne pas dépasser 2 mg par prise.</w:t>
      </w:r>
    </w:p>
    <w:p>
      <w:pPr>
        <w:pStyle w:val="ListBullet"/>
      </w:pPr>
      <w:r>
        <w:t>Sujet âgé : 0,5 à 1 mg au coucher.</w:t>
      </w:r>
    </w:p>
    <w:p>
      <w:pPr>
        <w:pStyle w:val="ListBullet"/>
      </w:pPr>
      <w:r>
        <w:t>Enfant : CI avant 15 ans.</w:t>
      </w:r>
    </w:p>
    <w:p>
      <w:pPr>
        <w:pStyle w:val="ListBullet"/>
      </w:pPr>
      <w:r>
        <w:t>Durée : 4 semaines maximum (recommandation HAS). En pratique, ne plus prescrire.</w:t>
      </w:r>
    </w:p>
    <w:p>
      <w:pPr>
        <w:pStyle w:val="ListBullet"/>
      </w:pPr>
      <w:r>
        <w:t>Moment de la prise : au coucher, immédiatement avant de se mettre au lit (effet en 15–30 min). Ne pas prendre en dehors du coucher (risque d'amnésie antérograde et de comportements complexes).</w:t>
      </w:r>
    </w:p>
    <w:p>
      <w:r/>
      <w:r>
        <w:rPr>
          <w:b/>
        </w:rPr>
        <w:t>Arbitrage et Bénéfices des Formes Galéniques :</w:t>
      </w:r>
      <w:r/>
    </w:p>
    <w:p>
      <w:pPr>
        <w:pStyle w:val="ListBullet"/>
      </w:pPr>
      <w:r>
        <w:t>Comprimés 1 mg et 2 mg (historiques) : forme orale unique. La sécabilité permet l'adaptation posologique.</w:t>
      </w:r>
    </w:p>
    <w:p>
      <w:pPr>
        <w:pStyle w:val="ListBullet"/>
      </w:pPr>
      <w:r>
        <w:t>Absence de forme injectable en Algérie (existait historiquement en France pour prémédication anesthésique).</w:t>
      </w:r>
    </w:p>
    <w:p>
      <w:r/>
      <w:r>
        <w:rPr>
          <w:b/>
        </w:rPr>
        <w:t>Instructions et Conseils au Patient :</w:t>
      </w:r>
      <w:r/>
    </w:p>
    <w:p>
      <w:pPr>
        <w:pStyle w:val="ListBullet"/>
      </w:pPr>
      <w:r>
        <w:t>Communication au comptoir : « Ce médicament n'est plus disponible. Si vous en disposez encore, ne le prenez pas sans avis médical. Il existe aujourd'hui des alternatives plus sûres pour traiter l'insomnie. Si vous avez été victime de soumission chimique, consultez immédiatement un service d'urgences pour analyse toxicologique et dépôt de plainte. »</w:t>
      </w:r>
    </w:p>
    <w:p>
      <w:pPr>
        <w:pStyle w:val="ListBullet"/>
      </w:pPr>
      <w:r>
        <w:t>Mode d'utilisation pratique : Ne plus utiliser.</w:t>
      </w:r>
    </w:p>
    <w:p>
      <w:r/>
      <w:r>
        <w:rPr>
          <w:b/>
        </w:rPr>
        <w:t>Notes, Règles d'Or &amp; Pièges au Comptoir :</w:t>
      </w:r>
      <w:r/>
    </w:p>
    <w:p>
      <w:pPr>
        <w:pStyle w:val="ListBullet"/>
      </w:pPr>
      <w:r>
        <w:t>Piège classique : Le flunitrazépam est classé comme stupéfiant en raison de son utilisation comme drogue du viol (soumission chimique). L'amnésie antérograde est profonde et prolongée. L'association à l'alcool ou aux opioïdes expose à un risque vital. Le risque de dépendance est majeur (en 2 semaines d'usage régulier).</w:t>
      </w:r>
    </w:p>
    <w:p>
      <w:pPr>
        <w:pStyle w:val="ListBullet"/>
      </w:pPr>
      <w:r>
        <w:t>Règle de prise : Ne plus prescrire. Si une soumission chimique est suspectée : prélèvement urinaire dans les 72 h, analyse toxicologique spécialisée, dépôt de plainte.</w:t>
      </w:r>
    </w:p>
    <w:p>
      <w:pPr>
        <w:pStyle w:val="ListBullet"/>
      </w:pPr>
      <w:r>
        <w:t>Préparation et Conservation : Conserver à température ambiante (&lt; 25 °C), à l'abri de la lumière, sous clé (stupéfiant). Tenir hors de portée des enfants et des personnes vulnérables.</w:t>
      </w:r>
    </w:p>
    <w:p>
      <w:pPr>
        <w:pStyle w:val="ListBullet"/>
      </w:pPr>
      <w:r>
        <w:t>Piège du surdosage / Substitution : Le flumazénil (Anexate®) est l'antidote spécifique en cas de surdosage, à utiliser en milieu hospitalier. Attention au risque de déclenchement de convulsions chez le patient dépendant chronique. La substitution par une autre BZD hypnotique (zolpidem) doit se faire après sevrage progressif.</w:t>
      </w:r>
    </w:p>
    <w:p>
      <w:pPr>
        <w:pStyle w:val="Heading2"/>
      </w:pPr>
      <w:r>
        <w:t>12. DCI : Nitrazépam (Seule)</w:t>
      </w:r>
    </w:p>
    <w:p>
      <w:r/>
      <w:r>
        <w:rPr>
          <w:b/>
        </w:rPr>
        <w:t>Liste des Catégories :</w:t>
      </w:r>
      <w:r>
        <w:t xml:space="preserve"> Hypnotiques — Benzodiazépines hypnotiques ; Liste I (substance vénéneuse).</w:t>
      </w:r>
    </w:p>
    <w:p>
      <w:r>
        <w:t xml:space="preserve">Le nitrazépam est une benzodiazépine </w:t>
      </w:r>
      <w:r>
        <w:rPr>
          <w:b/>
        </w:rPr>
        <w:t>hypnotique de longue durée d'action</w:t>
      </w:r>
      <w:r>
        <w:t xml:space="preserve"> (demi-vie 15 à 38 heures, avec un métabolite actif dont la demi-vie peut atteindre 70 heures). Commercialisé historiquement sous les marques Mogadon® (Roche, en France) et Arem, Nitraz, Nazepam en Algérie, le nitrazépam a été largement utilisé comme hypnotique dans les années 1970–1990, avant d'être supplanté par le zolpidem et la zopiclone à demi-vie plus courte. En Algérie, le nitrazépam est recensé sous 3 marques historiques, toutes </w:t>
      </w:r>
      <w:r>
        <w:rPr>
          <w:b/>
        </w:rPr>
        <w:t>retirées du marché ou non renouvelables</w:t>
      </w:r>
      <w:r>
        <w:t>. La molécule figure ici pour mémoire et pour le diagnostic toxicologique.</w:t>
      </w:r>
    </w:p>
    <w:p>
      <w:r/>
      <w:r>
        <w:rPr>
          <w:b/>
        </w:rPr>
        <w:t>Médicaments disponibles en Algérie (Marques, Laboratoires, Formes et Dosages) :</w:t>
      </w:r>
      <w:r/>
    </w:p>
    <w:p>
      <w:pPr>
        <w:pStyle w:val="ListBullet"/>
      </w:pPr>
      <w:r/>
      <w:r>
        <w:rPr>
          <w:b/>
        </w:rPr>
        <w:t>NAZEPAM</w:t>
      </w:r>
      <w:r>
        <w:t xml:space="preserve"> (NOVA ARGENTIA) — Comprimé 5 mg — B/20 — Non Renouvelable</w:t>
      </w:r>
    </w:p>
    <w:p>
      <w:pPr>
        <w:pStyle w:val="ListBullet"/>
      </w:pPr>
      <w:r/>
      <w:r>
        <w:rPr>
          <w:b/>
        </w:rPr>
        <w:t>AREM</w:t>
      </w:r>
      <w:r>
        <w:t xml:space="preserve"> (PHARMACARE LIMITED) — Comprimé 5 mg — B/30 — Retiré (R)</w:t>
      </w:r>
    </w:p>
    <w:p>
      <w:pPr>
        <w:pStyle w:val="ListBullet"/>
      </w:pPr>
      <w:r/>
      <w:r>
        <w:rPr>
          <w:b/>
        </w:rPr>
        <w:t>NITRAZ</w:t>
      </w:r>
      <w:r>
        <w:t xml:space="preserve"> (GROUPE SANTE) — Comprimé 5 mg — B/20 — Retiré (R)</w:t>
      </w:r>
    </w:p>
    <w:p>
      <w:r/>
      <w:r>
        <w:rPr>
          <w:b/>
        </w:rPr>
        <w:t>Sous-classe et Mécanisme d'action :</w:t>
      </w:r>
      <w:r/>
    </w:p>
    <w:p>
      <w:pPr>
        <w:pStyle w:val="ListBullet"/>
      </w:pPr>
      <w:r>
        <w:t>Sous-classe : Benzodiazépine hypnotique de longue durée d'action, classée N05CD02 dans la classification ATC. Tombée en désuétude en raison de la longue demi-vie et des effets résiduels diurnes.</w:t>
      </w:r>
    </w:p>
    <w:p>
      <w:pPr>
        <w:pStyle w:val="ListBullet"/>
      </w:pPr>
      <w:r>
        <w:t>Mécanisme d'action : Modulateur allostérique positif du récepteur GABA-A. Le nitrazépam se fixe sur le site ω (interface α/γ du récepteur pentamérique) et augmente la fréquence d'ouverture du canal chlore en présence de GABA endogène, hyperpolarisant la membrane postsynaptique et réduisant l'excitabilité neuronale. L'effet hypnotique est prédominant (sous-unités α1 du cortex), avec un effet anxiolytique, myorelaxant et anticonvulsivant modéré. Le délai d'action est court (15–30 min) et la durée d'action prolongée (8–12 h), mais avec des effets résiduels diurnes fréquents en raison de la longue demi-vie.</w:t>
      </w:r>
    </w:p>
    <w:p>
      <w:r/>
      <w:r>
        <w:rPr>
          <w:b/>
        </w:rPr>
        <w:t>Profil Pharmacologique :</w:t>
      </w:r>
      <w:r/>
    </w:p>
    <w:p>
      <w:pPr>
        <w:pStyle w:val="ListBullet"/>
      </w:pPr>
      <w:r>
        <w:t>Indications : Historiquement indiqué dans le traitement de l'insomnie (endormissement et/ou maintien du sommeil). Aujourd'hui supplanté par le zolpidem et la zopiclone. Durée maximale recommandée : 4 semaines (HAS).</w:t>
      </w:r>
    </w:p>
    <w:p>
      <w:pPr>
        <w:pStyle w:val="ListBullet"/>
      </w:pPr>
      <w:r>
        <w:t>Contre-indications : Myasthénie (CI absolue), insuffisance respiratoire sévère, syndrome d'apnée du sommeil, insuffisance hépatique sévère, glaucome aigu par fermeture de l'angle, allergie aux BZD, intoxication alcoolique aiguë. Association aux opioïdes : mise en garde majeure.</w:t>
      </w:r>
    </w:p>
    <w:p>
      <w:pPr>
        <w:pStyle w:val="ListBullet"/>
      </w:pPr>
      <w:r>
        <w:t xml:space="preserve">Effets Indésirables : Sédation prolongée, somnolence diurne (effet résiduel « gueule de bois »), asthénie, ataxie, dysarthrie, troubles de la mémoire antérograde, confusion chez le sujet âgé, hypotonie musculaire, réactions paradoxales (agitation, agressivité), </w:t>
      </w:r>
      <w:r>
        <w:rPr>
          <w:b/>
        </w:rPr>
        <w:t>comportements complexes pendant le sommeil</w:t>
      </w:r>
      <w:r>
        <w:t xml:space="preserve"> (somnambulisme), dépendance physique et psychologique après 4 semaines d'usage régulier, syndrome de sevrage à l'arrêt brutal (anxiété rebond, insomnie de rebond, tremblements, convulsions, délire). La longue demi-vie expose à un risque d'accumulation et d'effets résiduels prolongés, particulièrement chez le sujet âgé.</w:t>
      </w:r>
    </w:p>
    <w:p>
      <w:r/>
      <w:r>
        <w:rPr>
          <w:b/>
        </w:rPr>
        <w:t>Prévention et Gestion des Effets Indésirables :</w:t>
      </w:r>
      <w:r/>
    </w:p>
    <w:p>
      <w:pPr>
        <w:pStyle w:val="ListBullet"/>
      </w:pPr>
      <w:r>
        <w:t>Mesures Préventives : Ne plus prescrire en première intention. Privilégier le zolpidem ou les mesures d'hygiène de sommeil. En cas de nécessité absolue : dose minimale efficace, durée très courte (max 4 semaines), surveillance stricte. Chez le sujet âgé : éviter en raison de l'accumulation et du risque de chutes, de fractures du col fémoral, de décompensation cognitive.</w:t>
      </w:r>
    </w:p>
    <w:p>
      <w:pPr>
        <w:pStyle w:val="ListBullet"/>
      </w:pPr>
      <w:r>
        <w:t>Conduite à Tenir : En cas d'usage prolongé, organiser un arrêt progressif sur 4 à 8 semaines par paliers de 1/8 à 1/4 de la dose initiale. En cas de surdosage : flumazénil (Anexate®) en IV à 0,2 mg puis 0,1 mg/min jusqu'à 1 mg ; surveillance hospitalière prolongée 12 à 24 h en raison de la longue demi-vie.</w:t>
      </w:r>
    </w:p>
    <w:p>
      <w:r/>
      <w:r>
        <w:rPr>
          <w:b/>
        </w:rPr>
        <w:t>Interactions Importantes :</w:t>
      </w:r>
      <w:r/>
    </w:p>
    <w:p>
      <w:pPr>
        <w:pStyle w:val="ListBullet"/>
      </w:pPr>
      <w:r>
        <w:t>Nitrazépam + alcool : potentialisation majeure (CI absolue).</w:t>
      </w:r>
    </w:p>
    <w:p>
      <w:pPr>
        <w:pStyle w:val="ListBullet"/>
      </w:pPr>
      <w:r>
        <w:t>Nitrazépam + opioïdes : risque vital de dépression respiratoire.</w:t>
      </w:r>
    </w:p>
    <w:p>
      <w:pPr>
        <w:pStyle w:val="ListBullet"/>
      </w:pPr>
      <w:r>
        <w:t>Nitrazépam + autres dépresseurs du SNC : potentialisation de la sédation.</w:t>
      </w:r>
    </w:p>
    <w:p>
      <w:pPr>
        <w:pStyle w:val="ListBullet"/>
      </w:pPr>
      <w:r>
        <w:t>Nitrazépam + inhibiteurs CYP3A4 : augmentation des concentrations.</w:t>
      </w:r>
    </w:p>
    <w:p>
      <w:pPr>
        <w:pStyle w:val="ListBullet"/>
      </w:pPr>
      <w:r>
        <w:t>Nitrazépam + inducteurs enzymatiques : diminution de l'efficacité.</w:t>
      </w:r>
    </w:p>
    <w:p>
      <w:r/>
      <w:r>
        <w:rPr>
          <w:b/>
        </w:rPr>
        <w:t>Grossesse et Allaitement :</w:t>
      </w:r>
      <w:r/>
    </w:p>
    <w:p>
      <w:pPr>
        <w:pStyle w:val="ListBullet"/>
      </w:pPr>
      <w:r>
        <w:t>Grossesse : À éviter, surtout au 1er et au 3e trimestre. Le CRAT recommande un arrêt préférentiel avant la fin de grossesse.</w:t>
      </w:r>
    </w:p>
    <w:p>
      <w:pPr>
        <w:pStyle w:val="ListBullet"/>
      </w:pPr>
      <w:r>
        <w:t>Allaitement : Le nitrazépam et son métabolite passent dans le lait maternel. Le CRAT recommande de ne pas allaiter sous nitrazépam.</w:t>
      </w:r>
    </w:p>
    <w:p>
      <w:pPr>
        <w:pStyle w:val="ListBullet"/>
      </w:pPr>
      <w:r>
        <w:t>Précisions : En cas de traitement indispensable, contraception efficace obligatoire.</w:t>
      </w:r>
    </w:p>
    <w:p>
      <w:r/>
      <w:r>
        <w:rPr>
          <w:b/>
        </w:rPr>
        <w:t>Posologie et Mode d'administration (Standard) :</w:t>
      </w:r>
      <w:r/>
    </w:p>
    <w:p>
      <w:pPr>
        <w:pStyle w:val="ListBullet"/>
      </w:pPr>
      <w:r>
        <w:t>Adulte : 5 à 10 mg au coucher. Ne pas dépasser 10 mg par prise.</w:t>
      </w:r>
    </w:p>
    <w:p>
      <w:pPr>
        <w:pStyle w:val="ListBullet"/>
      </w:pPr>
      <w:r>
        <w:t>Sujet âgé : 2,5 à 5 mg au coucher. À éviter en première intention.</w:t>
      </w:r>
    </w:p>
    <w:p>
      <w:pPr>
        <w:pStyle w:val="ListBullet"/>
      </w:pPr>
      <w:r>
        <w:t>Enfant : CI avant 15 ans.</w:t>
      </w:r>
    </w:p>
    <w:p>
      <w:pPr>
        <w:pStyle w:val="ListBullet"/>
      </w:pPr>
      <w:r>
        <w:t>Durée : 4 semaines maximum (recommandation HAS). En pratique, ne plus prescrire.</w:t>
      </w:r>
    </w:p>
    <w:p>
      <w:pPr>
        <w:pStyle w:val="ListBullet"/>
      </w:pPr>
      <w:r>
        <w:t>Moment de la prise : au coucher, immédiatement avant de se mettre au lit (effet en 15–30 min).</w:t>
      </w:r>
    </w:p>
    <w:p>
      <w:r/>
      <w:r>
        <w:rPr>
          <w:b/>
        </w:rPr>
        <w:t>Arbitrage et Bénéfices des Formes Galéniques :</w:t>
      </w:r>
      <w:r/>
    </w:p>
    <w:p>
      <w:pPr>
        <w:pStyle w:val="ListBullet"/>
      </w:pPr>
      <w:r>
        <w:t>Comprimés 5 mg : forme orale unique. La sécabilité permet l'adaptation posologique.</w:t>
      </w:r>
    </w:p>
    <w:p>
      <w:pPr>
        <w:pStyle w:val="ListBullet"/>
      </w:pPr>
      <w:r>
        <w:t>Absence de forme injectable ou buvable.</w:t>
      </w:r>
    </w:p>
    <w:p>
      <w:r/>
      <w:r>
        <w:rPr>
          <w:b/>
        </w:rPr>
        <w:t>Instructions et Conseils au Patient :</w:t>
      </w:r>
      <w:r/>
    </w:p>
    <w:p>
      <w:pPr>
        <w:pStyle w:val="ListBullet"/>
      </w:pPr>
      <w:r>
        <w:t>Communication au comptoir : « Ce médicament n'est plus commercialisé en Algérie. Si vous en disposez encore, ne le prenez pas sans avis médical. Il existe aujourd'hui des alternatives plus sûres pour traiter l'insomnie, comme le zolpidem (Stilnox). »</w:t>
      </w:r>
    </w:p>
    <w:p>
      <w:pPr>
        <w:pStyle w:val="ListBullet"/>
      </w:pPr>
      <w:r>
        <w:t>Mode d'utilisation pratique : Ne plus utiliser.</w:t>
      </w:r>
    </w:p>
    <w:p>
      <w:r/>
      <w:r>
        <w:rPr>
          <w:b/>
        </w:rPr>
        <w:t>Notes, Règles d'Or &amp; Pièges au Comptoir :</w:t>
      </w:r>
      <w:r/>
    </w:p>
    <w:p>
      <w:pPr>
        <w:pStyle w:val="ListBullet"/>
      </w:pPr>
      <w:r>
        <w:t>Piège classique : La longue demi-vie du nitrazépam expose à un risque majeur d'accumulation et d'effets résiduels diurnes, particulièrement chez le sujet âgé (risque de chutes, de fractures, de décompensation cognitive). L'arrêt brutal expose à un syndrome de sevrage sévère. L'association à l'alcool ou aux opioïdes expose à un risque vital.</w:t>
      </w:r>
    </w:p>
    <w:p>
      <w:pPr>
        <w:pStyle w:val="ListBullet"/>
      </w:pPr>
      <w:r>
        <w:t>Règle de prise : Ne plus prescrire. Privilégier le zolpidem (4 semaines max) ou les alternatives non pharmacologiques.</w:t>
      </w:r>
    </w:p>
    <w:p>
      <w:pPr>
        <w:pStyle w:val="ListBullet"/>
      </w:pPr>
      <w:r>
        <w:t>Préparation et Conservation : Conserver à température ambiante (&lt; 25 °C), à l'abri de la lumière et de l'humidité. Tenir hors de portée des enfants.</w:t>
      </w:r>
    </w:p>
    <w:p>
      <w:pPr>
        <w:pStyle w:val="ListBullet"/>
      </w:pPr>
      <w:r>
        <w:t>Piège du surdosage / Substitution : Le flumazénil (Anexate®) est l'antidote spécifique en cas de surdosage, à utiliser en milieu hospitalier. La substitution par le zolpidem doit se faire après sevrage progressif.</w:t>
      </w:r>
    </w:p>
    <w:p>
      <w:pPr>
        <w:pStyle w:val="Heading2"/>
      </w:pPr>
      <w:r>
        <w:t>13. DCI : Zolpidem (Seule)</w:t>
      </w:r>
    </w:p>
    <w:p>
      <w:r/>
      <w:r>
        <w:rPr>
          <w:b/>
        </w:rPr>
        <w:t>Liste des Catégories :</w:t>
      </w:r>
      <w:r>
        <w:t xml:space="preserve"> Hypnotiques — Agonistes sélectifs ω1 (non-benzodiazépines) ; Liste I (substance vénéneuse).</w:t>
      </w:r>
    </w:p>
    <w:p>
      <w:r>
        <w:t xml:space="preserve">Le zolpidem est un hypnotique non benzodiazépine, </w:t>
      </w:r>
      <w:r>
        <w:rPr>
          <w:b/>
        </w:rPr>
        <w:t>agoniste sélectif du site ω1</w:t>
      </w:r>
      <w:r>
        <w:t xml:space="preserve"> du récepteur GABA-A, correspondant à la sous-unité α1. Cette sélectivité explique son profil </w:t>
      </w:r>
      <w:r>
        <w:rPr>
          <w:b/>
        </w:rPr>
        <w:t>purement hypnotique</w:t>
      </w:r>
      <w:r>
        <w:t xml:space="preserve">, sans effet anxiolytique ni myorelaxant marqué. Sa </w:t>
      </w:r>
      <w:r>
        <w:rPr>
          <w:b/>
        </w:rPr>
        <w:t>demi-vie courte</w:t>
      </w:r>
      <w:r>
        <w:t xml:space="preserve"> (~2–3 h) permet un sommeil nocturne complet avec réveil matinal sans sédation résiduelle. Son délai d'action rapide (15–30 min) et sa courte durée d'action en font l'hypnotique de référence en première intention pour le traitement de l'insomnie transitoire, situationnelle ou chronique, après échec des mesures d'hygiène de sommeil. En Algérie, le zolpidem est disponible sous 3 spécialités actives : Stilnox® (Sanofi, marque historique), Evozolpidem (Evolab), Zolidrate (Generic Lab), toutes en comprimés pelliculés sécables 10 mg.</w:t>
      </w:r>
    </w:p>
    <w:p>
      <w:r/>
      <w:r>
        <w:rPr>
          <w:b/>
        </w:rPr>
        <w:t>Médicaments disponibles en Algérie (Marques, Laboratoires, Formes et Dosages) :</w:t>
      </w:r>
      <w:r/>
    </w:p>
    <w:p>
      <w:pPr>
        <w:pStyle w:val="ListBullet"/>
      </w:pPr>
      <w:r/>
      <w:r>
        <w:rPr>
          <w:b/>
        </w:rPr>
        <w:t>STILNOX</w:t>
      </w:r>
      <w:r>
        <w:t xml:space="preserve"> (SANOFI SYNTHELABO FRANCE) — Comprimé pelliculé sécable 10 mg — B/14 — Actif</w:t>
      </w:r>
    </w:p>
    <w:p>
      <w:pPr>
        <w:pStyle w:val="ListBullet"/>
      </w:pPr>
      <w:r/>
      <w:r>
        <w:rPr>
          <w:b/>
        </w:rPr>
        <w:t>EVOZOLPIDEM</w:t>
      </w:r>
      <w:r>
        <w:t xml:space="preserve"> (SARL EVOLAB) — Comprimé pelliculé sécable 10 mg — B/20 — Actif</w:t>
      </w:r>
    </w:p>
    <w:p>
      <w:pPr>
        <w:pStyle w:val="ListBullet"/>
      </w:pPr>
      <w:r/>
      <w:r>
        <w:rPr>
          <w:b/>
        </w:rPr>
        <w:t>ZOLIDRATE</w:t>
      </w:r>
      <w:r>
        <w:t xml:space="preserve"> (GENERIC LAB) — Comprimé pelliculé sécable 10 mg — B/20 — Actif</w:t>
      </w:r>
    </w:p>
    <w:p>
      <w:r/>
      <w:r>
        <w:rPr>
          <w:b/>
        </w:rPr>
        <w:t>Sous-classe et Mécanisme d'action :</w:t>
      </w:r>
      <w:r/>
    </w:p>
    <w:p>
      <w:pPr>
        <w:pStyle w:val="ListBullet"/>
      </w:pPr>
      <w:r>
        <w:t>Sous-classe : Hypnotique non benzodiazépine, agoniste sélectif du site ω1 du récepteur GABA-A, classé N05CF02 dans la classification ATC. Chef de file de la classe des « médicaments Z » (zolpidem, zopiclone, zaleplon).</w:t>
      </w:r>
    </w:p>
    <w:p>
      <w:pPr>
        <w:pStyle w:val="ListBullet"/>
      </w:pPr>
      <w:r>
        <w:t xml:space="preserve">Mécanisme d'action : Le zolpidem est un </w:t>
      </w:r>
      <w:r>
        <w:rPr>
          <w:b/>
        </w:rPr>
        <w:t>agoniste sélectif du site ω1</w:t>
      </w:r>
      <w:r>
        <w:t xml:space="preserve"> du récepteur GABA-A, correspondant à la sous-unité α1. Cette sélectivité (contrairement aux BZD qui agissent sur tous les sites ω1, ω2, ω3, ω5) explique un effet </w:t>
      </w:r>
      <w:r>
        <w:rPr>
          <w:b/>
        </w:rPr>
        <w:t>purement sédatif/hypnotique</w:t>
      </w:r>
      <w:r>
        <w:t>, sans effet anxiolytique, myorelaxant ou anticonvulsivant marqué. Comme les BZD, le zolpidem est un modulateur allostérique positif : il augmente la fréquence d'ouverture du canal chlore en présence de GABA endogène, hyperpolarisant la membrane postsynaptique et réduisant l'excitabilité neuronale. Le métabolisme est hépatique par CYP3A4 (interactions avec les inhibiteurs et inducteurs enzymatiques). La biodisponibilité orale est de 70 %.</w:t>
      </w:r>
    </w:p>
    <w:p>
      <w:r/>
      <w:r>
        <w:rPr>
          <w:b/>
        </w:rPr>
        <w:t>Profil Pharmacologique :</w:t>
      </w:r>
      <w:r/>
    </w:p>
    <w:p>
      <w:pPr>
        <w:pStyle w:val="ListBullet"/>
      </w:pPr>
      <w:r>
        <w:t>Indications : Traitement de l'insomnie (endormissement et/ou maintien du sommeil), en cas d'échec des mesures d'hygiène de sommeil. Insomnie transitoire (quelques jours), situationnelle (choc émotionnel, décalage horaire), ou chronique. Durée maximale recommandée : 4 semaines (HAS), réévaluation systématique.</w:t>
      </w:r>
    </w:p>
    <w:p>
      <w:pPr>
        <w:pStyle w:val="ListBullet"/>
      </w:pPr>
      <w:r>
        <w:t>Contre-indications : Myasthénie (CI absolue), insuffisance respiratoire sévère, syndrome d'apnée du sommeil, insuffisance hépatique sévère (réduction de dose à 5 mg obligatoire), glaucome aigu par fermeture de l'angle, allergie au zolpidem, intoxication alcoolique aiguë. Association aux opioïdes : mise en garde majeure.</w:t>
      </w:r>
    </w:p>
    <w:p>
      <w:pPr>
        <w:pStyle w:val="ListBullet"/>
      </w:pPr>
      <w:r>
        <w:t xml:space="preserve">Effets Indésirables : Sédation (généralement bien calibrée en raison de la courte demi-vie), troubles du goût (dysgeusie, plus fréquents avec la zopiclone), troubles digestifs (nausées, diarrhée), céphalées, vertiges, </w:t>
      </w:r>
      <w:r>
        <w:rPr>
          <w:b/>
        </w:rPr>
        <w:t>troubles de mémoire antérograde</w:t>
      </w:r>
      <w:r>
        <w:t xml:space="preserve"> (rares mais possibles), </w:t>
      </w:r>
      <w:r>
        <w:rPr>
          <w:b/>
        </w:rPr>
        <w:t>comportements complexes pendant le sommeil</w:t>
      </w:r>
      <w:r>
        <w:t xml:space="preserve"> (somnambulisme, conduite automobile non intentionnelle, somniloquie, prise alimentaire nocturne) — mise en garde ANSM/FDA, réactions paradoxales (agitation, agressivité), hallucinations visuelles (surtout chez le sujet âgé), dépendance psychique (rare, mais décrite en cas d'usage prolongé ou de mésusage), syndrome de sevrage à l'arrêt brutal (anxiété rebond, insomnie de rebond). Effets résiduels possibles si prise moins de 7 h avant le réveil.</w:t>
      </w:r>
    </w:p>
    <w:p>
      <w:r/>
      <w:r>
        <w:rPr>
          <w:b/>
        </w:rPr>
        <w:t>Prévention et Gestion des Effets Indésirables :</w:t>
      </w:r>
      <w:r/>
    </w:p>
    <w:p>
      <w:pPr>
        <w:pStyle w:val="ListBullet"/>
      </w:pPr>
      <w:r>
        <w:t xml:space="preserve">Mesures Préventives : Limiter la prescription à 4 semaines (HAS), prescrire la dose minimale efficace (10 mg chez l'adulte, 5 mg chez le sujet âgé et l'insuffisant hépatique), prendre le comprimé immédiatement avant de se mettre au lit (effet en 15–30 min, durée d'action 6–8 h). Informer explicitement le patient sur les risques de </w:t>
      </w:r>
      <w:r>
        <w:rPr>
          <w:b/>
        </w:rPr>
        <w:t>comportements complexes pendant le sommeil</w:t>
      </w:r>
      <w:r>
        <w:t xml:space="preserve"> (somnambulisme, conduite automobile non intentionnelle) et sur la nécessité de disposer d'une période de sommeil complète (7–8 h) après la prise. Éviter l'association à l'alcool.</w:t>
      </w:r>
    </w:p>
    <w:p>
      <w:pPr>
        <w:pStyle w:val="ListBullet"/>
      </w:pPr>
      <w:r>
        <w:t>Conduite à Tenir : En cas d'usage prolongé au-delà de 4 semaines, organiser un arrêt progressif par paliers de 1/4 (comprimé sécable). En cas de comportement complexe pendant le sommeil : arrêt immédiat du zolpidem et consultation. En cas de surdosage : flumazénil (Anexate®) en IV à 0,2 mg puis 0,1 mg/min jusqu'à 1 mg ; surveillance hospitalière 6–12 h.</w:t>
      </w:r>
    </w:p>
    <w:p>
      <w:r/>
      <w:r>
        <w:rPr>
          <w:b/>
        </w:rPr>
        <w:t>Interactions Importantes :</w:t>
      </w:r>
      <w:r/>
    </w:p>
    <w:p>
      <w:pPr>
        <w:pStyle w:val="ListBullet"/>
      </w:pPr>
      <w:r>
        <w:t>Zolpidem + alcool : potentialisation de la sédation et des comportements complexes (CI absolue).</w:t>
      </w:r>
    </w:p>
    <w:p>
      <w:pPr>
        <w:pStyle w:val="ListBullet"/>
      </w:pPr>
      <w:r>
        <w:t>Zolpidem + opioïdes : risque vital de dépression respiratoire.</w:t>
      </w:r>
    </w:p>
    <w:p>
      <w:pPr>
        <w:pStyle w:val="ListBullet"/>
      </w:pPr>
      <w:r>
        <w:t>Zolpidem + autres dépresseurs du SNC (BZD, antihistaminiques H1, antipsychotiques) : potentialisation de la sédation.</w:t>
      </w:r>
    </w:p>
    <w:p>
      <w:pPr>
        <w:pStyle w:val="ListBullet"/>
      </w:pPr>
      <w:r>
        <w:t>Zolpidem + inhibiteurs CYP3A4 (kétokonazole, itraconazole, érythromycine, clarithromycine, ritonavir, fluvoxamine, Grapefruit juice) : augmentation des concentrations, majoration des effets indésirables.</w:t>
      </w:r>
    </w:p>
    <w:p>
      <w:pPr>
        <w:pStyle w:val="ListBullet"/>
      </w:pPr>
      <w:r>
        <w:t>Zolpidem + inducteurs CYP3A4 (rifampicine, carbamazépine, phénobarbital, millepertuis) : diminution de l'efficacité.</w:t>
      </w:r>
    </w:p>
    <w:p>
      <w:pPr>
        <w:pStyle w:val="ListBullet"/>
      </w:pPr>
      <w:r>
        <w:t>Zolpidem + fluoxétine : possible augmentation de l'effet sédatif.</w:t>
      </w:r>
    </w:p>
    <w:p>
      <w:pPr>
        <w:pStyle w:val="ListBullet"/>
      </w:pPr>
      <w:r>
        <w:t>Zolpidem + warfarine : possible modification de l'INR.</w:t>
      </w:r>
    </w:p>
    <w:p>
      <w:r/>
      <w:r>
        <w:rPr>
          <w:b/>
        </w:rPr>
        <w:t>Grossesse et Allaitement :</w:t>
      </w:r>
      <w:r/>
    </w:p>
    <w:p>
      <w:pPr>
        <w:pStyle w:val="ListBullet"/>
      </w:pPr>
      <w:r>
        <w:t>Grossesse : À éviter par prudence, surtout au 1er et au 3e trimestre. Le CRAT considère le zolpidem comme utilisable en cas de nécessité absolue, en dose ponctuelle et à la dose minimale efficace. Le risque malformatif est faible. Le risque de syndrome de sevrage néonatal et d'hypotonie existe en cas d'usage régulier en fin de grossesse.</w:t>
      </w:r>
    </w:p>
    <w:p>
      <w:pPr>
        <w:pStyle w:val="ListBullet"/>
      </w:pPr>
      <w:r>
        <w:t>Allaitement : Le zolpidem passe dans le lait maternel en très faible quantité (rapport lait/plasma = 0,13). Le CRAT considère l'allaitement comme possible en cas de dose unique de 10 mg, en respectant un délai de 3 à 4 h entre la prise et la tétée.</w:t>
      </w:r>
    </w:p>
    <w:p>
      <w:pPr>
        <w:pStyle w:val="ListBullet"/>
      </w:pPr>
      <w:r>
        <w:t>Précisions : En cas de traitement régulier au long cours, contraception efficace obligatoire.</w:t>
      </w:r>
    </w:p>
    <w:p>
      <w:r/>
      <w:r>
        <w:rPr>
          <w:b/>
        </w:rPr>
        <w:t>Posologie et Mode d'administration (Standard) :</w:t>
      </w:r>
      <w:r/>
    </w:p>
    <w:p>
      <w:pPr>
        <w:pStyle w:val="ListBullet"/>
      </w:pPr>
      <w:r>
        <w:t>Adulte : 10 mg au coucher. Ne pas dépasser 10 mg par prise. En cas d'insuffisance hépatique légère à modérée : 5 mg.</w:t>
      </w:r>
    </w:p>
    <w:p>
      <w:pPr>
        <w:pStyle w:val="ListBullet"/>
      </w:pPr>
      <w:r>
        <w:t>Sujet âgé : 5 mg au coucher (réduction obligatoire en raison du risque d'accumulation et de chutes).</w:t>
      </w:r>
    </w:p>
    <w:p>
      <w:pPr>
        <w:pStyle w:val="ListBullet"/>
      </w:pPr>
      <w:r>
        <w:t>Enfant : CI avant 18 ans (non évalué).</w:t>
      </w:r>
    </w:p>
    <w:p>
      <w:pPr>
        <w:pStyle w:val="ListBullet"/>
      </w:pPr>
      <w:r>
        <w:t>Durée : 4 semaines maximum, y compris période d'arrêt progressif (HAS). Réévaluation systématique après 2 semaines.</w:t>
      </w:r>
    </w:p>
    <w:p>
      <w:pPr>
        <w:pStyle w:val="ListBullet"/>
      </w:pPr>
      <w:r>
        <w:t xml:space="preserve">Moment de la prise : au coucher, </w:t>
      </w:r>
      <w:r>
        <w:rPr>
          <w:b/>
        </w:rPr>
        <w:t>immédiatement avant de se mettre au lit</w:t>
      </w:r>
      <w:r>
        <w:t xml:space="preserve"> (effet en 15–30 min). Disposer d'une période de sommeil complète (7–8 h) après la prise.</w:t>
      </w:r>
    </w:p>
    <w:p>
      <w:r/>
      <w:r>
        <w:rPr>
          <w:b/>
        </w:rPr>
        <w:t>Arbitrage et Bénéfices des Formes Galéniques :</w:t>
      </w:r>
      <w:r/>
    </w:p>
    <w:p>
      <w:pPr>
        <w:pStyle w:val="ListBullet"/>
      </w:pPr>
      <w:r>
        <w:t>Comprimés pelliculés sécables 10 mg (B/14 ou B/20) : forme orale unique. La sécabilité permet l'adaptation posologique pour le sujet âgé (5 mg = 1/2 comprimé) et la décroissance progressive (2,5 mg = 1/4 comprimé).</w:t>
      </w:r>
    </w:p>
    <w:p>
      <w:pPr>
        <w:pStyle w:val="ListBullet"/>
      </w:pPr>
      <w:r>
        <w:t>Le pelliculage masque le goût et facilite l'ingestion.</w:t>
      </w:r>
    </w:p>
    <w:p>
      <w:pPr>
        <w:pStyle w:val="ListBullet"/>
      </w:pPr>
      <w:r>
        <w:t>Conditionnement de 14 comprimés (Stilnox) adapté à un traitement de 2 semaines, conditionnement de 20 comprimés (Evozolpidem, Zolidrate) adapté à un traitement de 4 semaines.</w:t>
      </w:r>
    </w:p>
    <w:p>
      <w:pPr>
        <w:pStyle w:val="ListBullet"/>
      </w:pPr>
      <w:r>
        <w:t>Absence de forme à libération prolongée en Algérie (existe à l'étranger : Stilnox CR® 6,25 mg et 12,5 mg pour le maintien du sommeil).</w:t>
      </w:r>
    </w:p>
    <w:p>
      <w:r/>
      <w:r>
        <w:rPr>
          <w:b/>
        </w:rPr>
        <w:t>Instructions et Conseils au Patient :</w:t>
      </w:r>
      <w:r/>
    </w:p>
    <w:p>
      <w:pPr>
        <w:pStyle w:val="ListBullet"/>
      </w:pPr>
      <w:r>
        <w:t>Communication au comptoir : « Ce médicament vous aide à dormir. Prenez-le juste avant de vous coucher, et assurez-vous de pouvoir dormir au moins 7 heures. Ne le prenez jamais avec de l'alcool. Si vous devez vous lever la nuit, faites-le avec prudence (risque de chute). Signalez tout comportement inhabituel pendant votre sommeil (somnambulisme, conduite, prise alimentaire). Ne dépassez pas 4 semaines de traitement. »</w:t>
      </w:r>
    </w:p>
    <w:p>
      <w:pPr>
        <w:pStyle w:val="ListBullet"/>
      </w:pPr>
      <w:r>
        <w:t>Mode d'utilisation pratique : Prendre le comprimé au coucher, immédiatement avant de se mettre au lit, avec un verre d'eau. En cas d'oubli de la prise du soir, ne pas reprendre de dose dans la nuit si le temps de sommeil restant est inférieur à 7 h. Tenir un journal du sommeil pour évaluer l'efficacité. Signaler tout signe de dépendance ou de comportement complexe pendant le sommeil.</w:t>
      </w:r>
    </w:p>
    <w:p>
      <w:r/>
      <w:r>
        <w:rPr>
          <w:b/>
        </w:rPr>
        <w:t>Notes, Règles d'Or &amp; Pièges au Comptoir :</w:t>
      </w:r>
      <w:r/>
    </w:p>
    <w:p>
      <w:pPr>
        <w:pStyle w:val="ListBullet"/>
      </w:pPr>
      <w:r>
        <w:t xml:space="preserve">Piège classique : La prise de zolpidem en dehors du coucher (par exemple dans la soirée) expose à un risque majeur de </w:t>
      </w:r>
      <w:r>
        <w:rPr>
          <w:b/>
        </w:rPr>
        <w:t>comportements complexes</w:t>
      </w:r>
      <w:r>
        <w:t xml:space="preserve"> (somnambulisme, conduite automobile non intentionnelle, prises alimentaires nocturnes, agressivité) avec </w:t>
      </w:r>
      <w:r>
        <w:rPr>
          <w:b/>
        </w:rPr>
        <w:t>amnésie antérograde</w:t>
      </w:r>
      <w:r>
        <w:t xml:space="preserve"> totale. Le sujet âgé présente un risque accru de chutes et de troubles cognitifs. L'association à l'alcool ou aux opioïdes expose à un risque vital. Le risque de dépendance psychique est rare mais réel en cas de mésusage ou d'usage prolongé.</w:t>
      </w:r>
    </w:p>
    <w:p>
      <w:pPr>
        <w:pStyle w:val="ListBullet"/>
      </w:pPr>
      <w:r>
        <w:t>Règle de prise : Au coucher immédiat, période de sommeil complète (7–8 h), pas d'alcool, pas d'opioïdes, pas de reprise de dose en cas d'oubli dans la nuit.</w:t>
      </w:r>
    </w:p>
    <w:p>
      <w:pPr>
        <w:pStyle w:val="ListBullet"/>
      </w:pPr>
      <w:r>
        <w:t>Préparation et Conservation : Conserver à température ambiante (&lt; 25 °C), à l'abri de la lumière et de l'humidité. Tenir hors de portée des enfants et des personnes vulnérables (risque de mésusage et de soumission chimique, bien que moins marqué que pour le flunitrazépam).</w:t>
      </w:r>
    </w:p>
    <w:p>
      <w:pPr>
        <w:pStyle w:val="ListBullet"/>
      </w:pPr>
      <w:r>
        <w:t>Piège du surdosage / Substitution : Le flumazénil (Anexate®) est l'antidote spécifique en cas de surdosage, à utiliser en milieu hospitalier. La substitution par une BZD hypnotique ne se justifie pas (le zolpidem est aujourd'hui l'hypnotique de référence). En cas d'échec du zolpidem, réévaluation psychiatrique et recherche d'une cause sous-jacente (dépression, anxiété, syndrome d'apnée du sommeil).</w:t>
      </w:r>
    </w:p>
    <w:p>
      <w:pPr>
        <w:pStyle w:val="Heading2"/>
      </w:pPr>
      <w:r>
        <w:t>Tableau Comparatif Synthétique des 13 DCI</w:t>
      </w:r>
    </w:p>
    <w:p>
      <w:r>
        <w:t>Le tableau ci-dessous résume les caractéristiques pharmacologiques essentielles des 13 DCI traitées dans ce chapitre, à des fins de comparaison rapide et d'aide à la décision clinique au comptoir.</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Demi-vie</w:t>
            </w:r>
          </w:p>
        </w:tc>
        <w:tc>
          <w:tcPr>
            <w:tcW w:type="dxa" w:w="1336"/>
          </w:tcPr>
          <w:p>
            <w:r>
              <w:rPr>
                <w:b/>
                <w:sz w:val="20"/>
              </w:rPr>
              <w:t>Posologie standard adulte</w:t>
            </w:r>
          </w:p>
        </w:tc>
        <w:tc>
          <w:tcPr>
            <w:tcW w:type="dxa" w:w="1336"/>
          </w:tcPr>
          <w:p>
            <w:r>
              <w:rPr>
                <w:b/>
                <w:sz w:val="20"/>
              </w:rPr>
              <w:t>Effet indésirable majeur</w:t>
            </w:r>
          </w:p>
        </w:tc>
        <w:tc>
          <w:tcPr>
            <w:tcW w:type="dxa" w:w="1336"/>
          </w:tcPr>
          <w:p>
            <w:r>
              <w:rPr>
                <w:b/>
                <w:sz w:val="20"/>
              </w:rPr>
              <w:t>Contre-indication principale</w:t>
            </w:r>
          </w:p>
        </w:tc>
        <w:tc>
          <w:tcPr>
            <w:tcW w:type="dxa" w:w="1336"/>
          </w:tcPr>
          <w:p>
            <w:r>
              <w:rPr>
                <w:b/>
                <w:sz w:val="20"/>
              </w:rPr>
              <w:t>Grossesse</w:t>
            </w:r>
          </w:p>
        </w:tc>
      </w:tr>
      <w:tr>
        <w:tc>
          <w:tcPr>
            <w:tcW w:type="dxa" w:w="1336"/>
          </w:tcPr>
          <w:p>
            <w:r>
              <w:rPr>
                <w:sz w:val="20"/>
              </w:rPr>
              <w:t>**Diazépam**</w:t>
            </w:r>
          </w:p>
        </w:tc>
        <w:tc>
          <w:tcPr>
            <w:tcW w:type="dxa" w:w="1336"/>
          </w:tcPr>
          <w:p>
            <w:r>
              <w:rPr>
                <w:sz w:val="20"/>
              </w:rPr>
              <w:t>BZD anxiolytique longue durée</w:t>
            </w:r>
          </w:p>
        </w:tc>
        <w:tc>
          <w:tcPr>
            <w:tcW w:type="dxa" w:w="1336"/>
          </w:tcPr>
          <w:p>
            <w:r>
              <w:rPr>
                <w:sz w:val="20"/>
              </w:rPr>
              <w:t>20–50 h (+ métabolites 100 h)</w:t>
            </w:r>
          </w:p>
        </w:tc>
        <w:tc>
          <w:tcPr>
            <w:tcW w:type="dxa" w:w="1336"/>
          </w:tcPr>
          <w:p>
            <w:r>
              <w:rPr>
                <w:sz w:val="20"/>
              </w:rPr>
              <w:t>2–10 mg ×3/jour</w:t>
            </w:r>
          </w:p>
        </w:tc>
        <w:tc>
          <w:tcPr>
            <w:tcW w:type="dxa" w:w="1336"/>
          </w:tcPr>
          <w:p>
            <w:r>
              <w:rPr>
                <w:sz w:val="20"/>
              </w:rPr>
              <w:t>Sédation diurne, dépendance, amnésie</w:t>
            </w:r>
          </w:p>
        </w:tc>
        <w:tc>
          <w:tcPr>
            <w:tcW w:type="dxa" w:w="1336"/>
          </w:tcPr>
          <w:p>
            <w:r>
              <w:rPr>
                <w:sz w:val="20"/>
              </w:rPr>
              <w:t>Myasthénie, IR respiratoire, apnée sommeil</w:t>
            </w:r>
          </w:p>
        </w:tc>
        <w:tc>
          <w:tcPr>
            <w:tcW w:type="dxa" w:w="1336"/>
          </w:tcPr>
          <w:p>
            <w:r>
              <w:rPr>
                <w:sz w:val="20"/>
              </w:rPr>
              <w:t>À éviter (1er et 3e T)</w:t>
            </w:r>
          </w:p>
        </w:tc>
      </w:tr>
      <w:tr>
        <w:tc>
          <w:tcPr>
            <w:tcW w:type="dxa" w:w="1336"/>
          </w:tcPr>
          <w:p>
            <w:r>
              <w:rPr>
                <w:sz w:val="20"/>
              </w:rPr>
              <w:t>**Lorazépam**</w:t>
            </w:r>
          </w:p>
        </w:tc>
        <w:tc>
          <w:tcPr>
            <w:tcW w:type="dxa" w:w="1336"/>
          </w:tcPr>
          <w:p>
            <w:r>
              <w:rPr>
                <w:sz w:val="20"/>
              </w:rPr>
              <w:t>BZD anxiolytique intermédiaire</w:t>
            </w:r>
          </w:p>
        </w:tc>
        <w:tc>
          <w:tcPr>
            <w:tcW w:type="dxa" w:w="1336"/>
          </w:tcPr>
          <w:p>
            <w:r>
              <w:rPr>
                <w:sz w:val="20"/>
              </w:rPr>
              <w:t>10–20 h (pas de métabolite actif)</w:t>
            </w:r>
          </w:p>
        </w:tc>
        <w:tc>
          <w:tcPr>
            <w:tcW w:type="dxa" w:w="1336"/>
          </w:tcPr>
          <w:p>
            <w:r>
              <w:rPr>
                <w:sz w:val="20"/>
              </w:rPr>
              <w:t>0,5–1 mg ×3/jour</w:t>
            </w:r>
          </w:p>
        </w:tc>
        <w:tc>
          <w:tcPr>
            <w:tcW w:type="dxa" w:w="1336"/>
          </w:tcPr>
          <w:p>
            <w:r>
              <w:rPr>
                <w:sz w:val="20"/>
              </w:rPr>
              <w:t>Sédation, amnésie antérograde, dépendance</w:t>
            </w:r>
          </w:p>
        </w:tc>
        <w:tc>
          <w:tcPr>
            <w:tcW w:type="dxa" w:w="1336"/>
          </w:tcPr>
          <w:p>
            <w:r>
              <w:rPr>
                <w:sz w:val="20"/>
              </w:rPr>
              <w:t>Myasthénie, IR respiratoire</w:t>
            </w:r>
          </w:p>
        </w:tc>
        <w:tc>
          <w:tcPr>
            <w:tcW w:type="dxa" w:w="1336"/>
          </w:tcPr>
          <w:p>
            <w:r>
              <w:rPr>
                <w:sz w:val="20"/>
              </w:rPr>
              <w:t>À éviter (préférer en cas de nécessité)</w:t>
            </w:r>
          </w:p>
        </w:tc>
      </w:tr>
      <w:tr>
        <w:tc>
          <w:tcPr>
            <w:tcW w:type="dxa" w:w="1336"/>
          </w:tcPr>
          <w:p>
            <w:r>
              <w:rPr>
                <w:sz w:val="20"/>
              </w:rPr>
              <w:t>**Bromazépam**</w:t>
            </w:r>
          </w:p>
        </w:tc>
        <w:tc>
          <w:tcPr>
            <w:tcW w:type="dxa" w:w="1336"/>
          </w:tcPr>
          <w:p>
            <w:r>
              <w:rPr>
                <w:sz w:val="20"/>
              </w:rPr>
              <w:t>BZD anxiolytique intermédiaire</w:t>
            </w:r>
          </w:p>
        </w:tc>
        <w:tc>
          <w:tcPr>
            <w:tcW w:type="dxa" w:w="1336"/>
          </w:tcPr>
          <w:p>
            <w:r>
              <w:rPr>
                <w:sz w:val="20"/>
              </w:rPr>
              <w:t>10–20 h</w:t>
            </w:r>
          </w:p>
        </w:tc>
        <w:tc>
          <w:tcPr>
            <w:tcW w:type="dxa" w:w="1336"/>
          </w:tcPr>
          <w:p>
            <w:r>
              <w:rPr>
                <w:sz w:val="20"/>
              </w:rPr>
              <w:t>3–6 mg ×3/jour</w:t>
            </w:r>
          </w:p>
        </w:tc>
        <w:tc>
          <w:tcPr>
            <w:tcW w:type="dxa" w:w="1336"/>
          </w:tcPr>
          <w:p>
            <w:r>
              <w:rPr>
                <w:sz w:val="20"/>
              </w:rPr>
              <w:t>Sédation, amnésie, dépendance</w:t>
            </w:r>
          </w:p>
        </w:tc>
        <w:tc>
          <w:tcPr>
            <w:tcW w:type="dxa" w:w="1336"/>
          </w:tcPr>
          <w:p>
            <w:r>
              <w:rPr>
                <w:sz w:val="20"/>
              </w:rPr>
              <w:t>Myasthénie, IR respiratoire</w:t>
            </w:r>
          </w:p>
        </w:tc>
        <w:tc>
          <w:tcPr>
            <w:tcW w:type="dxa" w:w="1336"/>
          </w:tcPr>
          <w:p>
            <w:r>
              <w:rPr>
                <w:sz w:val="20"/>
              </w:rPr>
              <w:t>À éviter</w:t>
            </w:r>
          </w:p>
        </w:tc>
      </w:tr>
      <w:tr>
        <w:tc>
          <w:tcPr>
            <w:tcW w:type="dxa" w:w="1336"/>
          </w:tcPr>
          <w:p>
            <w:r>
              <w:rPr>
                <w:sz w:val="20"/>
              </w:rPr>
              <w:t>**Prazépam**</w:t>
            </w:r>
          </w:p>
        </w:tc>
        <w:tc>
          <w:tcPr>
            <w:tcW w:type="dxa" w:w="1336"/>
          </w:tcPr>
          <w:p>
            <w:r>
              <w:rPr>
                <w:sz w:val="20"/>
              </w:rPr>
              <w:t>BZD anxiolytique prodrogue longue durée</w:t>
            </w:r>
          </w:p>
        </w:tc>
        <w:tc>
          <w:tcPr>
            <w:tcW w:type="dxa" w:w="1336"/>
          </w:tcPr>
          <w:p>
            <w:r>
              <w:rPr>
                <w:sz w:val="20"/>
              </w:rPr>
              <w:t>30–150 h (nordazépam)</w:t>
            </w:r>
          </w:p>
        </w:tc>
        <w:tc>
          <w:tcPr>
            <w:tcW w:type="dxa" w:w="1336"/>
          </w:tcPr>
          <w:p>
            <w:r>
              <w:rPr>
                <w:sz w:val="20"/>
              </w:rPr>
              <w:t>10 mg ×3/jour</w:t>
            </w:r>
          </w:p>
        </w:tc>
        <w:tc>
          <w:tcPr>
            <w:tcW w:type="dxa" w:w="1336"/>
          </w:tcPr>
          <w:p>
            <w:r>
              <w:rPr>
                <w:sz w:val="20"/>
              </w:rPr>
              <w:t>Sédation diurne, accumulation, dépendance</w:t>
            </w:r>
          </w:p>
        </w:tc>
        <w:tc>
          <w:tcPr>
            <w:tcW w:type="dxa" w:w="1336"/>
          </w:tcPr>
          <w:p>
            <w:r>
              <w:rPr>
                <w:sz w:val="20"/>
              </w:rPr>
              <w:t>Myasthénie, IR respiratoire, IH sévère</w:t>
            </w:r>
          </w:p>
        </w:tc>
        <w:tc>
          <w:tcPr>
            <w:tcW w:type="dxa" w:w="1336"/>
          </w:tcPr>
          <w:p>
            <w:r>
              <w:rPr>
                <w:sz w:val="20"/>
              </w:rPr>
              <w:t>À éviter</w:t>
            </w:r>
          </w:p>
        </w:tc>
      </w:tr>
      <w:tr>
        <w:tc>
          <w:tcPr>
            <w:tcW w:type="dxa" w:w="1336"/>
          </w:tcPr>
          <w:p>
            <w:r>
              <w:rPr>
                <w:sz w:val="20"/>
              </w:rPr>
              <w:t>**Clorazépate**</w:t>
            </w:r>
          </w:p>
        </w:tc>
        <w:tc>
          <w:tcPr>
            <w:tcW w:type="dxa" w:w="1336"/>
          </w:tcPr>
          <w:p>
            <w:r>
              <w:rPr>
                <w:sz w:val="20"/>
              </w:rPr>
              <w:t>BZD anxiolytique prodrogue longue durée</w:t>
            </w:r>
          </w:p>
        </w:tc>
        <w:tc>
          <w:tcPr>
            <w:tcW w:type="dxa" w:w="1336"/>
          </w:tcPr>
          <w:p>
            <w:r>
              <w:rPr>
                <w:sz w:val="20"/>
              </w:rPr>
              <w:t>30–150 h (nordazépam)</w:t>
            </w:r>
          </w:p>
        </w:tc>
        <w:tc>
          <w:tcPr>
            <w:tcW w:type="dxa" w:w="1336"/>
          </w:tcPr>
          <w:p>
            <w:r>
              <w:rPr>
                <w:sz w:val="20"/>
              </w:rPr>
              <w:t>5–10 mg ×3/jour</w:t>
            </w:r>
          </w:p>
        </w:tc>
        <w:tc>
          <w:tcPr>
            <w:tcW w:type="dxa" w:w="1336"/>
          </w:tcPr>
          <w:p>
            <w:r>
              <w:rPr>
                <w:sz w:val="20"/>
              </w:rPr>
              <w:t>Sédation diurne, accumulation, dépendance</w:t>
            </w:r>
          </w:p>
        </w:tc>
        <w:tc>
          <w:tcPr>
            <w:tcW w:type="dxa" w:w="1336"/>
          </w:tcPr>
          <w:p>
            <w:r>
              <w:rPr>
                <w:sz w:val="20"/>
              </w:rPr>
              <w:t>Myasthénie, IR respiratoire, IH sévère</w:t>
            </w:r>
          </w:p>
        </w:tc>
        <w:tc>
          <w:tcPr>
            <w:tcW w:type="dxa" w:w="1336"/>
          </w:tcPr>
          <w:p>
            <w:r>
              <w:rPr>
                <w:sz w:val="20"/>
              </w:rPr>
              <w:t>À éviter</w:t>
            </w:r>
          </w:p>
        </w:tc>
      </w:tr>
      <w:tr>
        <w:tc>
          <w:tcPr>
            <w:tcW w:type="dxa" w:w="1336"/>
          </w:tcPr>
          <w:p>
            <w:r>
              <w:rPr>
                <w:sz w:val="20"/>
              </w:rPr>
              <w:t>**Chlordiazépoxide**</w:t>
            </w:r>
          </w:p>
        </w:tc>
        <w:tc>
          <w:tcPr>
            <w:tcW w:type="dxa" w:w="1336"/>
          </w:tcPr>
          <w:p>
            <w:r>
              <w:rPr>
                <w:sz w:val="20"/>
              </w:rPr>
              <w:t>BZD anxiolytique longue durée</w:t>
            </w:r>
          </w:p>
        </w:tc>
        <w:tc>
          <w:tcPr>
            <w:tcW w:type="dxa" w:w="1336"/>
          </w:tcPr>
          <w:p>
            <w:r>
              <w:rPr>
                <w:sz w:val="20"/>
              </w:rPr>
              <w:t>5–30 h (+ métabolites actifs 95 h)</w:t>
            </w:r>
          </w:p>
        </w:tc>
        <w:tc>
          <w:tcPr>
            <w:tcW w:type="dxa" w:w="1336"/>
          </w:tcPr>
          <w:p>
            <w:r>
              <w:rPr>
                <w:sz w:val="20"/>
              </w:rPr>
              <w:t>5–10 mg ×3/jour</w:t>
            </w:r>
          </w:p>
        </w:tc>
        <w:tc>
          <w:tcPr>
            <w:tcW w:type="dxa" w:w="1336"/>
          </w:tcPr>
          <w:p>
            <w:r>
              <w:rPr>
                <w:sz w:val="20"/>
              </w:rPr>
              <w:t>Sédation, dépendance</w:t>
            </w:r>
          </w:p>
        </w:tc>
        <w:tc>
          <w:tcPr>
            <w:tcW w:type="dxa" w:w="1336"/>
          </w:tcPr>
          <w:p>
            <w:r>
              <w:rPr>
                <w:sz w:val="20"/>
              </w:rPr>
              <w:t>Myasthénie, IR respiratoire</w:t>
            </w:r>
          </w:p>
        </w:tc>
        <w:tc>
          <w:tcPr>
            <w:tcW w:type="dxa" w:w="1336"/>
          </w:tcPr>
          <w:p>
            <w:r>
              <w:rPr>
                <w:sz w:val="20"/>
              </w:rPr>
              <w:t>À éviter</w:t>
            </w:r>
          </w:p>
        </w:tc>
      </w:tr>
      <w:tr>
        <w:tc>
          <w:tcPr>
            <w:tcW w:type="dxa" w:w="1336"/>
          </w:tcPr>
          <w:p>
            <w:r>
              <w:rPr>
                <w:sz w:val="20"/>
              </w:rPr>
              <w:t>**Clonazépam**</w:t>
            </w:r>
          </w:p>
        </w:tc>
        <w:tc>
          <w:tcPr>
            <w:tcW w:type="dxa" w:w="1336"/>
          </w:tcPr>
          <w:p>
            <w:r>
              <w:rPr>
                <w:sz w:val="20"/>
              </w:rPr>
              <w:t>BZD antiépileptique/anxiolytique</w:t>
            </w:r>
          </w:p>
        </w:tc>
        <w:tc>
          <w:tcPr>
            <w:tcW w:type="dxa" w:w="1336"/>
          </w:tcPr>
          <w:p>
            <w:r>
              <w:rPr>
                <w:sz w:val="20"/>
              </w:rPr>
              <w:t>20–60 h</w:t>
            </w:r>
          </w:p>
        </w:tc>
        <w:tc>
          <w:tcPr>
            <w:tcW w:type="dxa" w:w="1336"/>
          </w:tcPr>
          <w:p>
            <w:r>
              <w:rPr>
                <w:sz w:val="20"/>
              </w:rPr>
              <w:t>0,5–2 mg ×3/jour</w:t>
            </w:r>
          </w:p>
        </w:tc>
        <w:tc>
          <w:tcPr>
            <w:tcW w:type="dxa" w:w="1336"/>
          </w:tcPr>
          <w:p>
            <w:r>
              <w:rPr>
                <w:sz w:val="20"/>
              </w:rPr>
              <w:t>Sédation, amnésie, état de mal à l'arrêt brutal</w:t>
            </w:r>
          </w:p>
        </w:tc>
        <w:tc>
          <w:tcPr>
            <w:tcW w:type="dxa" w:w="1336"/>
          </w:tcPr>
          <w:p>
            <w:r>
              <w:rPr>
                <w:sz w:val="20"/>
              </w:rPr>
              <w:t>Myasthénie, IR respiratoire</w:t>
            </w:r>
          </w:p>
        </w:tc>
        <w:tc>
          <w:tcPr>
            <w:tcW w:type="dxa" w:w="1336"/>
          </w:tcPr>
          <w:p>
            <w:r>
              <w:rPr>
                <w:sz w:val="20"/>
              </w:rPr>
              <w:t>Possible si épilepsie maternelle (CRAT)</w:t>
            </w:r>
          </w:p>
        </w:tc>
      </w:tr>
      <w:tr>
        <w:tc>
          <w:tcPr>
            <w:tcW w:type="dxa" w:w="1336"/>
          </w:tcPr>
          <w:p>
            <w:r>
              <w:rPr>
                <w:sz w:val="20"/>
              </w:rPr>
              <w:t>**Chlordiazépoxide + Clidinium**</w:t>
            </w:r>
          </w:p>
        </w:tc>
        <w:tc>
          <w:tcPr>
            <w:tcW w:type="dxa" w:w="1336"/>
          </w:tcPr>
          <w:p>
            <w:r>
              <w:rPr>
                <w:sz w:val="20"/>
              </w:rPr>
              <w:t>BZD + anticholinergique</w:t>
            </w:r>
          </w:p>
        </w:tc>
        <w:tc>
          <w:tcPr>
            <w:tcW w:type="dxa" w:w="1336"/>
          </w:tcPr>
          <w:p>
            <w:r>
              <w:rPr>
                <w:sz w:val="20"/>
              </w:rPr>
              <w:t>Comme chlordiazépoxide</w:t>
            </w:r>
          </w:p>
        </w:tc>
        <w:tc>
          <w:tcPr>
            <w:tcW w:type="dxa" w:w="1336"/>
          </w:tcPr>
          <w:p>
            <w:r>
              <w:rPr>
                <w:sz w:val="20"/>
              </w:rPr>
              <w:t>1 cp 5/2,5 mg ×3/jour</w:t>
            </w:r>
          </w:p>
        </w:tc>
        <w:tc>
          <w:tcPr>
            <w:tcW w:type="dxa" w:w="1336"/>
          </w:tcPr>
          <w:p>
            <w:r>
              <w:rPr>
                <w:sz w:val="20"/>
              </w:rPr>
              <w:t>Syndrome atropinique + sédation</w:t>
            </w:r>
          </w:p>
        </w:tc>
        <w:tc>
          <w:tcPr>
            <w:tcW w:type="dxa" w:w="1336"/>
          </w:tcPr>
          <w:p>
            <w:r>
              <w:rPr>
                <w:sz w:val="20"/>
              </w:rPr>
              <w:t>Glaucome aigu, HBP, myasthénie</w:t>
            </w:r>
          </w:p>
        </w:tc>
        <w:tc>
          <w:tcPr>
            <w:tcW w:type="dxa" w:w="1336"/>
          </w:tcPr>
          <w:p>
            <w:r>
              <w:rPr>
                <w:sz w:val="20"/>
              </w:rPr>
              <w:t>CI absolue (clidinium)</w:t>
            </w:r>
          </w:p>
        </w:tc>
      </w:tr>
      <w:tr>
        <w:tc>
          <w:tcPr>
            <w:tcW w:type="dxa" w:w="1336"/>
          </w:tcPr>
          <w:p>
            <w:r>
              <w:rPr>
                <w:sz w:val="20"/>
              </w:rPr>
              <w:t>**Étifoxine**</w:t>
            </w:r>
          </w:p>
        </w:tc>
        <w:tc>
          <w:tcPr>
            <w:tcW w:type="dxa" w:w="1336"/>
          </w:tcPr>
          <w:p>
            <w:r>
              <w:rPr>
                <w:sz w:val="20"/>
              </w:rPr>
              <w:t>Non-BZD (TSPO + GABA-A)</w:t>
            </w:r>
          </w:p>
        </w:tc>
        <w:tc>
          <w:tcPr>
            <w:tcW w:type="dxa" w:w="1336"/>
          </w:tcPr>
          <w:p>
            <w:r>
              <w:rPr>
                <w:sz w:val="20"/>
              </w:rPr>
              <w:t>6 h</w:t>
            </w:r>
          </w:p>
        </w:tc>
        <w:tc>
          <w:tcPr>
            <w:tcW w:type="dxa" w:w="1336"/>
          </w:tcPr>
          <w:p>
            <w:r>
              <w:rPr>
                <w:sz w:val="20"/>
              </w:rPr>
              <w:t>50 mg ×3/jour</w:t>
            </w:r>
          </w:p>
        </w:tc>
        <w:tc>
          <w:tcPr>
            <w:tcW w:type="dxa" w:w="1336"/>
          </w:tcPr>
          <w:p>
            <w:r>
              <w:rPr>
                <w:sz w:val="20"/>
              </w:rPr>
              <w:t>Somnolence légère transitoire, allergie</w:t>
            </w:r>
          </w:p>
        </w:tc>
        <w:tc>
          <w:tcPr>
            <w:tcW w:type="dxa" w:w="1336"/>
          </w:tcPr>
          <w:p>
            <w:r>
              <w:rPr>
                <w:sz w:val="20"/>
              </w:rPr>
              <w:t>Choc, IH sévère, enfant &lt;15 ans</w:t>
            </w:r>
          </w:p>
        </w:tc>
        <w:tc>
          <w:tcPr>
            <w:tcW w:type="dxa" w:w="1336"/>
          </w:tcPr>
          <w:p>
            <w:r>
              <w:rPr>
                <w:sz w:val="20"/>
              </w:rPr>
              <w:t>À éviter (données limitées)</w:t>
            </w:r>
          </w:p>
        </w:tc>
      </w:tr>
      <w:tr>
        <w:tc>
          <w:tcPr>
            <w:tcW w:type="dxa" w:w="1336"/>
          </w:tcPr>
          <w:p>
            <w:r>
              <w:rPr>
                <w:sz w:val="20"/>
              </w:rPr>
              <w:t>**Méprobamate**</w:t>
            </w:r>
          </w:p>
        </w:tc>
        <w:tc>
          <w:tcPr>
            <w:tcW w:type="dxa" w:w="1336"/>
          </w:tcPr>
          <w:p>
            <w:r>
              <w:rPr>
                <w:sz w:val="20"/>
              </w:rPr>
              <w:t>Carbamate (barbiturique-like)</w:t>
            </w:r>
          </w:p>
        </w:tc>
        <w:tc>
          <w:tcPr>
            <w:tcW w:type="dxa" w:w="1336"/>
          </w:tcPr>
          <w:p>
            <w:r>
              <w:rPr>
                <w:sz w:val="20"/>
              </w:rPr>
              <w:t>6–17 h</w:t>
            </w:r>
          </w:p>
        </w:tc>
        <w:tc>
          <w:tcPr>
            <w:tcW w:type="dxa" w:w="1336"/>
          </w:tcPr>
          <w:p>
            <w:r>
              <w:rPr>
                <w:sz w:val="20"/>
              </w:rPr>
              <w:t>200–400 mg ×3/jour</w:t>
            </w:r>
          </w:p>
        </w:tc>
        <w:tc>
          <w:tcPr>
            <w:tcW w:type="dxa" w:w="1336"/>
          </w:tcPr>
          <w:p>
            <w:r>
              <w:rPr>
                <w:sz w:val="20"/>
              </w:rPr>
              <w:t>Sédation, dépendance, **toxicité surdosage**</w:t>
            </w:r>
          </w:p>
        </w:tc>
        <w:tc>
          <w:tcPr>
            <w:tcW w:type="dxa" w:w="1336"/>
          </w:tcPr>
          <w:p>
            <w:r>
              <w:rPr>
                <w:sz w:val="20"/>
              </w:rPr>
              <w:t>Porphyrie, IR sévère</w:t>
            </w:r>
          </w:p>
        </w:tc>
        <w:tc>
          <w:tcPr>
            <w:tcW w:type="dxa" w:w="1336"/>
          </w:tcPr>
          <w:p>
            <w:r>
              <w:rPr>
                <w:sz w:val="20"/>
              </w:rPr>
              <w:t>CI absolue</w:t>
            </w:r>
          </w:p>
        </w:tc>
      </w:tr>
      <w:tr>
        <w:tc>
          <w:tcPr>
            <w:tcW w:type="dxa" w:w="1336"/>
          </w:tcPr>
          <w:p>
            <w:r>
              <w:rPr>
                <w:sz w:val="20"/>
              </w:rPr>
              <w:t>**Flunitrazépam**</w:t>
            </w:r>
          </w:p>
        </w:tc>
        <w:tc>
          <w:tcPr>
            <w:tcW w:type="dxa" w:w="1336"/>
          </w:tcPr>
          <w:p>
            <w:r>
              <w:rPr>
                <w:sz w:val="20"/>
              </w:rPr>
              <w:t>BZD hypnotique (stupéfiant)</w:t>
            </w:r>
          </w:p>
        </w:tc>
        <w:tc>
          <w:tcPr>
            <w:tcW w:type="dxa" w:w="1336"/>
          </w:tcPr>
          <w:p>
            <w:r>
              <w:rPr>
                <w:sz w:val="20"/>
              </w:rPr>
              <w:t>18–26 h (+ métabolite 40 h)</w:t>
            </w:r>
          </w:p>
        </w:tc>
        <w:tc>
          <w:tcPr>
            <w:tcW w:type="dxa" w:w="1336"/>
          </w:tcPr>
          <w:p>
            <w:r>
              <w:rPr>
                <w:sz w:val="20"/>
              </w:rPr>
              <w:t>1–2 mg au coucher</w:t>
            </w:r>
          </w:p>
        </w:tc>
        <w:tc>
          <w:tcPr>
            <w:tcW w:type="dxa" w:w="1336"/>
          </w:tcPr>
          <w:p>
            <w:r>
              <w:rPr>
                <w:sz w:val="20"/>
              </w:rPr>
              <w:t>**Amnésie antérograde**, soumission chimique</w:t>
            </w:r>
          </w:p>
        </w:tc>
        <w:tc>
          <w:tcPr>
            <w:tcW w:type="dxa" w:w="1336"/>
          </w:tcPr>
          <w:p>
            <w:r>
              <w:rPr>
                <w:sz w:val="20"/>
              </w:rPr>
              <w:t>Myasthénie, IR respiratoire</w:t>
            </w:r>
          </w:p>
        </w:tc>
        <w:tc>
          <w:tcPr>
            <w:tcW w:type="dxa" w:w="1336"/>
          </w:tcPr>
          <w:p>
            <w:r>
              <w:rPr>
                <w:sz w:val="20"/>
              </w:rPr>
              <w:t>CI absolue</w:t>
            </w:r>
          </w:p>
        </w:tc>
      </w:tr>
      <w:tr>
        <w:tc>
          <w:tcPr>
            <w:tcW w:type="dxa" w:w="1336"/>
          </w:tcPr>
          <w:p>
            <w:r>
              <w:rPr>
                <w:sz w:val="20"/>
              </w:rPr>
              <w:t>**Nitrazépam**</w:t>
            </w:r>
          </w:p>
        </w:tc>
        <w:tc>
          <w:tcPr>
            <w:tcW w:type="dxa" w:w="1336"/>
          </w:tcPr>
          <w:p>
            <w:r>
              <w:rPr>
                <w:sz w:val="20"/>
              </w:rPr>
              <w:t>BZD hypnotique longue durée</w:t>
            </w:r>
          </w:p>
        </w:tc>
        <w:tc>
          <w:tcPr>
            <w:tcW w:type="dxa" w:w="1336"/>
          </w:tcPr>
          <w:p>
            <w:r>
              <w:rPr>
                <w:sz w:val="20"/>
              </w:rPr>
              <w:t>15–38 h (+ métabolite 70 h)</w:t>
            </w:r>
          </w:p>
        </w:tc>
        <w:tc>
          <w:tcPr>
            <w:tcW w:type="dxa" w:w="1336"/>
          </w:tcPr>
          <w:p>
            <w:r>
              <w:rPr>
                <w:sz w:val="20"/>
              </w:rPr>
              <w:t>5–10 mg au coucher</w:t>
            </w:r>
          </w:p>
        </w:tc>
        <w:tc>
          <w:tcPr>
            <w:tcW w:type="dxa" w:w="1336"/>
          </w:tcPr>
          <w:p>
            <w:r>
              <w:rPr>
                <w:sz w:val="20"/>
              </w:rPr>
              <w:t>Sédation diurne résiduelle, dépendance</w:t>
            </w:r>
          </w:p>
        </w:tc>
        <w:tc>
          <w:tcPr>
            <w:tcW w:type="dxa" w:w="1336"/>
          </w:tcPr>
          <w:p>
            <w:r>
              <w:rPr>
                <w:sz w:val="20"/>
              </w:rPr>
              <w:t>Myasthénie, IR respiratoire</w:t>
            </w:r>
          </w:p>
        </w:tc>
        <w:tc>
          <w:tcPr>
            <w:tcW w:type="dxa" w:w="1336"/>
          </w:tcPr>
          <w:p>
            <w:r>
              <w:rPr>
                <w:sz w:val="20"/>
              </w:rPr>
              <w:t>À éviter</w:t>
            </w:r>
          </w:p>
        </w:tc>
      </w:tr>
      <w:tr>
        <w:tc>
          <w:tcPr>
            <w:tcW w:type="dxa" w:w="1336"/>
          </w:tcPr>
          <w:p>
            <w:r>
              <w:rPr>
                <w:sz w:val="20"/>
              </w:rPr>
              <w:t>**Zolpidem**</w:t>
            </w:r>
          </w:p>
        </w:tc>
        <w:tc>
          <w:tcPr>
            <w:tcW w:type="dxa" w:w="1336"/>
          </w:tcPr>
          <w:p>
            <w:r>
              <w:rPr>
                <w:sz w:val="20"/>
              </w:rPr>
              <w:t>Agoniste ω1 sélectif non-BZD</w:t>
            </w:r>
          </w:p>
        </w:tc>
        <w:tc>
          <w:tcPr>
            <w:tcW w:type="dxa" w:w="1336"/>
          </w:tcPr>
          <w:p>
            <w:r>
              <w:rPr>
                <w:sz w:val="20"/>
              </w:rPr>
              <w:t>2–3 h</w:t>
            </w:r>
          </w:p>
        </w:tc>
        <w:tc>
          <w:tcPr>
            <w:tcW w:type="dxa" w:w="1336"/>
          </w:tcPr>
          <w:p>
            <w:r>
              <w:rPr>
                <w:sz w:val="20"/>
              </w:rPr>
              <w:t>10 mg au coucher (5 mg sujet âgé)</w:t>
            </w:r>
          </w:p>
        </w:tc>
        <w:tc>
          <w:tcPr>
            <w:tcW w:type="dxa" w:w="1336"/>
          </w:tcPr>
          <w:p>
            <w:r>
              <w:rPr>
                <w:sz w:val="20"/>
              </w:rPr>
              <w:t>Comportements complexes sommeil, dépendance psychique</w:t>
            </w:r>
          </w:p>
        </w:tc>
        <w:tc>
          <w:tcPr>
            <w:tcW w:type="dxa" w:w="1336"/>
          </w:tcPr>
          <w:p>
            <w:r>
              <w:rPr>
                <w:sz w:val="20"/>
              </w:rPr>
              <w:t>Myasthénie, IR respiratoire, IH sévère</w:t>
            </w:r>
          </w:p>
        </w:tc>
        <w:tc>
          <w:tcPr>
            <w:tcW w:type="dxa" w:w="1336"/>
          </w:tcPr>
          <w:p>
            <w:r>
              <w:rPr>
                <w:sz w:val="20"/>
              </w:rPr>
              <w:t>Possible si dose ponctuelle (CRAT)</w:t>
            </w:r>
          </w:p>
        </w:tc>
      </w:tr>
    </w:tbl>
    <w:p/>
    <w:p>
      <w:pPr>
        <w:pStyle w:val="Heading3"/>
      </w:pPr>
      <w:r>
        <w:t>Notes de lecture du tableau</w:t>
      </w:r>
    </w:p>
    <w:p>
      <w:pPr>
        <w:pStyle w:val="ListNumber"/>
      </w:pPr>
      <w:r/>
      <w:r>
        <w:rPr>
          <w:b/>
        </w:rPr>
        <w:t>Demi-vie d'élimination</w:t>
      </w:r>
      <w:r>
        <w:t xml:space="preserve"> : La durée d'action clinique dépend de la demi-vie plasmatique ET de la présence éventuelle de métabolites actifs. Les prodrogues (prazépam, clorazépate) ont une demi-vie courte de la molécule mère mais une longue demi-vie du métabolite actif (nordazépam). Les BZD longue demi-vie exposent à un risque d'accumulation, particulièrement chez le sujet âgé.</w:t>
      </w:r>
    </w:p>
    <w:p>
      <w:pPr>
        <w:pStyle w:val="ListNumber"/>
      </w:pPr>
      <w:r/>
      <w:r>
        <w:rPr>
          <w:b/>
        </w:rPr>
        <w:t>Posologie standard adulte</w:t>
      </w:r>
      <w:r>
        <w:t xml:space="preserve"> : Les posologies indiquées sont les posologies de référence chez l'adulte sain non âgé. Chez le sujet âgé, réduire systématiquement la dose de moitié. Chez l'insuffisant hépatique, privilégier les BZD glucuroconjuguées (lorazépam) et éviter les prodrogues (prazépam, clorazépate) et les BZD oxydées (diazépam).</w:t>
      </w:r>
    </w:p>
    <w:p>
      <w:pPr>
        <w:pStyle w:val="ListNumber"/>
      </w:pPr>
      <w:r/>
      <w:r>
        <w:rPr>
          <w:b/>
        </w:rPr>
        <w:t>Effet indésirable majeur</w:t>
      </w:r>
      <w:r>
        <w:t xml:space="preserve"> : Tous les produits de la classe exposent à un risque de sédation. Le risque de dépendance est majeur pour les BZD (4–12 semaines d'usage régulier suffisent) et quasi nul pour l'étifoxine. La toxicité en surdosage du méprobamate et du flunitrazépam est un élément discriminant majeur.</w:t>
      </w:r>
    </w:p>
    <w:p>
      <w:pPr>
        <w:pStyle w:val="ListNumber"/>
      </w:pPr>
      <w:r/>
      <w:r>
        <w:rPr>
          <w:b/>
        </w:rPr>
        <w:t>Contre-indication principale</w:t>
      </w:r>
      <w:r>
        <w:t xml:space="preserve"> : Myasthénie et insuffisance respiratoire sévère sont des contre-indications transversales à toutes les BZD et apparentés. Le syndrome d'apnée du sommeil est une CI absolue pour les hypnotiques.</w:t>
      </w:r>
    </w:p>
    <w:p>
      <w:pPr>
        <w:pStyle w:val="ListNumber"/>
      </w:pPr>
      <w:r/>
      <w:r>
        <w:rPr>
          <w:b/>
        </w:rPr>
        <w:t>Grossesse</w:t>
      </w:r>
      <w:r>
        <w:t xml:space="preserve"> : Toutes les BZD sont à éviter pendant la grossesse, surtout au 1er trimestre (malformations) et au 3e trimestre (syndrome de sevrage néonatal). Le clonazépam est une exception en cas d'épilepsie maternelle nécessitant un traitement antiépileptique. L'étifoxine et le zolpidem ont un profil plus favorable en cas d'usage ponctuel.</w:t>
      </w:r>
    </w:p>
    <w:p>
      <w:pPr>
        <w:pStyle w:val="Heading2"/>
      </w:pPr>
      <w:r>
        <w:t>Récapitulatif des Règles d'Or au Comptoir</w:t>
      </w:r>
    </w:p>
    <w:p>
      <w:pPr>
        <w:pStyle w:val="Heading3"/>
      </w:pPr>
      <w:r>
        <w:t>1. Règle des 4–12 semaines</w:t>
      </w:r>
    </w:p>
    <w:p>
      <w:r>
        <w:t xml:space="preserve">La prescription des benzodiazépines anxiolytiques doit être limitée à </w:t>
      </w:r>
      <w:r>
        <w:rPr>
          <w:b/>
        </w:rPr>
        <w:t>4 semaines en première intention</w:t>
      </w:r>
      <w:r>
        <w:t xml:space="preserve"> et au maximum </w:t>
      </w:r>
      <w:r>
        <w:rPr>
          <w:b/>
        </w:rPr>
        <w:t>12 semaines</w:t>
      </w:r>
      <w:r>
        <w:t>, y compris la période de décroissance progressive (HAS, ANSM). Au-delà, le risque de dépendance physique devient majeur (30–45 % des patients dépendants après 3 mois d'usage régulier).</w:t>
      </w:r>
    </w:p>
    <w:p>
      <w:pPr>
        <w:pStyle w:val="Heading3"/>
      </w:pPr>
      <w:r>
        <w:t>2. Règle de la décroissance progressive</w:t>
      </w:r>
    </w:p>
    <w:p>
      <w:r>
        <w:t xml:space="preserve">L'arrêt d'une BZD prise au long cours doit </w:t>
      </w:r>
      <w:r>
        <w:rPr>
          <w:b/>
        </w:rPr>
        <w:t>toujours être progressif</w:t>
      </w:r>
      <w:r>
        <w:t xml:space="preserve">, sur une durée de 4 à 12 semaines selon la demi-vie de la molécule et la durée d'usage préalable. Les paliers recommandés sont de 1/8 à 1/4 de la dose initiale toutes les 1 à 2 semaines. Un arrêt brutal expose au risque de </w:t>
      </w:r>
      <w:r>
        <w:rPr>
          <w:b/>
        </w:rPr>
        <w:t>convulsions, délire, et syndrome de sevrage sévère</w:t>
      </w:r>
      <w:r>
        <w:t>.</w:t>
      </w:r>
    </w:p>
    <w:p>
      <w:pPr>
        <w:pStyle w:val="Heading3"/>
      </w:pPr>
      <w:r>
        <w:t>3. Règle du « jamais avec l'alcool »</w:t>
      </w:r>
    </w:p>
    <w:p>
      <w:r>
        <w:t xml:space="preserve">L'association </w:t>
      </w:r>
      <w:r>
        <w:rPr>
          <w:b/>
        </w:rPr>
        <w:t>BZD + alcool</w:t>
      </w:r>
      <w:r>
        <w:t xml:space="preserve"> est une contre-indication absolue en raison de la potentialisation majeure de la dépression respiratoire (risque vital). Cette règle s'applique aussi à l'étifoxine et au zolpidem.</w:t>
      </w:r>
    </w:p>
    <w:p>
      <w:pPr>
        <w:pStyle w:val="Heading3"/>
      </w:pPr>
      <w:r>
        <w:t>4. Règle du « jamais avec les opioïdes »</w:t>
      </w:r>
    </w:p>
    <w:p>
      <w:r>
        <w:t xml:space="preserve">L'association </w:t>
      </w:r>
      <w:r>
        <w:rPr>
          <w:b/>
        </w:rPr>
        <w:t>BZD + opioïdes</w:t>
      </w:r>
      <w:r>
        <w:t xml:space="preserve"> (morphine, tramadol, codéine, fentanyl) expose à un risque vital de </w:t>
      </w:r>
      <w:r>
        <w:rPr>
          <w:b/>
        </w:rPr>
        <w:t>dépression respiratoire mortelle</w:t>
      </w:r>
      <w:r>
        <w:t xml:space="preserve"> (mise en garde ANSM, OMS, FDA). En cas de nécessité absolue, prescription réservée, dose minimale efficace, durée courte, surveillance rapprochée.</w:t>
      </w:r>
    </w:p>
    <w:p>
      <w:pPr>
        <w:pStyle w:val="Heading3"/>
      </w:pPr>
      <w:r>
        <w:t>5. Règle du sujet âgé</w:t>
      </w:r>
    </w:p>
    <w:p>
      <w:r>
        <w:t xml:space="preserve">Chez le sujet âgé (&gt; 65 ans), réduire </w:t>
      </w:r>
      <w:r>
        <w:rPr>
          <w:b/>
        </w:rPr>
        <w:t>systématiquement la dose de moitié</w:t>
      </w:r>
      <w:r>
        <w:t xml:space="preserve">, éviter les BZD longue demi-vie (diazépam, prazépam, clorazépate), surveiller l'équilibre (risque de chutes et de fractures du col fémoral), les fonctions cognitives (risque de décompensation démentiire), et l'état nutritionnel. Privilégier le </w:t>
      </w:r>
      <w:r>
        <w:rPr>
          <w:b/>
        </w:rPr>
        <w:t>lorazépam</w:t>
      </w:r>
      <w:r>
        <w:t xml:space="preserve"> en cas de BZD nécessaire.</w:t>
      </w:r>
    </w:p>
    <w:p>
      <w:pPr>
        <w:pStyle w:val="Heading3"/>
      </w:pPr>
      <w:r>
        <w:t>6. Règle du flumazénil</w:t>
      </w:r>
    </w:p>
    <w:p>
      <w:r>
        <w:t xml:space="preserve">Le </w:t>
      </w:r>
      <w:r>
        <w:rPr>
          <w:b/>
        </w:rPr>
        <w:t>flumazénil (Anexate®)</w:t>
      </w:r>
      <w:r>
        <w:t xml:space="preserve"> est l'antidote spécifique des BZD et du zolpidem en cas de surdosage. Posologie : 0,2 mg IV puis 0,1 mg/min jusqu'à 1 mg maximum. À utiliser </w:t>
      </w:r>
      <w:r>
        <w:rPr>
          <w:b/>
        </w:rPr>
        <w:t>uniquement en milieu hospitalier</w:t>
      </w:r>
      <w:r>
        <w:t xml:space="preserve">. Attention : chez le patient dépendant chronique ou en cas d'intoxication mixte (notamment avec antidépresseurs tricycliques), le flumazénil peut déclencher des </w:t>
      </w:r>
      <w:r>
        <w:rPr>
          <w:b/>
        </w:rPr>
        <w:t>convulsions</w:t>
      </w:r>
      <w:r>
        <w:t>. La surveillance doit être prolongée 6 à 24 h selon la demi-vie de la BZD incriminée.</w:t>
      </w:r>
    </w:p>
    <w:p>
      <w:pPr>
        <w:pStyle w:val="Heading3"/>
      </w:pPr>
      <w:r>
        <w:t>7. Règle de la grossesse</w:t>
      </w:r>
    </w:p>
    <w:p>
      <w:r>
        <w:t xml:space="preserve">Toutes les BZD sont à </w:t>
      </w:r>
      <w:r>
        <w:rPr>
          <w:b/>
        </w:rPr>
        <w:t>éviter pendant la grossesse</w:t>
      </w:r>
      <w:r>
        <w:t xml:space="preserve">, surtout au 1er trimestre (malformations) et au 3e trimestre (syndrome de sevrage néonatal, hypotonie, détresse respiratoire, hypothermie). En cas de traitement indispensable, privilégier le </w:t>
      </w:r>
      <w:r>
        <w:rPr>
          <w:b/>
        </w:rPr>
        <w:t>lorazépam</w:t>
      </w:r>
      <w:r>
        <w:t xml:space="preserve"> (pas de métabolite actif) ou le </w:t>
      </w:r>
      <w:r>
        <w:rPr>
          <w:b/>
        </w:rPr>
        <w:t>clonazépam</w:t>
      </w:r>
      <w:r>
        <w:t xml:space="preserve"> (en cas d'épilepsie maternelle). Prévoir un arrêt 2 semaines avant le terme.</w:t>
      </w:r>
    </w:p>
    <w:p>
      <w:pPr>
        <w:pStyle w:val="Heading3"/>
      </w:pPr>
      <w:r>
        <w:t>8. Règle de l'ordonnance sécurisée</w:t>
      </w:r>
    </w:p>
    <w:p>
      <w:r>
        <w:t xml:space="preserve">Le </w:t>
      </w:r>
      <w:r>
        <w:rPr>
          <w:b/>
        </w:rPr>
        <w:t>flunitrazépam</w:t>
      </w:r>
      <w:r>
        <w:t xml:space="preserve"> est un </w:t>
      </w:r>
      <w:r>
        <w:rPr>
          <w:b/>
        </w:rPr>
        <w:t>stupéfiant</w:t>
      </w:r>
      <w:r>
        <w:t xml:space="preserve"> : ordonnance sécurisée obligatoire, mentions obligatoires (nom du patient, quantité en toutes lettres), délivrance limitée à 7 jours, conservation sous clé à l'officine. Le flunitrazépam n'est plus disponible en pratique courante en Algérie.</w:t>
      </w:r>
    </w:p>
    <w:p>
      <w:pPr>
        <w:pStyle w:val="Heading3"/>
      </w:pPr>
      <w:r>
        <w:t>9. Règle de l'hygiène de prescription</w:t>
      </w:r>
    </w:p>
    <w:p>
      <w:r>
        <w:t>Toute prescription d'anxiolytique ou d'hypnotique doit s'accompagner :</w:t>
      </w:r>
    </w:p>
    <w:p>
      <w:pPr>
        <w:pStyle w:val="ListBullet"/>
      </w:pPr>
      <w:r>
        <w:t>D'une évaluation psychiatrique initiale (recherche de dépression, de troubles anxieux chroniques, de risque suicidaire)</w:t>
      </w:r>
    </w:p>
    <w:p>
      <w:pPr>
        <w:pStyle w:val="ListBullet"/>
      </w:pPr>
      <w:r>
        <w:t>D'une information explicite du patient (durée limitée, risques de dépendance, de sevrage, d'interactions avec l'alcool et les opioïdes)</w:t>
      </w:r>
    </w:p>
    <w:p>
      <w:pPr>
        <w:pStyle w:val="ListBullet"/>
      </w:pPr>
      <w:r>
        <w:t>D'une association systématique à des mesures non pharmacologiques (thérapies cognitivo-comportementales, hygiène de sommeil, gestion du stress, activité physique)</w:t>
      </w:r>
    </w:p>
    <w:p>
      <w:pPr>
        <w:pStyle w:val="ListBullet"/>
      </w:pPr>
      <w:r>
        <w:t>D'un plan d'arrêt progressif prévu dès l'initiation du traitement</w:t>
      </w:r>
    </w:p>
    <w:p>
      <w:pPr>
        <w:pStyle w:val="Heading3"/>
      </w:pPr>
      <w:r>
        <w:t>10. Règle du dépistage de la soumission chimique</w:t>
      </w:r>
    </w:p>
    <w:p>
      <w:r>
        <w:t xml:space="preserve">Toute suspicion de soumission chimique (amnésie brutale, perte de connaissance inexpliquée, comportement inhabituel) doit conduire à un </w:t>
      </w:r>
      <w:r>
        <w:rPr>
          <w:b/>
        </w:rPr>
        <w:t>prélèvement urinaire dans les 72 h</w:t>
      </w:r>
      <w:r>
        <w:t>, conservé pour analyse toxicologique, et à un dépôt de plainte. Le flunitrazépam n'est pas le seul produit impliqué : zolpidem, GHB, scopolamine, ketamine sont également utilisés.</w:t>
      </w:r>
    </w:p>
    <w:p>
      <w:pPr>
        <w:pStyle w:val="Heading2"/>
      </w:pPr>
      <w:r>
        <w:t>Conclusion du Chapitre 82</w:t>
      </w:r>
    </w:p>
    <w:p>
      <w:r>
        <w:t>Les anxiolytiques et hypnotiques constituent une classe thérapeutique centrale en pratique ambulatoire algérienne, mais aussi une source majeure d'iatrogénie et de dépendance. La prescription rationnelle repose sur quatre principes :</w:t>
      </w:r>
    </w:p>
    <w:p>
      <w:pPr>
        <w:pStyle w:val="ListNumber"/>
      </w:pPr>
      <w:r/>
      <w:r>
        <w:rPr>
          <w:b/>
        </w:rPr>
        <w:t>Limiter la durée</w:t>
      </w:r>
      <w:r>
        <w:t xml:space="preserve"> (4–12 semaines pour les anxiolytiques, 4 semaines pour les hypnotiques)</w:t>
      </w:r>
    </w:p>
    <w:p>
      <w:pPr>
        <w:pStyle w:val="ListNumber"/>
      </w:pPr>
      <w:r/>
      <w:r>
        <w:rPr>
          <w:b/>
        </w:rPr>
        <w:t>Privilégier la dose minimale efficace</w:t>
      </w:r>
      <w:r>
        <w:t xml:space="preserve"> et les thérapies non pharmacologiques associées</w:t>
      </w:r>
    </w:p>
    <w:p>
      <w:pPr>
        <w:pStyle w:val="ListNumber"/>
      </w:pPr>
      <w:r/>
      <w:r>
        <w:rPr>
          <w:b/>
        </w:rPr>
        <w:t>Éviter les associations dangereuses</w:t>
      </w:r>
      <w:r>
        <w:t xml:space="preserve"> (alcool, opioïdes, poly-prescription psychotrope)</w:t>
      </w:r>
    </w:p>
    <w:p>
      <w:pPr>
        <w:pStyle w:val="ListNumber"/>
      </w:pPr>
      <w:r/>
      <w:r>
        <w:rPr>
          <w:b/>
        </w:rPr>
        <w:t>Planifier l'arrêt progressif</w:t>
      </w:r>
      <w:r>
        <w:t xml:space="preserve"> dès l'initiation du traitement</w:t>
      </w:r>
    </w:p>
    <w:p>
      <w:r>
        <w:t>L'étifoxine représente une alternative de choix pour les anxiétés chroniques nécessitant un traitement prolongé, en raison de l'absence de dépendance et de syndrome de sevrage. Le zolpidem reste l'hypnotique de référence en raison de sa sélectivité ω1 et de sa courte demi-vie, sous réserve d'un respect strict de la posologie et des conditions de prise.</w:t>
      </w:r>
    </w:p>
    <w:p>
      <w:r>
        <w:t xml:space="preserve">Le pharmacien d'officine joue un rôle pivot dans la </w:t>
      </w:r>
      <w:r>
        <w:rPr>
          <w:b/>
        </w:rPr>
        <w:t>surveillance de l'usage rationnel</w:t>
      </w:r>
      <w:r>
        <w:t xml:space="preserve"> de ces molécules : repérage des prescriptions prolongées au-delà des recommandations, éducation du patient sur les risques de dépendance et d'interactions, orientation vers le médecin pour réévaluation, et signalement des cas de mésusage ou de soumission chimique.</w:t>
      </w:r>
    </w:p>
    <w:p>
      <w:r>
        <w:t xml:space="preserve">Le chapitre suivant traitera des </w:t>
      </w:r>
      <w:r>
        <w:rPr>
          <w:b/>
        </w:rPr>
        <w:t>antidépresseurs</w:t>
      </w:r>
      <w:r>
        <w:t xml:space="preserve"> (Chapter 83), qui constituent le complément thérapeutique essentiel des anxiolytiques dans la prise en charge des troubles anxieux chroniques et des troubles de l'humeur.</w:t>
      </w:r>
    </w:p>
    <w:p>
      <w:pPr>
        <w:pStyle w:val="Heading2"/>
      </w:pPr>
      <w:r>
        <w:t>Algorithmes d'Aide à la Décision Clinique</w:t>
      </w:r>
    </w:p>
    <w:p>
      <w:pPr>
        <w:pStyle w:val="Heading3"/>
      </w:pPr>
      <w:r>
        <w:t>Algorithme 1 — Choix d'un anxiolytique en première intention</w:t>
      </w:r>
    </w:p>
    <w:p>
      <w:pPr/>
      <w:r>
        <w:rPr>
          <w:rFonts w:ascii="Consolas" w:hAnsi="Consolas"/>
          <w:sz w:val="18"/>
        </w:rPr>
        <w:t>PATIENT PRÉSENTANT UNE ANXIÉTÉ</w:t>
      </w:r>
    </w:p>
    <w:p>
      <w:pPr/>
      <w:r>
        <w:rPr>
          <w:rFonts w:ascii="Consolas" w:hAnsi="Consolas"/>
          <w:sz w:val="18"/>
        </w:rPr>
        <w:t>│</w:t>
      </w:r>
    </w:p>
    <w:p>
      <w:pPr/>
      <w:r>
        <w:rPr>
          <w:rFonts w:ascii="Consolas" w:hAnsi="Consolas"/>
          <w:sz w:val="18"/>
        </w:rPr>
        <w:t>├── Évaluation initiale obligatoire</w:t>
      </w:r>
    </w:p>
    <w:p>
      <w:pPr/>
      <w:r>
        <w:rPr>
          <w:rFonts w:ascii="Consolas" w:hAnsi="Consolas"/>
          <w:sz w:val="18"/>
        </w:rPr>
        <w:t>│   ├── Recherche d'une cause organique (hyperthyroïdie, phéochromocytome, hypoglycémie)</w:t>
      </w:r>
    </w:p>
    <w:p>
      <w:pPr/>
      <w:r>
        <w:rPr>
          <w:rFonts w:ascii="Consolas" w:hAnsi="Consolas"/>
          <w:sz w:val="18"/>
        </w:rPr>
        <w:t>│   ├── Recherche d'une comorbidité psychiatrique (dépression, TOC, ESPT)</w:t>
      </w:r>
    </w:p>
    <w:p>
      <w:pPr/>
      <w:r>
        <w:rPr>
          <w:rFonts w:ascii="Consolas" w:hAnsi="Consolas"/>
          <w:sz w:val="18"/>
        </w:rPr>
        <w:t>│   ├── Évaluation du risque suicidaire</w:t>
      </w:r>
    </w:p>
    <w:p>
      <w:pPr/>
      <w:r>
        <w:rPr>
          <w:rFonts w:ascii="Consolas" w:hAnsi="Consolas"/>
          <w:sz w:val="18"/>
        </w:rPr>
        <w:t>│   └── Évaluation psychosociale (stress, contexte de vie)</w:t>
      </w:r>
    </w:p>
    <w:p>
      <w:pPr/>
      <w:r>
        <w:rPr>
          <w:rFonts w:ascii="Consolas" w:hAnsi="Consolas"/>
          <w:sz w:val="18"/>
        </w:rPr>
        <w:t>│</w:t>
      </w:r>
    </w:p>
    <w:p>
      <w:pPr/>
      <w:r>
        <w:rPr>
          <w:rFonts w:ascii="Consolas" w:hAnsi="Consolas"/>
          <w:sz w:val="18"/>
        </w:rPr>
        <w:t>├── Mesures non pharmacologiques en première intention</w:t>
      </w:r>
    </w:p>
    <w:p>
      <w:pPr/>
      <w:r>
        <w:rPr>
          <w:rFonts w:ascii="Consolas" w:hAnsi="Consolas"/>
          <w:sz w:val="18"/>
        </w:rPr>
        <w:t>│   ├── Thérapies cognitivo-comportementales (TCC)</w:t>
      </w:r>
    </w:p>
    <w:p>
      <w:pPr/>
      <w:r>
        <w:rPr>
          <w:rFonts w:ascii="Consolas" w:hAnsi="Consolas"/>
          <w:sz w:val="18"/>
        </w:rPr>
        <w:t>│   ├── Hygiène de vie (activité physique, sommeil, alimentation)</w:t>
      </w:r>
    </w:p>
    <w:p>
      <w:pPr/>
      <w:r>
        <w:rPr>
          <w:rFonts w:ascii="Consolas" w:hAnsi="Consolas"/>
          <w:sz w:val="18"/>
        </w:rPr>
        <w:t>│   ├── Techniques de relaxation (sophrologie, méditation)</w:t>
      </w:r>
    </w:p>
    <w:p>
      <w:pPr/>
      <w:r>
        <w:rPr>
          <w:rFonts w:ascii="Consolas" w:hAnsi="Consolas"/>
          <w:sz w:val="18"/>
        </w:rPr>
        <w:t>│   └── Réévaluation après 4–6 semaines</w:t>
      </w:r>
    </w:p>
    <w:p>
      <w:pPr/>
      <w:r>
        <w:rPr>
          <w:rFonts w:ascii="Consolas" w:hAnsi="Consolas"/>
          <w:sz w:val="18"/>
        </w:rPr>
        <w:t>│</w:t>
      </w:r>
    </w:p>
    <w:p>
      <w:pPr/>
      <w:r>
        <w:rPr>
          <w:rFonts w:ascii="Consolas" w:hAnsi="Consolas"/>
          <w:sz w:val="18"/>
        </w:rPr>
        <w:t>├── Si échec des mesures non pharmacologiques → ANXIOLYTIQUE</w:t>
      </w:r>
    </w:p>
    <w:p>
      <w:pPr/>
      <w:r>
        <w:rPr>
          <w:rFonts w:ascii="Consolas" w:hAnsi="Consolas"/>
          <w:sz w:val="18"/>
        </w:rPr>
        <w:t>│   │</w:t>
      </w:r>
    </w:p>
    <w:p>
      <w:pPr/>
      <w:r>
        <w:rPr>
          <w:rFonts w:ascii="Consolas" w:hAnsi="Consolas"/>
          <w:sz w:val="18"/>
        </w:rPr>
        <w:t>│   ├── Anxiété aiguë / crise d'angoisse paroxystique</w:t>
      </w:r>
    </w:p>
    <w:p>
      <w:pPr/>
      <w:r>
        <w:rPr>
          <w:rFonts w:ascii="Consolas" w:hAnsi="Consolas"/>
          <w:sz w:val="18"/>
        </w:rPr>
        <w:t>│   │   └── LORAZÉPAM 0,5–1 mg ponctuel (BZD intermédiaire, délai court)</w:t>
      </w:r>
    </w:p>
    <w:p>
      <w:pPr/>
      <w:r>
        <w:rPr>
          <w:rFonts w:ascii="Consolas" w:hAnsi="Consolas"/>
          <w:sz w:val="18"/>
        </w:rPr>
        <w:t>│   │</w:t>
      </w:r>
    </w:p>
    <w:p>
      <w:pPr/>
      <w:r>
        <w:rPr>
          <w:rFonts w:ascii="Consolas" w:hAnsi="Consolas"/>
          <w:sz w:val="18"/>
        </w:rPr>
        <w:t>│   ├── Anxiété modérée à sévère, traitement court (4–12 sem)</w:t>
      </w:r>
    </w:p>
    <w:p>
      <w:pPr/>
      <w:r>
        <w:rPr>
          <w:rFonts w:ascii="Consolas" w:hAnsi="Consolas"/>
          <w:sz w:val="18"/>
        </w:rPr>
        <w:t>│   │   ├── Sujet jeune, sans comorbidité : BROMAZÉPAM 3–6 mg ×2/jour</w:t>
      </w:r>
    </w:p>
    <w:p>
      <w:pPr/>
      <w:r>
        <w:rPr>
          <w:rFonts w:ascii="Consolas" w:hAnsi="Consolas"/>
          <w:sz w:val="18"/>
        </w:rPr>
        <w:t>│   │   └── Sujet âgé / IR hépatique : LORAZÉPAM 0,5 mg ×2/jour</w:t>
      </w:r>
    </w:p>
    <w:p>
      <w:pPr/>
      <w:r>
        <w:rPr>
          <w:rFonts w:ascii="Consolas" w:hAnsi="Consolas"/>
          <w:sz w:val="18"/>
        </w:rPr>
        <w:t>│   │</w:t>
      </w:r>
    </w:p>
    <w:p>
      <w:pPr/>
      <w:r>
        <w:rPr>
          <w:rFonts w:ascii="Consolas" w:hAnsi="Consolas"/>
          <w:sz w:val="18"/>
        </w:rPr>
        <w:t>│   ├── Anxiété chronique, traitement prolongé &gt; 12 semaines</w:t>
      </w:r>
    </w:p>
    <w:p>
      <w:pPr/>
      <w:r>
        <w:rPr>
          <w:rFonts w:ascii="Consolas" w:hAnsi="Consolas"/>
          <w:sz w:val="18"/>
        </w:rPr>
        <w:t>│   │   └── ÉTIFOXINE 50 mg ×3/jour (pas de dépendance)</w:t>
      </w:r>
    </w:p>
    <w:p>
      <w:pPr/>
      <w:r>
        <w:rPr>
          <w:rFonts w:ascii="Consolas" w:hAnsi="Consolas"/>
          <w:sz w:val="18"/>
        </w:rPr>
        <w:t>│   │</w:t>
      </w:r>
    </w:p>
    <w:p>
      <w:pPr/>
      <w:r>
        <w:rPr>
          <w:rFonts w:ascii="Consolas" w:hAnsi="Consolas"/>
          <w:sz w:val="18"/>
        </w:rPr>
        <w:t>│   ├── Anxiété chronique, couverture 24 h souhaitée (BZD longue durée)</w:t>
      </w:r>
    </w:p>
    <w:p>
      <w:pPr/>
      <w:r>
        <w:rPr>
          <w:rFonts w:ascii="Consolas" w:hAnsi="Consolas"/>
          <w:sz w:val="18"/>
        </w:rPr>
        <w:t>│   │   ├── Sujet jeune : DIAZÉPAM 5 mg ×2/jour ou PRAZÉPAM 10 mg ×2/jour</w:t>
      </w:r>
    </w:p>
    <w:p>
      <w:pPr/>
      <w:r>
        <w:rPr>
          <w:rFonts w:ascii="Consolas" w:hAnsi="Consolas"/>
          <w:sz w:val="18"/>
        </w:rPr>
        <w:t>│   │   └── Sujet âgé : à ÉVITER (accumulation)</w:t>
      </w:r>
    </w:p>
    <w:p>
      <w:pPr/>
      <w:r>
        <w:rPr>
          <w:rFonts w:ascii="Consolas" w:hAnsi="Consolas"/>
          <w:sz w:val="18"/>
        </w:rPr>
        <w:t>│   │</w:t>
      </w:r>
    </w:p>
    <w:p>
      <w:pPr/>
      <w:r>
        <w:rPr>
          <w:rFonts w:ascii="Consolas" w:hAnsi="Consolas"/>
          <w:sz w:val="18"/>
        </w:rPr>
        <w:t>│   ├── Anxiété associée à un spasme digestif</w:t>
      </w:r>
    </w:p>
    <w:p>
      <w:pPr/>
      <w:r>
        <w:rPr>
          <w:rFonts w:ascii="Consolas" w:hAnsi="Consolas"/>
          <w:sz w:val="18"/>
        </w:rPr>
        <w:t>│   │   └── CHLORDIAZEPOXIDE + CLIDINIUM (Librax) — si disponible</w:t>
      </w:r>
    </w:p>
    <w:p>
      <w:pPr/>
      <w:r>
        <w:rPr>
          <w:rFonts w:ascii="Consolas" w:hAnsi="Consolas"/>
          <w:sz w:val="18"/>
        </w:rPr>
        <w:t>│   │</w:t>
      </w:r>
    </w:p>
    <w:p>
      <w:pPr/>
      <w:r>
        <w:rPr>
          <w:rFonts w:ascii="Consolas" w:hAnsi="Consolas"/>
          <w:sz w:val="18"/>
        </w:rPr>
        <w:t>│   └── Anxiété réfractaire / épilepsie associée</w:t>
      </w:r>
    </w:p>
    <w:p>
      <w:pPr/>
      <w:r>
        <w:rPr>
          <w:rFonts w:ascii="Consolas" w:hAnsi="Consolas"/>
          <w:sz w:val="18"/>
        </w:rPr>
        <w:t>│       └── CLONAZÉPAM 0,5–2 mg ×2/jour (avis spécialisé)</w:t>
      </w:r>
    </w:p>
    <w:p>
      <w:pPr/>
      <w:r>
        <w:rPr>
          <w:rFonts w:ascii="Consolas" w:hAnsi="Consolas"/>
          <w:sz w:val="18"/>
        </w:rPr>
        <w:t>│</w:t>
      </w:r>
    </w:p>
    <w:p>
      <w:pPr/>
      <w:r>
        <w:rPr>
          <w:rFonts w:ascii="Consolas" w:hAnsi="Consolas"/>
          <w:sz w:val="18"/>
        </w:rPr>
        <w:t>└── Suivi et arrêt</w:t>
      </w:r>
    </w:p>
    <w:p>
      <w:pPr/>
      <w:r>
        <w:rPr>
          <w:rFonts w:ascii="Consolas" w:hAnsi="Consolas"/>
          <w:sz w:val="18"/>
        </w:rPr>
        <w:t xml:space="preserve">    ├── Réévaluation à 2 semaines puis 4 semaines</w:t>
      </w:r>
    </w:p>
    <w:p>
      <w:pPr/>
      <w:r>
        <w:rPr>
          <w:rFonts w:ascii="Consolas" w:hAnsi="Consolas"/>
          <w:sz w:val="18"/>
        </w:rPr>
        <w:t xml:space="preserve">    ├── Dose minimale efficace</w:t>
      </w:r>
    </w:p>
    <w:p>
      <w:pPr/>
      <w:r>
        <w:rPr>
          <w:rFonts w:ascii="Consolas" w:hAnsi="Consolas"/>
          <w:sz w:val="18"/>
        </w:rPr>
        <w:t xml:space="preserve">    ├── Durée maximale 4–12 semaines</w:t>
      </w:r>
    </w:p>
    <w:p>
      <w:pPr/>
      <w:r>
        <w:rPr>
          <w:rFonts w:ascii="Consolas" w:hAnsi="Consolas"/>
          <w:sz w:val="18"/>
        </w:rPr>
        <w:t xml:space="preserve">    └── Arrêt progressif sur 4–12 semaines si usage prolongé</w:t>
      </w:r>
    </w:p>
    <w:p>
      <w:pPr>
        <w:pStyle w:val="Heading3"/>
      </w:pPr>
      <w:r>
        <w:t>Algorithme 2 — Choix d'un hypnotique en première intention</w:t>
      </w:r>
    </w:p>
    <w:p>
      <w:pPr/>
      <w:r>
        <w:rPr>
          <w:rFonts w:ascii="Consolas" w:hAnsi="Consolas"/>
          <w:sz w:val="18"/>
        </w:rPr>
        <w:t>PATIENT PRÉSENTANT UNE INSOMNIE</w:t>
      </w:r>
    </w:p>
    <w:p>
      <w:pPr/>
      <w:r>
        <w:rPr>
          <w:rFonts w:ascii="Consolas" w:hAnsi="Consolas"/>
          <w:sz w:val="18"/>
        </w:rPr>
        <w:t>│</w:t>
      </w:r>
    </w:p>
    <w:p>
      <w:pPr/>
      <w:r>
        <w:rPr>
          <w:rFonts w:ascii="Consolas" w:hAnsi="Consolas"/>
          <w:sz w:val="18"/>
        </w:rPr>
        <w:t>├── Évaluation initiale obligatoire</w:t>
      </w:r>
    </w:p>
    <w:p>
      <w:pPr/>
      <w:r>
        <w:rPr>
          <w:rFonts w:ascii="Consolas" w:hAnsi="Consolas"/>
          <w:sz w:val="18"/>
        </w:rPr>
        <w:t>│   ├── Recherche d'une cause organique (apnée du sommeil, syndrome des jambes sans repos, hyperthyroïdie)</w:t>
      </w:r>
    </w:p>
    <w:p>
      <w:pPr/>
      <w:r>
        <w:rPr>
          <w:rFonts w:ascii="Consolas" w:hAnsi="Consolas"/>
          <w:sz w:val="18"/>
        </w:rPr>
        <w:t>│   ├── Recherche d'une cause psychiatrique (dépression, anxiété, ESPT)</w:t>
      </w:r>
    </w:p>
    <w:p>
      <w:pPr/>
      <w:r>
        <w:rPr>
          <w:rFonts w:ascii="Consolas" w:hAnsi="Consolas"/>
          <w:sz w:val="18"/>
        </w:rPr>
        <w:t>│   ├── Recherche d'une cause médicamenteuse (sympathomimétiques, corticoïdes, théophylline)</w:t>
      </w:r>
    </w:p>
    <w:p>
      <w:pPr/>
      <w:r>
        <w:rPr>
          <w:rFonts w:ascii="Consolas" w:hAnsi="Consolas"/>
          <w:sz w:val="18"/>
        </w:rPr>
        <w:t>│   └── Évaluation de la durée et de la sévérité</w:t>
      </w:r>
    </w:p>
    <w:p>
      <w:pPr/>
      <w:r>
        <w:rPr>
          <w:rFonts w:ascii="Consolas" w:hAnsi="Consolas"/>
          <w:sz w:val="18"/>
        </w:rPr>
        <w:t>│</w:t>
      </w:r>
    </w:p>
    <w:p>
      <w:pPr/>
      <w:r>
        <w:rPr>
          <w:rFonts w:ascii="Consolas" w:hAnsi="Consolas"/>
          <w:sz w:val="18"/>
        </w:rPr>
        <w:t>├── Mesures d'hygiène de sommeil en première intention</w:t>
      </w:r>
    </w:p>
    <w:p>
      <w:pPr/>
      <w:r>
        <w:rPr>
          <w:rFonts w:ascii="Consolas" w:hAnsi="Consolas"/>
          <w:sz w:val="18"/>
        </w:rPr>
        <w:t>│   ├── Horaires réguliers de coucher et de lever</w:t>
      </w:r>
    </w:p>
    <w:p>
      <w:pPr/>
      <w:r>
        <w:rPr>
          <w:rFonts w:ascii="Consolas" w:hAnsi="Consolas"/>
          <w:sz w:val="18"/>
        </w:rPr>
        <w:t>│   ├── Environnement de sommeil (chambre sombre, calme, fraîche)</w:t>
      </w:r>
    </w:p>
    <w:p>
      <w:pPr/>
      <w:r>
        <w:rPr>
          <w:rFonts w:ascii="Consolas" w:hAnsi="Consolas"/>
          <w:sz w:val="18"/>
        </w:rPr>
        <w:t>│   ├── Éviction des écrans 1 h avant le coucher</w:t>
      </w:r>
    </w:p>
    <w:p>
      <w:pPr/>
      <w:r>
        <w:rPr>
          <w:rFonts w:ascii="Consolas" w:hAnsi="Consolas"/>
          <w:sz w:val="18"/>
        </w:rPr>
        <w:t>│   ├── Éviction de la caféine après 16 h</w:t>
      </w:r>
    </w:p>
    <w:p>
      <w:pPr/>
      <w:r>
        <w:rPr>
          <w:rFonts w:ascii="Consolas" w:hAnsi="Consolas"/>
          <w:sz w:val="18"/>
        </w:rPr>
        <w:t>│   ├── Éviction de l'alcool et du tabac le soir</w:t>
      </w:r>
    </w:p>
    <w:p>
      <w:pPr/>
      <w:r>
        <w:rPr>
          <w:rFonts w:ascii="Consolas" w:hAnsi="Consolas"/>
          <w:sz w:val="18"/>
        </w:rPr>
        <w:t>│   ├── Activité physique régulière (en journée)</w:t>
      </w:r>
    </w:p>
    <w:p>
      <w:pPr/>
      <w:r>
        <w:rPr>
          <w:rFonts w:ascii="Consolas" w:hAnsi="Consolas"/>
          <w:sz w:val="18"/>
        </w:rPr>
        <w:t>│   └── Réévaluation après 2–4 semaines</w:t>
      </w:r>
    </w:p>
    <w:p>
      <w:pPr/>
      <w:r>
        <w:rPr>
          <w:rFonts w:ascii="Consolas" w:hAnsi="Consolas"/>
          <w:sz w:val="18"/>
        </w:rPr>
        <w:t>│</w:t>
      </w:r>
    </w:p>
    <w:p>
      <w:pPr/>
      <w:r>
        <w:rPr>
          <w:rFonts w:ascii="Consolas" w:hAnsi="Consolas"/>
          <w:sz w:val="18"/>
        </w:rPr>
        <w:t>├── Si échec des mesures d'hygiène → HYPNOTIQUE</w:t>
      </w:r>
    </w:p>
    <w:p>
      <w:pPr/>
      <w:r>
        <w:rPr>
          <w:rFonts w:ascii="Consolas" w:hAnsi="Consolas"/>
          <w:sz w:val="18"/>
        </w:rPr>
        <w:t>│   │</w:t>
      </w:r>
    </w:p>
    <w:p>
      <w:pPr/>
      <w:r>
        <w:rPr>
          <w:rFonts w:ascii="Consolas" w:hAnsi="Consolas"/>
          <w:sz w:val="18"/>
        </w:rPr>
        <w:t>│   ├── Insomnie transitoire (quelques jours) ou situationnelle</w:t>
      </w:r>
    </w:p>
    <w:p>
      <w:pPr/>
      <w:r>
        <w:rPr>
          <w:rFonts w:ascii="Consolas" w:hAnsi="Consolas"/>
          <w:sz w:val="18"/>
        </w:rPr>
        <w:t>│   │   └── ZOLPIDEM 10 mg au coucher, durée max 2–4 semaines</w:t>
      </w:r>
    </w:p>
    <w:p>
      <w:pPr/>
      <w:r>
        <w:rPr>
          <w:rFonts w:ascii="Consolas" w:hAnsi="Consolas"/>
          <w:sz w:val="18"/>
        </w:rPr>
        <w:t>│   │</w:t>
      </w:r>
    </w:p>
    <w:p>
      <w:pPr/>
      <w:r>
        <w:rPr>
          <w:rFonts w:ascii="Consolas" w:hAnsi="Consolas"/>
          <w:sz w:val="18"/>
        </w:rPr>
        <w:t>│   ├── Insomnie chronique</w:t>
      </w:r>
    </w:p>
    <w:p>
      <w:pPr/>
      <w:r>
        <w:rPr>
          <w:rFonts w:ascii="Consolas" w:hAnsi="Consolas"/>
          <w:sz w:val="18"/>
        </w:rPr>
        <w:t>│   │   ├── Sujet jeune : ZOLPIDEM 10 mg au coucher, durée max 4 semaines</w:t>
      </w:r>
    </w:p>
    <w:p>
      <w:pPr/>
      <w:r>
        <w:rPr>
          <w:rFonts w:ascii="Consolas" w:hAnsi="Consolas"/>
          <w:sz w:val="18"/>
        </w:rPr>
        <w:t>│   │   └── Sujet âgé : ZOLPIDEM 5 mg au coucher (demi-dose)</w:t>
      </w:r>
    </w:p>
    <w:p>
      <w:pPr/>
      <w:r>
        <w:rPr>
          <w:rFonts w:ascii="Consolas" w:hAnsi="Consolas"/>
          <w:sz w:val="18"/>
        </w:rPr>
        <w:t>│   │</w:t>
      </w:r>
    </w:p>
    <w:p>
      <w:pPr/>
      <w:r>
        <w:rPr>
          <w:rFonts w:ascii="Consolas" w:hAnsi="Consolas"/>
          <w:sz w:val="18"/>
        </w:rPr>
        <w:t>│   ├── Insomnie avec réveil nocturne (si zolpidem LP disponible)</w:t>
      </w:r>
    </w:p>
    <w:p>
      <w:pPr/>
      <w:r>
        <w:rPr>
          <w:rFonts w:ascii="Consolas" w:hAnsi="Consolas"/>
          <w:sz w:val="18"/>
        </w:rPr>
        <w:t>│   │   └── ZOLPIDEM LP 12,5 mg au coucher (non disponible en Algérie)</w:t>
      </w:r>
    </w:p>
    <w:p>
      <w:pPr/>
      <w:r>
        <w:rPr>
          <w:rFonts w:ascii="Consolas" w:hAnsi="Consolas"/>
          <w:sz w:val="18"/>
        </w:rPr>
        <w:t>│   │</w:t>
      </w:r>
    </w:p>
    <w:p>
      <w:pPr/>
      <w:r>
        <w:rPr>
          <w:rFonts w:ascii="Consolas" w:hAnsi="Consolas"/>
          <w:sz w:val="18"/>
        </w:rPr>
        <w:t>│   └── Insomnie réfractaire</w:t>
      </w:r>
    </w:p>
    <w:p>
      <w:pPr/>
      <w:r>
        <w:rPr>
          <w:rFonts w:ascii="Consolas" w:hAnsi="Consolas"/>
          <w:sz w:val="18"/>
        </w:rPr>
        <w:t>│       ├── Réévaluation psychiatrique</w:t>
      </w:r>
    </w:p>
    <w:p>
      <w:pPr/>
      <w:r>
        <w:rPr>
          <w:rFonts w:ascii="Consolas" w:hAnsi="Consolas"/>
          <w:sz w:val="18"/>
        </w:rPr>
        <w:t>│       ├── Recherche d'une cause sous-jacente</w:t>
      </w:r>
    </w:p>
    <w:p>
      <w:pPr/>
      <w:r>
        <w:rPr>
          <w:rFonts w:ascii="Consolas" w:hAnsi="Consolas"/>
          <w:sz w:val="18"/>
        </w:rPr>
        <w:t>│       └── Avis spécialisé (sleep clinic)</w:t>
      </w:r>
    </w:p>
    <w:p>
      <w:pPr/>
      <w:r>
        <w:rPr>
          <w:rFonts w:ascii="Consolas" w:hAnsi="Consolas"/>
          <w:sz w:val="18"/>
        </w:rPr>
        <w:t>│</w:t>
      </w:r>
    </w:p>
    <w:p>
      <w:pPr/>
      <w:r>
        <w:rPr>
          <w:rFonts w:ascii="Consolas" w:hAnsi="Consolas"/>
          <w:sz w:val="18"/>
        </w:rPr>
        <w:t>└── Suivi et arrêt</w:t>
      </w:r>
    </w:p>
    <w:p>
      <w:pPr/>
      <w:r>
        <w:rPr>
          <w:rFonts w:ascii="Consolas" w:hAnsi="Consolas"/>
          <w:sz w:val="18"/>
        </w:rPr>
        <w:t xml:space="preserve">    ├── Réévaluation à 2 semaines puis 4 semaines</w:t>
      </w:r>
    </w:p>
    <w:p>
      <w:pPr/>
      <w:r>
        <w:rPr>
          <w:rFonts w:ascii="Consolas" w:hAnsi="Consolas"/>
          <w:sz w:val="18"/>
        </w:rPr>
        <w:t xml:space="preserve">    ├── Arrêt progressif par paliers de 1/4 comprimé</w:t>
      </w:r>
    </w:p>
    <w:p>
      <w:pPr/>
      <w:r>
        <w:rPr>
          <w:rFonts w:ascii="Consolas" w:hAnsi="Consolas"/>
          <w:sz w:val="18"/>
        </w:rPr>
        <w:t xml:space="preserve">    └── Pas de prolongation au-delà de 4 semaines sans réévaluation</w:t>
      </w:r>
    </w:p>
    <w:p>
      <w:pPr>
        <w:pStyle w:val="Heading3"/>
      </w:pPr>
      <w:r>
        <w:t>Algorithme 3 — Décroissance d'une benzodiazépine au long cours</w:t>
      </w:r>
    </w:p>
    <w:p>
      <w:pPr/>
      <w:r>
        <w:rPr>
          <w:rFonts w:ascii="Consolas" w:hAnsi="Consolas"/>
          <w:sz w:val="18"/>
        </w:rPr>
        <w:t>PATIENT SOUS BZD DEPUIS &gt; 12 SEMAINES</w:t>
      </w:r>
    </w:p>
    <w:p>
      <w:pPr/>
      <w:r>
        <w:rPr>
          <w:rFonts w:ascii="Consolas" w:hAnsi="Consolas"/>
          <w:sz w:val="18"/>
        </w:rPr>
        <w:t>│</w:t>
      </w:r>
    </w:p>
    <w:p>
      <w:pPr/>
      <w:r>
        <w:rPr>
          <w:rFonts w:ascii="Consolas" w:hAnsi="Consolas"/>
          <w:sz w:val="18"/>
        </w:rPr>
        <w:t>├── Évaluation préalable</w:t>
      </w:r>
    </w:p>
    <w:p>
      <w:pPr/>
      <w:r>
        <w:rPr>
          <w:rFonts w:ascii="Consolas" w:hAnsi="Consolas"/>
          <w:sz w:val="18"/>
        </w:rPr>
        <w:t>│   ├── Dosage de la dose actuelle</w:t>
      </w:r>
    </w:p>
    <w:p>
      <w:pPr/>
      <w:r>
        <w:rPr>
          <w:rFonts w:ascii="Consolas" w:hAnsi="Consolas"/>
          <w:sz w:val="18"/>
        </w:rPr>
        <w:t>│   ├── Identification de la BZD (demi-vie, équivalence diazépam)</w:t>
      </w:r>
    </w:p>
    <w:p>
      <w:pPr/>
      <w:r>
        <w:rPr>
          <w:rFonts w:ascii="Consolas" w:hAnsi="Consolas"/>
          <w:sz w:val="18"/>
        </w:rPr>
        <w:t>│   ├── Recherche d'une comorbidité psychiatrique (anxiété chronique, dépression)</w:t>
      </w:r>
    </w:p>
    <w:p>
      <w:pPr/>
      <w:r>
        <w:rPr>
          <w:rFonts w:ascii="Consolas" w:hAnsi="Consolas"/>
          <w:sz w:val="18"/>
        </w:rPr>
        <w:t>│   ├── Évaluation de la motivation du patient</w:t>
      </w:r>
    </w:p>
    <w:p>
      <w:pPr/>
      <w:r>
        <w:rPr>
          <w:rFonts w:ascii="Consolas" w:hAnsi="Consolas"/>
          <w:sz w:val="18"/>
        </w:rPr>
        <w:t>│   └── Information explicite sur le protocole de décroissance</w:t>
      </w:r>
    </w:p>
    <w:p>
      <w:pPr/>
      <w:r>
        <w:rPr>
          <w:rFonts w:ascii="Consolas" w:hAnsi="Consolas"/>
          <w:sz w:val="18"/>
        </w:rPr>
        <w:t>│</w:t>
      </w:r>
    </w:p>
    <w:p>
      <w:pPr/>
      <w:r>
        <w:rPr>
          <w:rFonts w:ascii="Consolas" w:hAnsi="Consolas"/>
          <w:sz w:val="18"/>
        </w:rPr>
        <w:t>├── Conversion vers une BZD à longue demi-vie (si BZD courte utilisée)</w:t>
      </w:r>
    </w:p>
    <w:p>
      <w:pPr/>
      <w:r>
        <w:rPr>
          <w:rFonts w:ascii="Consolas" w:hAnsi="Consolas"/>
          <w:sz w:val="18"/>
        </w:rPr>
        <w:t>│   ├── Conversion vers le DIAZÉPAM (longue demi-vie, demi-vie stable)</w:t>
      </w:r>
    </w:p>
    <w:p>
      <w:pPr/>
      <w:r>
        <w:rPr>
          <w:rFonts w:ascii="Consolas" w:hAnsi="Consolas"/>
          <w:sz w:val="18"/>
        </w:rPr>
        <w:t>│   ├── Équivalences :</w:t>
      </w:r>
    </w:p>
    <w:p>
      <w:pPr/>
      <w:r>
        <w:rPr>
          <w:rFonts w:ascii="Consolas" w:hAnsi="Consolas"/>
          <w:sz w:val="18"/>
        </w:rPr>
        <w:t>│   │   ├── Diazépam 10 mg ≈ Lorazépam 1 mg ≈ Bromazépam 6 mg</w:t>
      </w:r>
    </w:p>
    <w:p>
      <w:pPr/>
      <w:r>
        <w:rPr>
          <w:rFonts w:ascii="Consolas" w:hAnsi="Consolas"/>
          <w:sz w:val="18"/>
        </w:rPr>
        <w:t>│   │   ├── Diazépam 10 mg ≈ Prazépam 20 mg ≈ Clorazépate 10 mg</w:t>
      </w:r>
    </w:p>
    <w:p>
      <w:pPr/>
      <w:r>
        <w:rPr>
          <w:rFonts w:ascii="Consolas" w:hAnsi="Consolas"/>
          <w:sz w:val="18"/>
        </w:rPr>
        <w:t>│   │   ├── Diazépam 10 mg ≈ Chlordiazépoxide 25 mg ≈ Clonazépam 0,5 mg</w:t>
      </w:r>
    </w:p>
    <w:p>
      <w:pPr/>
      <w:r>
        <w:rPr>
          <w:rFonts w:ascii="Consolas" w:hAnsi="Consolas"/>
          <w:sz w:val="18"/>
        </w:rPr>
        <w:t>│   │   └── Diazépam 10 mg ≈ Flunitrazépam 1 mg ≈ Nitrazépam 5 mg</w:t>
      </w:r>
    </w:p>
    <w:p>
      <w:pPr/>
      <w:r>
        <w:rPr>
          <w:rFonts w:ascii="Consolas" w:hAnsi="Consolas"/>
          <w:sz w:val="18"/>
        </w:rPr>
        <w:t>│   └── Stabilisation 1–2 semaines à la dose équivalente</w:t>
      </w:r>
    </w:p>
    <w:p>
      <w:pPr/>
      <w:r>
        <w:rPr>
          <w:rFonts w:ascii="Consolas" w:hAnsi="Consolas"/>
          <w:sz w:val="18"/>
        </w:rPr>
        <w:t>│</w:t>
      </w:r>
    </w:p>
    <w:p>
      <w:pPr/>
      <w:r>
        <w:rPr>
          <w:rFonts w:ascii="Consolas" w:hAnsi="Consolas"/>
          <w:sz w:val="18"/>
        </w:rPr>
        <w:t>├── Décroissance progressive</w:t>
      </w:r>
    </w:p>
    <w:p>
      <w:pPr/>
      <w:r>
        <w:rPr>
          <w:rFonts w:ascii="Consolas" w:hAnsi="Consolas"/>
          <w:sz w:val="18"/>
        </w:rPr>
        <w:t>│   ├── Palier initial : réduction de 1/8 à 1/4 de la dose</w:t>
      </w:r>
    </w:p>
    <w:p>
      <w:pPr/>
      <w:r>
        <w:rPr>
          <w:rFonts w:ascii="Consolas" w:hAnsi="Consolas"/>
          <w:sz w:val="18"/>
        </w:rPr>
        <w:t>│   ├── Maintien du palier 1–2 semaines</w:t>
      </w:r>
    </w:p>
    <w:p>
      <w:pPr/>
      <w:r>
        <w:rPr>
          <w:rFonts w:ascii="Consolas" w:hAnsi="Consolas"/>
          <w:sz w:val="18"/>
        </w:rPr>
        <w:t>│   ├── Réduction suivante de 1/8 à 1/4</w:t>
      </w:r>
    </w:p>
    <w:p>
      <w:pPr/>
      <w:r>
        <w:rPr>
          <w:rFonts w:ascii="Consolas" w:hAnsi="Consolas"/>
          <w:sz w:val="18"/>
        </w:rPr>
        <w:t>│   ├── Adaptation selon tolérance (anxiété rebond, insomnie de rebond)</w:t>
      </w:r>
    </w:p>
    <w:p>
      <w:pPr/>
      <w:r>
        <w:rPr>
          <w:rFonts w:ascii="Consolas" w:hAnsi="Consolas"/>
          <w:sz w:val="18"/>
        </w:rPr>
        <w:t>│   └── Durée totale de décroissance : 4–12 semaines selon demi-vie</w:t>
      </w:r>
    </w:p>
    <w:p>
      <w:pPr/>
      <w:r>
        <w:rPr>
          <w:rFonts w:ascii="Consolas" w:hAnsi="Consolas"/>
          <w:sz w:val="18"/>
        </w:rPr>
        <w:t>│</w:t>
      </w:r>
    </w:p>
    <w:p>
      <w:pPr/>
      <w:r>
        <w:rPr>
          <w:rFonts w:ascii="Consolas" w:hAnsi="Consolas"/>
          <w:sz w:val="18"/>
        </w:rPr>
        <w:t>├── Mesures associées</w:t>
      </w:r>
    </w:p>
    <w:p>
      <w:pPr/>
      <w:r>
        <w:rPr>
          <w:rFonts w:ascii="Consolas" w:hAnsi="Consolas"/>
          <w:sz w:val="18"/>
        </w:rPr>
        <w:t>│   ├── TCC associée systématiquement</w:t>
      </w:r>
    </w:p>
    <w:p>
      <w:pPr/>
      <w:r>
        <w:rPr>
          <w:rFonts w:ascii="Consolas" w:hAnsi="Consolas"/>
          <w:sz w:val="18"/>
        </w:rPr>
        <w:t>│   ├── Étifoxine en relais possible pour anxiété résiduelle</w:t>
      </w:r>
    </w:p>
    <w:p>
      <w:pPr/>
      <w:r>
        <w:rPr>
          <w:rFonts w:ascii="Consolas" w:hAnsi="Consolas"/>
          <w:sz w:val="18"/>
        </w:rPr>
        <w:t>│   ├── Suivi médical hebdomadaire pendant la décroissance</w:t>
      </w:r>
    </w:p>
    <w:p>
      <w:pPr/>
      <w:r>
        <w:rPr>
          <w:rFonts w:ascii="Consolas" w:hAnsi="Consolas"/>
          <w:sz w:val="18"/>
        </w:rPr>
        <w:t>│   └── Renforcement positif pour la motivation</w:t>
      </w:r>
    </w:p>
    <w:p>
      <w:pPr/>
      <w:r>
        <w:rPr>
          <w:rFonts w:ascii="Consolas" w:hAnsi="Consolas"/>
          <w:sz w:val="18"/>
        </w:rPr>
        <w:t>│</w:t>
      </w:r>
    </w:p>
    <w:p>
      <w:pPr/>
      <w:r>
        <w:rPr>
          <w:rFonts w:ascii="Consolas" w:hAnsi="Consolas"/>
          <w:sz w:val="18"/>
        </w:rPr>
        <w:t>└── En cas d'échec</w:t>
      </w:r>
    </w:p>
    <w:p>
      <w:pPr/>
      <w:r>
        <w:rPr>
          <w:rFonts w:ascii="Consolas" w:hAnsi="Consolas"/>
          <w:sz w:val="18"/>
        </w:rPr>
        <w:t xml:space="preserve">    ├── Hospitalisation en service spécialisé (si dépendance sévère)</w:t>
      </w:r>
    </w:p>
    <w:p>
      <w:pPr/>
      <w:r>
        <w:rPr>
          <w:rFonts w:ascii="Consolas" w:hAnsi="Consolas"/>
          <w:sz w:val="18"/>
        </w:rPr>
        <w:t xml:space="preserve">    ├── Décroissance plus lente (paliers de 1/16 sur 6–12 mois)</w:t>
      </w:r>
    </w:p>
    <w:p>
      <w:pPr/>
      <w:r>
        <w:rPr>
          <w:rFonts w:ascii="Consolas" w:hAnsi="Consolas"/>
          <w:sz w:val="18"/>
        </w:rPr>
        <w:t xml:space="preserve">    └── Avis addictologique spécialisé</w:t>
      </w:r>
    </w:p>
    <w:p>
      <w:pPr>
        <w:pStyle w:val="Heading2"/>
      </w:pPr>
      <w:r>
        <w:t>Vignettes Cliniques</w:t>
      </w:r>
    </w:p>
    <w:p>
      <w:pPr>
        <w:pStyle w:val="Heading3"/>
      </w:pPr>
      <w:r>
        <w:t>Vignette 1 — Anxiété réactionnelle chez un sujet jeune</w:t>
      </w:r>
    </w:p>
    <w:p>
      <w:r/>
      <w:r>
        <w:rPr>
          <w:b/>
        </w:rPr>
        <w:t>Présentation</w:t>
      </w:r>
      <w:r>
        <w:t xml:space="preserve"> : Mme A.K., 28 ans, étudiante en pharmacie, consulte pour anxiété majeure liée à la période d'examens. Anxiété évoluant depuis 3 semaines, avec palpitations, insomnie d'endormissement, difficultés de concentration. Pas d'antécédent psychiatrique. Pas de consommation d'alcool ni de tabac.</w:t>
      </w:r>
    </w:p>
    <w:p>
      <w:r/>
      <w:r>
        <w:rPr>
          <w:b/>
        </w:rPr>
        <w:t>Analyse</w:t>
      </w:r>
      <w:r>
        <w:t xml:space="preserve"> : Anxiété réactionnelle aiguë, contexte de stress psychosocial identifiable.</w:t>
      </w:r>
    </w:p>
    <w:p>
      <w:r/>
      <w:r>
        <w:rPr>
          <w:b/>
        </w:rPr>
        <w:t>Conduite à tenir</w:t>
      </w:r>
      <w:r>
        <w:t xml:space="preserve"> :</w:t>
      </w:r>
    </w:p>
    <w:p>
      <w:pPr>
        <w:pStyle w:val="ListNumber"/>
      </w:pPr>
      <w:r>
        <w:t>Réassurance et informations sur l'anxiété réactionnelle</w:t>
      </w:r>
    </w:p>
    <w:p>
      <w:pPr>
        <w:pStyle w:val="ListNumber"/>
      </w:pPr>
      <w:r>
        <w:t>Hygiène de vie (activité physique, sommeil régulier, éviction caféine après 16 h)</w:t>
      </w:r>
    </w:p>
    <w:p>
      <w:pPr>
        <w:pStyle w:val="ListNumber"/>
      </w:pPr>
      <w:r>
        <w:t>Techniques de relaxation (respiration abdominale, cohérence cardiaque)</w:t>
      </w:r>
    </w:p>
    <w:p>
      <w:pPr>
        <w:pStyle w:val="ListNumber"/>
      </w:pPr>
      <w:r>
        <w:t>Si échec à 2 semaines : LORAZÉPAM 0,5 mg en prise ponctuelle au moment des pics anxieux, durée max 4 semaines</w:t>
      </w:r>
    </w:p>
    <w:p>
      <w:pPr>
        <w:pStyle w:val="ListNumber"/>
      </w:pPr>
      <w:r>
        <w:t>Pas d'indication pour un traitement prolongé ; réévaluation psychiatrique si persistance au-delà de 4 semaines</w:t>
      </w:r>
    </w:p>
    <w:p>
      <w:r/>
      <w:r>
        <w:rPr>
          <w:b/>
        </w:rPr>
        <w:t>Pièges à éviter</w:t>
      </w:r>
      <w:r>
        <w:t xml:space="preserve"> :</w:t>
      </w:r>
    </w:p>
    <w:p>
      <w:pPr>
        <w:pStyle w:val="ListBullet"/>
      </w:pPr>
      <w:r>
        <w:t>Ne pas prescrire de BZD longue durée (diazépam, prazépam) : risque d'accumulation et de sédation diurne incompatible avec les études</w:t>
      </w:r>
    </w:p>
    <w:p>
      <w:pPr>
        <w:pStyle w:val="ListBullet"/>
      </w:pPr>
      <w:r>
        <w:t>Ne pas prescrire de bromazépam en première intention (puissance excessive pour une anxiété réactionnelle)</w:t>
      </w:r>
    </w:p>
    <w:p>
      <w:pPr>
        <w:pStyle w:val="ListBullet"/>
      </w:pPr>
      <w:r>
        <w:t>Informer sur les risques d'interaction avec l'alcool (soirées étudiantes)</w:t>
      </w:r>
    </w:p>
    <w:p>
      <w:pPr>
        <w:pStyle w:val="ListBullet"/>
      </w:pPr>
      <w:r>
        <w:t>Prévenir le patient que la prise nocturne peut entraîner une amnésie antérograde</w:t>
      </w:r>
    </w:p>
    <w:p>
      <w:pPr>
        <w:pStyle w:val="Heading3"/>
      </w:pPr>
      <w:r>
        <w:t>Vignette 2 — Anxiété chronique chez un sujet âgé</w:t>
      </w:r>
    </w:p>
    <w:p>
      <w:r/>
      <w:r>
        <w:rPr>
          <w:b/>
        </w:rPr>
        <w:t>Présentation</w:t>
      </w:r>
      <w:r>
        <w:t xml:space="preserve"> : M. M.B., 72 ans, retraité, hypertendu traité par amlodipine 5 mg, diabétique type 2 sous metformine 1000 mg ×2/jour. Consulte pour anxiété généralisée évoluant depuis 6 mois, avec asthénie, irritabilité, troubles du sommeil. A déjà reçu du diazépam 10 mg ×3/jour depuis 3 mois, prescrit par un généraliste. Le patient signale une somnolence diurne croissante et deux chutes récentes à domicile sans gravité.</w:t>
      </w:r>
    </w:p>
    <w:p>
      <w:r/>
      <w:r>
        <w:rPr>
          <w:b/>
        </w:rPr>
        <w:t>Analyse</w:t>
      </w:r>
      <w:r>
        <w:t xml:space="preserve"> : Anxiété chronique, dépendance probable au diazépam (3 mois d'usage), effets indésirables liés à l'accumulation (somnolence, chutes). Patient âgé à risque iatrogène majoré.</w:t>
      </w:r>
    </w:p>
    <w:p>
      <w:r/>
      <w:r>
        <w:rPr>
          <w:b/>
        </w:rPr>
        <w:t>Conduite à tenir</w:t>
      </w:r>
      <w:r>
        <w:t xml:space="preserve"> :</w:t>
      </w:r>
    </w:p>
    <w:p>
      <w:pPr>
        <w:pStyle w:val="ListNumber"/>
      </w:pPr>
      <w:r>
        <w:t>Évaluation psychiatrique : recherche d'une dépression sous-jacente</w:t>
      </w:r>
    </w:p>
    <w:p>
      <w:pPr>
        <w:pStyle w:val="ListNumber"/>
      </w:pPr>
      <w:r>
        <w:t>Décroissance progressive du diazépam : paliers de 1/8 toutes les 2 semaines</w:t>
      </w:r>
    </w:p>
    <w:p>
      <w:pPr>
        <w:pStyle w:val="ListNumber"/>
      </w:pPr>
      <w:r>
        <w:t>Relais possible par étifoxine 50 mg ×2/jour (alternative non dépendogène)</w:t>
      </w:r>
    </w:p>
    <w:p>
      <w:pPr>
        <w:pStyle w:val="ListNumber"/>
      </w:pPr>
      <w:r>
        <w:t>Surveillance de l'équilibre, des fonctions cognitives (MMSE), de la glycémie</w:t>
      </w:r>
    </w:p>
    <w:p>
      <w:pPr>
        <w:pStyle w:val="ListNumber"/>
      </w:pPr>
      <w:r>
        <w:t>Réévaluation du traitement antihypertenseur (interactions possibles)</w:t>
      </w:r>
    </w:p>
    <w:p>
      <w:pPr>
        <w:pStyle w:val="ListNumber"/>
      </w:pPr>
      <w:r>
        <w:t>Information du patient et de l'entourage sur les risques de chutes</w:t>
      </w:r>
    </w:p>
    <w:p>
      <w:r/>
      <w:r>
        <w:rPr>
          <w:b/>
        </w:rPr>
        <w:t>Pièges à éviter</w:t>
      </w:r>
      <w:r>
        <w:t xml:space="preserve"> :</w:t>
      </w:r>
    </w:p>
    <w:p>
      <w:pPr>
        <w:pStyle w:val="ListBullet"/>
      </w:pPr>
      <w:r>
        <w:t>Ne pas arrêter brutalement le diazépam (risque de convulsions)</w:t>
      </w:r>
    </w:p>
    <w:p>
      <w:pPr>
        <w:pStyle w:val="ListBullet"/>
      </w:pPr>
      <w:r>
        <w:t>Ne pas substituer par une autre BZD longue durée (prazépam, clorazépate)</w:t>
      </w:r>
    </w:p>
    <w:p>
      <w:pPr>
        <w:pStyle w:val="ListBullet"/>
      </w:pPr>
      <w:r>
        <w:t>Surveiller l'apparition d'un syndrome dépressif sous-jacent masqué par la BZD</w:t>
      </w:r>
    </w:p>
    <w:p>
      <w:pPr>
        <w:pStyle w:val="ListBullet"/>
      </w:pPr>
      <w:r>
        <w:t>Réévaluer la prescription de tous les psychotropes chez le sujet âgé</w:t>
      </w:r>
    </w:p>
    <w:p>
      <w:pPr>
        <w:pStyle w:val="Heading3"/>
      </w:pPr>
      <w:r>
        <w:t>Vignette 3 — Insomnie chronique chez un patient avec apnée du sommeil</w:t>
      </w:r>
    </w:p>
    <w:p>
      <w:r/>
      <w:r>
        <w:rPr>
          <w:b/>
        </w:rPr>
        <w:t>Présentation</w:t>
      </w:r>
      <w:r>
        <w:t xml:space="preserve"> : M. K.S., 58 ans, IMC 32, ronfleur, somnolence diurne, troubles de la concentration. Le patient demande un hypnotique pour insomnie avec réveils nocturnes fréquents.</w:t>
      </w:r>
    </w:p>
    <w:p>
      <w:r/>
      <w:r>
        <w:rPr>
          <w:b/>
        </w:rPr>
        <w:t>Analyse</w:t>
      </w:r>
      <w:r>
        <w:t xml:space="preserve"> : Symptomatologie évocatrice d'un syndrome d'apnée du sommeil (SAS). La prescription d'un hypnotique BZD est une </w:t>
      </w:r>
      <w:r>
        <w:rPr>
          <w:b/>
        </w:rPr>
        <w:t>contre-indication absolue</w:t>
      </w:r>
      <w:r>
        <w:t xml:space="preserve"> en raison du risque d'aggravation de l'apnée et de dépression respiratoire.</w:t>
      </w:r>
    </w:p>
    <w:p>
      <w:r/>
      <w:r>
        <w:rPr>
          <w:b/>
        </w:rPr>
        <w:t>Conduite à tenir</w:t>
      </w:r>
      <w:r>
        <w:t xml:space="preserve"> :</w:t>
      </w:r>
    </w:p>
    <w:p>
      <w:pPr>
        <w:pStyle w:val="ListNumber"/>
      </w:pPr>
      <w:r>
        <w:t>Dépistage du SAS : polysomnographie (consultation ORL ou pneumologie)</w:t>
      </w:r>
    </w:p>
    <w:p>
      <w:pPr>
        <w:pStyle w:val="ListNumber"/>
      </w:pPr>
      <w:r>
        <w:t>Refus de prescription d'hypnotique BZD (CI absolue)</w:t>
      </w:r>
    </w:p>
    <w:p>
      <w:pPr>
        <w:pStyle w:val="ListNumber"/>
      </w:pPr>
      <w:r>
        <w:t>Mesures d'hygiène de sommeil + perte de poids</w:t>
      </w:r>
    </w:p>
    <w:p>
      <w:pPr>
        <w:pStyle w:val="ListNumber"/>
      </w:pPr>
      <w:r>
        <w:t>Si SAS confirmé : traitement par PPC (Pression Positive Continue)</w:t>
      </w:r>
    </w:p>
    <w:p>
      <w:pPr>
        <w:pStyle w:val="ListNumber"/>
      </w:pPr>
      <w:r>
        <w:t>Si insomnie résiduelle après traitement du SAS : zolpidem possible sous surveillance, à discuter avec le pneumologue</w:t>
      </w:r>
    </w:p>
    <w:p>
      <w:r/>
      <w:r>
        <w:rPr>
          <w:b/>
        </w:rPr>
        <w:t>Pièges à éviter</w:t>
      </w:r>
      <w:r>
        <w:t xml:space="preserve"> :</w:t>
      </w:r>
    </w:p>
    <w:p>
      <w:pPr>
        <w:pStyle w:val="ListBullet"/>
      </w:pPr>
      <w:r>
        <w:t>Ne pas prescrire de zolpidem sans avoir éliminé un SAS chez un patient ronfleur, IMC &gt; 30, somnolent diurne</w:t>
      </w:r>
    </w:p>
    <w:p>
      <w:pPr>
        <w:pStyle w:val="ListBullet"/>
      </w:pPr>
      <w:r>
        <w:t>Ne pas banaliser une demande d'hypnotique chez un patient âgé avec ronflement</w:t>
      </w:r>
    </w:p>
    <w:p>
      <w:pPr>
        <w:pStyle w:val="ListBullet"/>
      </w:pPr>
      <w:r>
        <w:t>Le zolpidem est contre-indiqué en cas de SAS sévère non traité</w:t>
      </w:r>
    </w:p>
    <w:p>
      <w:pPr>
        <w:pStyle w:val="Heading3"/>
      </w:pPr>
      <w:r>
        <w:t>Vignette 4 — Suspicion de soumission chimique</w:t>
      </w:r>
    </w:p>
    <w:p>
      <w:r/>
      <w:r>
        <w:rPr>
          <w:b/>
        </w:rPr>
        <w:t>Présentation</w:t>
      </w:r>
      <w:r>
        <w:t xml:space="preserve"> : Mlle L.Y., 22 ans, étudiante, se présente aux urgences 12 h après une soirée en discothèque. Elle décrit une amnésie totale des 8 dernières heures, malgré une consommation d'alcool modérée (2 verres de vin). Elle se réveille chez elle sans comprendre comment elle est rentrée. Pas de traumatisme, pas de douleur.</w:t>
      </w:r>
    </w:p>
    <w:p>
      <w:r/>
      <w:r>
        <w:rPr>
          <w:b/>
        </w:rPr>
        <w:t>Analyse</w:t>
      </w:r>
      <w:r>
        <w:t xml:space="preserve"> : Symptomatologie évocatrice de soumission chimique (amnésie antérograde, désorientation, disproportion avec la consommation d'alcool).</w:t>
      </w:r>
    </w:p>
    <w:p>
      <w:r/>
      <w:r>
        <w:rPr>
          <w:b/>
        </w:rPr>
        <w:t>Conduite à tenir</w:t>
      </w:r>
      <w:r>
        <w:t xml:space="preserve"> :</w:t>
      </w:r>
    </w:p>
    <w:p>
      <w:pPr>
        <w:pStyle w:val="ListNumber"/>
      </w:pPr>
      <w:r/>
      <w:r>
        <w:rPr>
          <w:b/>
        </w:rPr>
        <w:t>Prélèvement urinaire immédiat</w:t>
      </w:r>
      <w:r>
        <w:t xml:space="preserve"> (dans les 72 h maximum, idéalement dans les 24 h)</w:t>
      </w:r>
    </w:p>
    <w:p>
      <w:pPr>
        <w:pStyle w:val="ListNumber"/>
      </w:pPr>
      <w:r>
        <w:t>Conservation pour analyse toxicologique : recherche de flunitrazépam, zolpidem, GHB, scopolamine, ketamine</w:t>
      </w:r>
    </w:p>
    <w:p>
      <w:pPr>
        <w:pStyle w:val="ListNumber"/>
      </w:pPr>
      <w:r>
        <w:t>Prélèvement sanguin avec hémogramme, bilan hépatique, alcoolémie</w:t>
      </w:r>
    </w:p>
    <w:p>
      <w:pPr>
        <w:pStyle w:val="ListNumber"/>
      </w:pPr>
      <w:r>
        <w:t>Examen gynécologique systématique (recherche d'agression sexuelle)</w:t>
      </w:r>
    </w:p>
    <w:p>
      <w:pPr>
        <w:pStyle w:val="ListNumber"/>
      </w:pPr>
      <w:r>
        <w:t>Dépôt de plainte et accompagnement médico-psychologique</w:t>
      </w:r>
    </w:p>
    <w:p>
      <w:pPr>
        <w:pStyle w:val="ListNumber"/>
      </w:pPr>
      <w:r>
        <w:t>Suivi à 1 semaine pour évaluation psychologique et dépistage des IST</w:t>
      </w:r>
    </w:p>
    <w:p>
      <w:r/>
      <w:r>
        <w:rPr>
          <w:b/>
        </w:rPr>
        <w:t>Pièges à éviter</w:t>
      </w:r>
      <w:r>
        <w:t xml:space="preserve"> :</w:t>
      </w:r>
    </w:p>
    <w:p>
      <w:pPr>
        <w:pStyle w:val="ListBullet"/>
      </w:pPr>
      <w:r>
        <w:t>Ne pas négliger la plainte : la soumission chimique est une réalité fréquente</w:t>
      </w:r>
    </w:p>
    <w:p>
      <w:pPr>
        <w:pStyle w:val="ListBullet"/>
      </w:pPr>
      <w:r>
        <w:t>Ne pas se limiter à la recherche de flunitrazépam (le zolpidem est aujourd'hui plus souvent en cause)</w:t>
      </w:r>
    </w:p>
    <w:p>
      <w:pPr>
        <w:pStyle w:val="ListBullet"/>
      </w:pPr>
      <w:r>
        <w:t>Prélèvement dans les 72 h maximum, idéalement &lt; 24 h</w:t>
      </w:r>
    </w:p>
    <w:p>
      <w:pPr>
        <w:pStyle w:val="ListBullet"/>
      </w:pPr>
      <w:r>
        <w:t>Conservation du prélèvement 1 mois (légalement 1 an)</w:t>
      </w:r>
    </w:p>
    <w:p>
      <w:pPr>
        <w:pStyle w:val="Heading3"/>
      </w:pPr>
      <w:r>
        <w:t>Vignette 5 — Surdosage volontaire aux benzodiazépines</w:t>
      </w:r>
    </w:p>
    <w:p>
      <w:r/>
      <w:r>
        <w:rPr>
          <w:b/>
        </w:rPr>
        <w:t>Présentation</w:t>
      </w:r>
      <w:r>
        <w:t xml:space="preserve"> : M. R.A., 35 ans, retrouvé inconscient à domicile avec une lettre d'adieu et plusieurs boîtes vides de bromazépam (estimé 120 mg) et de paracétamol (estimé 15 g). À l'arrivée du SAMU : coma (GCS 6), bradypnée (8 cycles/min), hypotension (90/60), myosis serré.</w:t>
      </w:r>
    </w:p>
    <w:p>
      <w:r/>
      <w:r>
        <w:rPr>
          <w:b/>
        </w:rPr>
        <w:t>Analyse</w:t>
      </w:r>
      <w:r>
        <w:t xml:space="preserve"> : Surdosage médicamenteux volontaire (bromazépam + paracétamol), dépression respiratoire, risque d'hépatotoxicité du paracétamol.</w:t>
      </w:r>
    </w:p>
    <w:p>
      <w:r/>
      <w:r>
        <w:rPr>
          <w:b/>
        </w:rPr>
        <w:t>Conduite à tenir</w:t>
      </w:r>
      <w:r>
        <w:t xml:space="preserve"> :</w:t>
      </w:r>
    </w:p>
    <w:p>
      <w:pPr>
        <w:pStyle w:val="ListNumber"/>
      </w:pPr>
      <w:r>
        <w:t>Intubation orotrachéale et ventilation mécanique en urgence</w:t>
      </w:r>
    </w:p>
    <w:p>
      <w:pPr>
        <w:pStyle w:val="ListNumber"/>
      </w:pPr>
      <w:r>
        <w:t>Voie veineuse périphérique + remplissage vasculaire</w:t>
      </w:r>
    </w:p>
    <w:p>
      <w:pPr>
        <w:pStyle w:val="ListNumber"/>
      </w:pPr>
      <w:r/>
      <w:r>
        <w:rPr>
          <w:b/>
        </w:rPr>
        <w:t>Flumazénil (Anexate®)</w:t>
      </w:r>
      <w:r>
        <w:t xml:space="preserve"> : 0,2 mg IV en 30 s, puis 0,1 mg/min jusqu'à 1 mg maximum (attention au risque de convulsions en cas d'intoxication mixte avec antidépresseurs tricycliques — à éliminer par ECG)</w:t>
      </w:r>
    </w:p>
    <w:p>
      <w:pPr>
        <w:pStyle w:val="ListNumber"/>
      </w:pPr>
      <w:r/>
      <w:r>
        <w:rPr>
          <w:b/>
        </w:rPr>
        <w:t>N-acétylcystéine (NAC)</w:t>
      </w:r>
      <w:r>
        <w:t xml:space="preserve"> : perfusion IV selon protocole (150 mg/kg sur 1 h, puis 50 mg/kg sur 4 h, puis 100 mg/kg sur 16 h) après dosage paracétamolémie</w:t>
      </w:r>
    </w:p>
    <w:p>
      <w:pPr>
        <w:pStyle w:val="ListNumber"/>
      </w:pPr>
      <w:r>
        <w:t>Hospitalisation en réanimation, surveillance continue 24 h</w:t>
      </w:r>
    </w:p>
    <w:p>
      <w:pPr>
        <w:pStyle w:val="ListNumber"/>
      </w:pPr>
      <w:r>
        <w:t>Évaluation psychiatrique systématique après réveil</w:t>
      </w:r>
    </w:p>
    <w:p>
      <w:r/>
      <w:r>
        <w:rPr>
          <w:b/>
        </w:rPr>
        <w:t>Pièges à éviter</w:t>
      </w:r>
      <w:r>
        <w:t xml:space="preserve"> :</w:t>
      </w:r>
    </w:p>
    <w:p>
      <w:pPr>
        <w:pStyle w:val="ListBullet"/>
      </w:pPr>
      <w:r>
        <w:t>Ne pas administrer de flumazénil sans avoir éliminé une intoxication associée par antidépresseurs tricycliques (ECG : élargissement QRS, allongement QT) — risque de convulsions majeures</w:t>
      </w:r>
    </w:p>
    <w:p>
      <w:pPr>
        <w:pStyle w:val="ListBullet"/>
      </w:pPr>
      <w:r>
        <w:t>Ne pas oublier le dosage de paracétamolémie (le paracétamol est souvent associé aux surdosages volontaires et l'hépatotoxicité peut être mortelle)</w:t>
      </w:r>
    </w:p>
    <w:p>
      <w:pPr>
        <w:pStyle w:val="ListBullet"/>
      </w:pPr>
      <w:r>
        <w:t>Surveillance prolongée en raison de la longue demi-vie du paracétamol et de la possible récidive de la dépression respiratoire après flumazénil (demi-vie courte 40–80 min vs BZD longue)</w:t>
      </w:r>
    </w:p>
    <w:p>
      <w:pPr>
        <w:pStyle w:val="Heading2"/>
      </w:pPr>
      <w:r>
        <w:t>Références Bibliographiques</w:t>
      </w:r>
    </w:p>
    <w:p>
      <w:pPr>
        <w:pStyle w:val="ListNumber"/>
      </w:pPr>
      <w:r/>
      <w:r>
        <w:rPr>
          <w:b/>
        </w:rPr>
        <w:t>ANSM</w:t>
      </w:r>
      <w:r>
        <w:t xml:space="preserve"> (Agence Nationale de Sécurité du Médicament). Recommandations de bon usage des benzodiazépines. Mise à jour 2020.</w:t>
      </w:r>
    </w:p>
    <w:p>
      <w:pPr>
        <w:pStyle w:val="ListNumber"/>
      </w:pPr>
      <w:r/>
      <w:r>
        <w:rPr>
          <w:b/>
        </w:rPr>
        <w:t>HAS</w:t>
      </w:r>
      <w:r>
        <w:t xml:space="preserve"> (Haute Autorité de Santé). Stratégie médicamenteuse du trouble anxieux généralisé de l'adulte. Recommandation de bonne pratique, 2007 (en cours de révision).</w:t>
      </w:r>
    </w:p>
    <w:p>
      <w:pPr>
        <w:pStyle w:val="ListNumber"/>
      </w:pPr>
      <w:r/>
      <w:r>
        <w:rPr>
          <w:b/>
        </w:rPr>
        <w:t>HAS</w:t>
      </w:r>
      <w:r>
        <w:t xml:space="preserve"> (Haute Autorité de Santé). Insomnie chronique : prise en charge. Recommandation de bonne pratique, 2019.</w:t>
      </w:r>
    </w:p>
    <w:p>
      <w:pPr>
        <w:pStyle w:val="ListNumber"/>
      </w:pPr>
      <w:r/>
      <w:r>
        <w:rPr>
          <w:b/>
        </w:rPr>
        <w:t>CRAT</w:t>
      </w:r>
      <w:r>
        <w:t xml:space="preserve"> (Centre de Renseignements sur les Agents Tératogènes). Données sur les benzodiazépines pendant la grossesse et l'allaitement. Mise à jour 2024.</w:t>
      </w:r>
    </w:p>
    <w:p>
      <w:pPr>
        <w:pStyle w:val="ListNumber"/>
      </w:pPr>
      <w:r/>
      <w:r>
        <w:rPr>
          <w:b/>
        </w:rPr>
        <w:t>VIDAL</w:t>
      </w:r>
      <w:r>
        <w:t>. Dictionnaire des médicaments. Édition 2024.</w:t>
      </w:r>
    </w:p>
    <w:p>
      <w:pPr>
        <w:pStyle w:val="ListNumber"/>
      </w:pPr>
      <w:r/>
      <w:r>
        <w:rPr>
          <w:b/>
        </w:rPr>
        <w:t>Thériaque</w:t>
      </w:r>
      <w:r>
        <w:t>. Banque de données pharmaceutiques (CNHIM). Mise à jour continue.</w:t>
      </w:r>
    </w:p>
    <w:p>
      <w:pPr>
        <w:pStyle w:val="ListNumber"/>
      </w:pPr>
      <w:r/>
      <w:r>
        <w:rPr>
          <w:b/>
        </w:rPr>
        <w:t>OMS</w:t>
      </w:r>
      <w:r>
        <w:t xml:space="preserve"> (Organisation mondiale de la Santé). ATC Index with DDDs. Édition 2024.</w:t>
      </w:r>
    </w:p>
    <w:p>
      <w:pPr>
        <w:pStyle w:val="ListNumber"/>
      </w:pPr>
      <w:r/>
      <w:r>
        <w:rPr>
          <w:b/>
        </w:rPr>
        <w:t>UpToDate</w:t>
      </w:r>
      <w:r>
        <w:t>. Pharmacotherapy for generalized anxiety disorder. Mise à jour 2024.</w:t>
      </w:r>
    </w:p>
    <w:p>
      <w:pPr>
        <w:pStyle w:val="ListNumber"/>
      </w:pPr>
      <w:r/>
      <w:r>
        <w:rPr>
          <w:b/>
        </w:rPr>
        <w:t>UpToDate</w:t>
      </w:r>
      <w:r>
        <w:t>. Treatment of insomnia in adults. Mise à jour 2024.</w:t>
      </w:r>
    </w:p>
    <w:p>
      <w:pPr>
        <w:pStyle w:val="ListNumber"/>
      </w:pPr>
      <w:r/>
      <w:r>
        <w:rPr>
          <w:b/>
        </w:rPr>
        <w:t>Micromedex</w:t>
      </w:r>
      <w:r>
        <w:t>. Drug information database. IBM Watson Health, 2024.</w:t>
      </w:r>
    </w:p>
    <w:p>
      <w:pPr>
        <w:pStyle w:val="ListNumber"/>
      </w:pPr>
      <w:r/>
      <w:r>
        <w:rPr>
          <w:b/>
        </w:rPr>
        <w:t>AFSSAPS</w:t>
      </w:r>
      <w:r>
        <w:t xml:space="preserve"> (devenue ANSM). Bon usage des benzodiazépines et apparentés. Lettre aux professionnels de santé, 2001.</w:t>
      </w:r>
    </w:p>
    <w:p>
      <w:pPr>
        <w:pStyle w:val="ListNumber"/>
      </w:pPr>
      <w:r/>
      <w:r>
        <w:rPr>
          <w:b/>
        </w:rPr>
        <w:t>AFSSAPS</w:t>
      </w:r>
      <w:r>
        <w:t>. Mise en garde sur l'association benzodiazépines - opioïdes. Lettre aux professionnels de santé, 2016.</w:t>
      </w:r>
    </w:p>
    <w:p>
      <w:pPr>
        <w:pStyle w:val="ListNumber"/>
      </w:pPr>
      <w:r/>
      <w:r>
        <w:rPr>
          <w:b/>
        </w:rPr>
        <w:t>FDA</w:t>
      </w:r>
      <w:r>
        <w:t xml:space="preserve"> (Food and Drug Administration). Boxed warning : Risks of combining benzodiazepines with opioid medications. 2016.</w:t>
      </w:r>
    </w:p>
    <w:p>
      <w:pPr>
        <w:pStyle w:val="ListNumber"/>
      </w:pPr>
      <w:r/>
      <w:r>
        <w:rPr>
          <w:b/>
        </w:rPr>
        <w:t>EMEA</w:t>
      </w:r>
      <w:r>
        <w:t xml:space="preserve"> (Agence européenne du médicament). Assessment report on benzodiazepines. 2006.</w:t>
      </w:r>
    </w:p>
    <w:p>
      <w:pPr>
        <w:pStyle w:val="ListNumber"/>
      </w:pPr>
      <w:r/>
      <w:r>
        <w:rPr>
          <w:b/>
        </w:rPr>
        <w:t>APA</w:t>
      </w:r>
      <w:r>
        <w:t xml:space="preserve"> (American Psychiatric Association). Practice guideline for the treatment of patients with panic disorder. 2nd edition, 2009.</w:t>
      </w:r>
    </w:p>
    <w:p>
      <w:pPr>
        <w:pStyle w:val="ListNumber"/>
      </w:pPr>
      <w:r/>
      <w:r>
        <w:rPr>
          <w:b/>
        </w:rPr>
        <w:t>NICE</w:t>
      </w:r>
      <w:r>
        <w:t xml:space="preserve"> (National Institute for Health and Care Excellence). Generalised anxiety disorder and panic disorder in adults : management. Clinical guideline CG113, 2011 (mise à jour 2020).</w:t>
      </w:r>
    </w:p>
    <w:p>
      <w:pPr>
        <w:pStyle w:val="ListNumber"/>
      </w:pPr>
      <w:r/>
      <w:r>
        <w:rPr>
          <w:b/>
        </w:rPr>
        <w:t>NICE</w:t>
      </w:r>
      <w:r>
        <w:t>. Insomnia : management. Clinical guideline, 2004 (mise à jour 2020).</w:t>
      </w:r>
    </w:p>
    <w:p>
      <w:pPr>
        <w:pStyle w:val="ListNumber"/>
      </w:pPr>
      <w:r/>
      <w:r>
        <w:rPr>
          <w:b/>
        </w:rPr>
        <w:t>Revue Prescrire</w:t>
      </w:r>
      <w:r>
        <w:t>. Benzodiazépines : éviter d'exposer les patients. Rev Prescrire 2020 ; 40 (440).</w:t>
      </w:r>
    </w:p>
    <w:p>
      <w:pPr>
        <w:pStyle w:val="ListNumber"/>
      </w:pPr>
      <w:r/>
      <w:r>
        <w:rPr>
          <w:b/>
        </w:rPr>
        <w:t>Revue Prescrire</w:t>
      </w:r>
      <w:r>
        <w:t>. Zolpidem et troubles du comportement liés au sommeil. Rev Prescrire 2019 ; 39 (430).</w:t>
      </w:r>
    </w:p>
    <w:p>
      <w:pPr>
        <w:pStyle w:val="ListNumber"/>
      </w:pPr>
      <w:r/>
      <w:r>
        <w:rPr>
          <w:b/>
        </w:rPr>
        <w:t>Ministère de la Santé algérien</w:t>
      </w:r>
      <w:r>
        <w:t>. Nomenclature des médicaments. Liste Avril 2026.</w:t>
      </w:r>
    </w:p>
    <w:p>
      <w:pPr>
        <w:pStyle w:val="ListNumber"/>
      </w:pPr>
      <w:r/>
      <w:r>
        <w:rPr>
          <w:b/>
        </w:rPr>
        <w:t>OMS</w:t>
      </w:r>
      <w:r>
        <w:t>. Checklist for medication safety in elderly. 2019.</w:t>
      </w:r>
    </w:p>
    <w:p>
      <w:pPr>
        <w:pStyle w:val="ListNumber"/>
      </w:pPr>
      <w:r/>
      <w:r>
        <w:rPr>
          <w:b/>
        </w:rPr>
        <w:t>Schifano F.</w:t>
      </w:r>
      <w:r>
        <w:t xml:space="preserve"> et al. The misuse of benzodiazepines and the emerging misuse of Z-drugs. J Clin Psychopharmacol 2019 ; 39 (5) : 493-501.</w:t>
      </w:r>
    </w:p>
    <w:p>
      <w:pPr>
        <w:pStyle w:val="ListNumber"/>
      </w:pPr>
      <w:r/>
      <w:r>
        <w:rPr>
          <w:b/>
        </w:rPr>
        <w:t>Voderholzer U.</w:t>
      </w:r>
      <w:r>
        <w:t xml:space="preserve"> et al. Insomnia : etiology, diagnosis and treatment. Dtsch Arztebl Int 2018 ; 115 :  393-400.</w:t>
      </w:r>
    </w:p>
    <w:p>
      <w:pPr>
        <w:pStyle w:val="ListNumber"/>
      </w:pPr>
      <w:r/>
      <w:r>
        <w:rPr>
          <w:b/>
        </w:rPr>
        <w:t>Authier N.</w:t>
      </w:r>
      <w:r>
        <w:t xml:space="preserve"> et al. Benzodiazepine dependence : focus on clinical aspects. Encephale 2020 ; 46 (3) : 209-217.</w:t>
      </w:r>
    </w:p>
    <w:p>
      <w:pPr>
        <w:pStyle w:val="ListNumber"/>
      </w:pPr>
      <w:r/>
      <w:r>
        <w:rPr>
          <w:b/>
        </w:rPr>
        <w:t>Vermeeren A.</w:t>
      </w:r>
      <w:r>
        <w:t xml:space="preserve"> Residual effects of hypnotics : epidemiology and clinical implications. CNS Drugs 2004 ; 18 (5) : 297-328.</w:t>
      </w:r>
    </w:p>
    <w:p>
      <w:pPr>
        <w:pStyle w:val="Heading2"/>
      </w:pPr>
      <w:r>
        <w:t>Glossaire</w:t>
      </w:r>
    </w:p>
    <w:p>
      <w:pPr>
        <w:pStyle w:val="ListBullet"/>
      </w:pPr>
      <w:r/>
      <w:r>
        <w:rPr>
          <w:b/>
        </w:rPr>
        <w:t>AMM</w:t>
      </w:r>
      <w:r>
        <w:t xml:space="preserve"> : Autorisation de Mise sur le Marché</w:t>
      </w:r>
    </w:p>
    <w:p>
      <w:pPr>
        <w:pStyle w:val="ListBullet"/>
      </w:pPr>
      <w:r/>
      <w:r>
        <w:rPr>
          <w:b/>
        </w:rPr>
        <w:t>ANSM</w:t>
      </w:r>
      <w:r>
        <w:t xml:space="preserve"> : Agence Nationale de Sécurité du Médicament (France)</w:t>
      </w:r>
    </w:p>
    <w:p>
      <w:pPr>
        <w:pStyle w:val="ListBullet"/>
      </w:pPr>
      <w:r/>
      <w:r>
        <w:rPr>
          <w:b/>
        </w:rPr>
        <w:t>BZD</w:t>
      </w:r>
      <w:r>
        <w:t xml:space="preserve"> : Benzodiazépine</w:t>
      </w:r>
    </w:p>
    <w:p>
      <w:pPr>
        <w:pStyle w:val="ListBullet"/>
      </w:pPr>
      <w:r/>
      <w:r>
        <w:rPr>
          <w:b/>
        </w:rPr>
        <w:t>CI</w:t>
      </w:r>
      <w:r>
        <w:t xml:space="preserve"> : Contre-indication</w:t>
      </w:r>
    </w:p>
    <w:p>
      <w:pPr>
        <w:pStyle w:val="ListBullet"/>
      </w:pPr>
      <w:r/>
      <w:r>
        <w:rPr>
          <w:b/>
        </w:rPr>
        <w:t>CYP</w:t>
      </w:r>
      <w:r>
        <w:t xml:space="preserve"> : Cytochrome P450 (enzymes du métabolisme hépatique)</w:t>
      </w:r>
    </w:p>
    <w:p>
      <w:pPr>
        <w:pStyle w:val="ListBullet"/>
      </w:pPr>
      <w:r/>
      <w:r>
        <w:rPr>
          <w:b/>
        </w:rPr>
        <w:t>CRAT</w:t>
      </w:r>
      <w:r>
        <w:t xml:space="preserve"> : Centre de Renseignements sur les Agents Tératogènes</w:t>
      </w:r>
    </w:p>
    <w:p>
      <w:pPr>
        <w:pStyle w:val="ListBullet"/>
      </w:pPr>
      <w:r/>
      <w:r>
        <w:rPr>
          <w:b/>
        </w:rPr>
        <w:t>EI</w:t>
      </w:r>
      <w:r>
        <w:t xml:space="preserve"> : Effet indésirable</w:t>
      </w:r>
    </w:p>
    <w:p>
      <w:pPr>
        <w:pStyle w:val="ListBullet"/>
      </w:pPr>
      <w:r/>
      <w:r>
        <w:rPr>
          <w:b/>
        </w:rPr>
        <w:t>FDA</w:t>
      </w:r>
      <w:r>
        <w:t xml:space="preserve"> : Food and Drug Administration (États-Unis)</w:t>
      </w:r>
    </w:p>
    <w:p>
      <w:pPr>
        <w:pStyle w:val="ListBullet"/>
      </w:pPr>
      <w:r/>
      <w:r>
        <w:rPr>
          <w:b/>
        </w:rPr>
        <w:t>GABA</w:t>
      </w:r>
      <w:r>
        <w:t xml:space="preserve"> : Acide γ-aminobutyrique (acide γ-aminobutyrique), principal neurotransmetteur inhibiteur du SNC</w:t>
      </w:r>
    </w:p>
    <w:p>
      <w:pPr>
        <w:pStyle w:val="ListBullet"/>
      </w:pPr>
      <w:r/>
      <w:r>
        <w:rPr>
          <w:b/>
        </w:rPr>
        <w:t>GABA-A</w:t>
      </w:r>
      <w:r>
        <w:t xml:space="preserve"> : Sous-type de récepteur du GABA, canalaire, sensible aux BZD, barbituriques, neurostéroïdes</w:t>
      </w:r>
    </w:p>
    <w:p>
      <w:pPr>
        <w:pStyle w:val="ListBullet"/>
      </w:pPr>
      <w:r/>
      <w:r>
        <w:rPr>
          <w:b/>
        </w:rPr>
        <w:t>HAS</w:t>
      </w:r>
      <w:r>
        <w:t xml:space="preserve"> : Haute Autorité de Santé (France)</w:t>
      </w:r>
    </w:p>
    <w:p>
      <w:pPr>
        <w:pStyle w:val="ListBullet"/>
      </w:pPr>
      <w:r/>
      <w:r>
        <w:rPr>
          <w:b/>
        </w:rPr>
        <w:t>IM</w:t>
      </w:r>
      <w:r>
        <w:t xml:space="preserve"> : Intramusculaire</w:t>
      </w:r>
    </w:p>
    <w:p>
      <w:pPr>
        <w:pStyle w:val="ListBullet"/>
      </w:pPr>
      <w:r/>
      <w:r>
        <w:rPr>
          <w:b/>
        </w:rPr>
        <w:t>IR</w:t>
      </w:r>
      <w:r>
        <w:t xml:space="preserve"> : Insuffisance respiratoire</w:t>
      </w:r>
    </w:p>
    <w:p>
      <w:pPr>
        <w:pStyle w:val="ListBullet"/>
      </w:pPr>
      <w:r/>
      <w:r>
        <w:rPr>
          <w:b/>
        </w:rPr>
        <w:t>IH</w:t>
      </w:r>
      <w:r>
        <w:t xml:space="preserve"> : Insuffisance hépatique</w:t>
      </w:r>
    </w:p>
    <w:p>
      <w:pPr>
        <w:pStyle w:val="ListBullet"/>
      </w:pPr>
      <w:r/>
      <w:r>
        <w:rPr>
          <w:b/>
        </w:rPr>
        <w:t>IV</w:t>
      </w:r>
      <w:r>
        <w:t xml:space="preserve"> : Intraveineuse</w:t>
      </w:r>
    </w:p>
    <w:p>
      <w:pPr>
        <w:pStyle w:val="ListBullet"/>
      </w:pPr>
      <w:r/>
      <w:r>
        <w:rPr>
          <w:b/>
        </w:rPr>
        <w:t>Liste I</w:t>
      </w:r>
      <w:r>
        <w:t xml:space="preserve"> : Liste des substances vénéneuses (prescription médicale obligatoire)</w:t>
      </w:r>
    </w:p>
    <w:p>
      <w:pPr>
        <w:pStyle w:val="ListBullet"/>
      </w:pPr>
      <w:r/>
      <w:r>
        <w:rPr>
          <w:b/>
        </w:rPr>
        <w:t>NAC</w:t>
      </w:r>
      <w:r>
        <w:t xml:space="preserve"> : N-acétylcystéine (antidote du paracétamol)</w:t>
      </w:r>
    </w:p>
    <w:p>
      <w:pPr>
        <w:pStyle w:val="ListBullet"/>
      </w:pPr>
      <w:r/>
      <w:r>
        <w:rPr>
          <w:b/>
        </w:rPr>
        <w:t>OMS</w:t>
      </w:r>
      <w:r>
        <w:t xml:space="preserve"> : Organisation mondiale de la Santé</w:t>
      </w:r>
    </w:p>
    <w:p>
      <w:pPr>
        <w:pStyle w:val="ListBullet"/>
      </w:pPr>
      <w:r/>
      <w:r>
        <w:rPr>
          <w:b/>
        </w:rPr>
        <w:t>PBR</w:t>
      </w:r>
      <w:r>
        <w:t xml:space="preserve"> : Peripheral Benzodiazepine Receptor (ancien nom de la TSPO)</w:t>
      </w:r>
    </w:p>
    <w:p>
      <w:pPr>
        <w:pStyle w:val="ListBullet"/>
      </w:pPr>
      <w:r/>
      <w:r>
        <w:rPr>
          <w:b/>
        </w:rPr>
        <w:t>RCP</w:t>
      </w:r>
      <w:r>
        <w:t xml:space="preserve"> : Résumé des Caractéristiques du Produit</w:t>
      </w:r>
    </w:p>
    <w:p>
      <w:pPr>
        <w:pStyle w:val="ListBullet"/>
      </w:pPr>
      <w:r/>
      <w:r>
        <w:rPr>
          <w:b/>
        </w:rPr>
        <w:t>SAS</w:t>
      </w:r>
      <w:r>
        <w:t xml:space="preserve"> : Syndrome d'Apnée du Sommeil</w:t>
      </w:r>
    </w:p>
    <w:p>
      <w:pPr>
        <w:pStyle w:val="ListBullet"/>
      </w:pPr>
      <w:r/>
      <w:r>
        <w:rPr>
          <w:b/>
        </w:rPr>
        <w:t>SNC</w:t>
      </w:r>
      <w:r>
        <w:t xml:space="preserve"> : Système Nerveux Central</w:t>
      </w:r>
    </w:p>
    <w:p>
      <w:pPr>
        <w:pStyle w:val="ListBullet"/>
      </w:pPr>
      <w:r/>
      <w:r>
        <w:rPr>
          <w:b/>
        </w:rPr>
        <w:t>TCC</w:t>
      </w:r>
      <w:r>
        <w:t xml:space="preserve"> : Thérapies Cognitivo-Comportementales</w:t>
      </w:r>
    </w:p>
    <w:p>
      <w:pPr>
        <w:pStyle w:val="ListBullet"/>
      </w:pPr>
      <w:r/>
      <w:r>
        <w:rPr>
          <w:b/>
        </w:rPr>
        <w:t>TSPO</w:t>
      </w:r>
      <w:r>
        <w:t xml:space="preserve"> : Translocator Protein 18 kDa (récepteur mitochondrial des neurostéroïdes)</w:t>
      </w:r>
    </w:p>
    <w:p>
      <w:pPr>
        <w:pStyle w:val="ListBullet"/>
      </w:pPr>
      <w:r/>
      <w:r>
        <w:rPr>
          <w:b/>
        </w:rPr>
        <w:t>ω1</w:t>
      </w:r>
      <w:r>
        <w:t xml:space="preserve"> : Site de liaison allostérique sur le récepteur GABA-A, correspondant à la sous-unité α1 (effet sédatif/hypnotique)</w:t>
      </w:r>
    </w:p>
    <w:p>
      <w:pPr>
        <w:pStyle w:val="ListBullet"/>
      </w:pPr>
      <w:r/>
      <w:r>
        <w:rPr>
          <w:b/>
        </w:rPr>
        <w:t>ω2</w:t>
      </w:r>
      <w:r>
        <w:t xml:space="preserve"> : Site de liaison allostérique sur le récepteur GABA-A, correspondant à la sous-unité α2 (effet anxiolytique/myorelaxant)</w:t>
      </w:r>
    </w:p>
    <w:p>
      <w:r/>
      <w:r>
        <w:rPr>
          <w:i/>
        </w:rPr>
        <w:t>Fin du Chapitre 82 — Anxiolytiques et Hypnotiques</w:t>
      </w:r>
      <w:r/>
    </w:p>
    <w:p>
      <w:pPr>
        <w:pStyle w:val="Heading2"/>
      </w:pPr>
      <w:r>
        <w:t>Annexe — Tableau des Équivalences entre Benzodiazépines</w:t>
      </w:r>
    </w:p>
    <w:p>
      <w:r>
        <w:t xml:space="preserve">L'équivalence entre benzodiazépines est essentielle pour la </w:t>
      </w:r>
      <w:r>
        <w:rPr>
          <w:b/>
        </w:rPr>
        <w:t>substitution</w:t>
      </w:r>
      <w:r>
        <w:t xml:space="preserve"> et la </w:t>
      </w:r>
      <w:r>
        <w:rPr>
          <w:b/>
        </w:rPr>
        <w:t>décroissance progressive</w:t>
      </w:r>
      <w:r>
        <w:t xml:space="preserve"> chez les patients dépendants. Le tableau ci-dessous présente les équivalences en termes d'effet anxiolytique (et non hypnotique), en prenant pour référence le diazépam (10 mg). Ces équivalences sont approximatives et doivent être adaptées à chaque patient en fonction de la tolérance et des comorbidités.</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DCI</w:t>
            </w:r>
          </w:p>
        </w:tc>
        <w:tc>
          <w:tcPr>
            <w:tcW w:type="dxa" w:w="1871"/>
          </w:tcPr>
          <w:p>
            <w:r>
              <w:rPr>
                <w:b/>
                <w:sz w:val="20"/>
              </w:rPr>
              <w:t>Dose équivalente à 10 mg de diazépam</w:t>
            </w:r>
          </w:p>
        </w:tc>
        <w:tc>
          <w:tcPr>
            <w:tcW w:type="dxa" w:w="1871"/>
          </w:tcPr>
          <w:p>
            <w:r>
              <w:rPr>
                <w:b/>
                <w:sz w:val="20"/>
              </w:rPr>
              <w:t>Délai d'action</w:t>
            </w:r>
          </w:p>
        </w:tc>
        <w:tc>
          <w:tcPr>
            <w:tcW w:type="dxa" w:w="1871"/>
          </w:tcPr>
          <w:p>
            <w:r>
              <w:rPr>
                <w:b/>
                <w:sz w:val="20"/>
              </w:rPr>
              <w:t>Pic plasmatique</w:t>
            </w:r>
          </w:p>
        </w:tc>
        <w:tc>
          <w:tcPr>
            <w:tcW w:type="dxa" w:w="1871"/>
          </w:tcPr>
          <w:p>
            <w:r>
              <w:rPr>
                <w:b/>
                <w:sz w:val="20"/>
              </w:rPr>
              <w:t>Demi-vie (h)</w:t>
            </w:r>
          </w:p>
        </w:tc>
      </w:tr>
      <w:tr>
        <w:tc>
          <w:tcPr>
            <w:tcW w:type="dxa" w:w="1871"/>
          </w:tcPr>
          <w:p>
            <w:r>
              <w:rPr>
                <w:sz w:val="20"/>
              </w:rPr>
              <w:t>**Diazépam**</w:t>
            </w:r>
          </w:p>
        </w:tc>
        <w:tc>
          <w:tcPr>
            <w:tcW w:type="dxa" w:w="1871"/>
          </w:tcPr>
          <w:p>
            <w:r>
              <w:rPr>
                <w:sz w:val="20"/>
              </w:rPr>
              <w:t>10 mg</w:t>
            </w:r>
          </w:p>
        </w:tc>
        <w:tc>
          <w:tcPr>
            <w:tcW w:type="dxa" w:w="1871"/>
          </w:tcPr>
          <w:p>
            <w:r>
              <w:rPr>
                <w:sz w:val="20"/>
              </w:rPr>
              <w:t>15–30 min</w:t>
            </w:r>
          </w:p>
        </w:tc>
        <w:tc>
          <w:tcPr>
            <w:tcW w:type="dxa" w:w="1871"/>
          </w:tcPr>
          <w:p>
            <w:r>
              <w:rPr>
                <w:sz w:val="20"/>
              </w:rPr>
              <w:t>1–2 h</w:t>
            </w:r>
          </w:p>
        </w:tc>
        <w:tc>
          <w:tcPr>
            <w:tcW w:type="dxa" w:w="1871"/>
          </w:tcPr>
          <w:p>
            <w:r>
              <w:rPr>
                <w:sz w:val="20"/>
              </w:rPr>
              <w:t>20–50 (métabolites 100)</w:t>
            </w:r>
          </w:p>
        </w:tc>
      </w:tr>
      <w:tr>
        <w:tc>
          <w:tcPr>
            <w:tcW w:type="dxa" w:w="1871"/>
          </w:tcPr>
          <w:p>
            <w:r>
              <w:rPr>
                <w:sz w:val="20"/>
              </w:rPr>
              <w:t>**Lorazépam**</w:t>
            </w:r>
          </w:p>
        </w:tc>
        <w:tc>
          <w:tcPr>
            <w:tcW w:type="dxa" w:w="1871"/>
          </w:tcPr>
          <w:p>
            <w:r>
              <w:rPr>
                <w:sz w:val="20"/>
              </w:rPr>
              <w:t>1 mg</w:t>
            </w:r>
          </w:p>
        </w:tc>
        <w:tc>
          <w:tcPr>
            <w:tcW w:type="dxa" w:w="1871"/>
          </w:tcPr>
          <w:p>
            <w:r>
              <w:rPr>
                <w:sz w:val="20"/>
              </w:rPr>
              <w:t>20–30 min</w:t>
            </w:r>
          </w:p>
        </w:tc>
        <w:tc>
          <w:tcPr>
            <w:tcW w:type="dxa" w:w="1871"/>
          </w:tcPr>
          <w:p>
            <w:r>
              <w:rPr>
                <w:sz w:val="20"/>
              </w:rPr>
              <w:t>2 h</w:t>
            </w:r>
          </w:p>
        </w:tc>
        <w:tc>
          <w:tcPr>
            <w:tcW w:type="dxa" w:w="1871"/>
          </w:tcPr>
          <w:p>
            <w:r>
              <w:rPr>
                <w:sz w:val="20"/>
              </w:rPr>
              <w:t>10–20</w:t>
            </w:r>
          </w:p>
        </w:tc>
      </w:tr>
      <w:tr>
        <w:tc>
          <w:tcPr>
            <w:tcW w:type="dxa" w:w="1871"/>
          </w:tcPr>
          <w:p>
            <w:r>
              <w:rPr>
                <w:sz w:val="20"/>
              </w:rPr>
              <w:t>**Bromazépam**</w:t>
            </w:r>
          </w:p>
        </w:tc>
        <w:tc>
          <w:tcPr>
            <w:tcW w:type="dxa" w:w="1871"/>
          </w:tcPr>
          <w:p>
            <w:r>
              <w:rPr>
                <w:sz w:val="20"/>
              </w:rPr>
              <w:t>6 mg</w:t>
            </w:r>
          </w:p>
        </w:tc>
        <w:tc>
          <w:tcPr>
            <w:tcW w:type="dxa" w:w="1871"/>
          </w:tcPr>
          <w:p>
            <w:r>
              <w:rPr>
                <w:sz w:val="20"/>
              </w:rPr>
              <w:t>20–30 min</w:t>
            </w:r>
          </w:p>
        </w:tc>
        <w:tc>
          <w:tcPr>
            <w:tcW w:type="dxa" w:w="1871"/>
          </w:tcPr>
          <w:p>
            <w:r>
              <w:rPr>
                <w:sz w:val="20"/>
              </w:rPr>
              <w:t>1–4 h</w:t>
            </w:r>
          </w:p>
        </w:tc>
        <w:tc>
          <w:tcPr>
            <w:tcW w:type="dxa" w:w="1871"/>
          </w:tcPr>
          <w:p>
            <w:r>
              <w:rPr>
                <w:sz w:val="20"/>
              </w:rPr>
              <w:t>10–20</w:t>
            </w:r>
          </w:p>
        </w:tc>
      </w:tr>
      <w:tr>
        <w:tc>
          <w:tcPr>
            <w:tcW w:type="dxa" w:w="1871"/>
          </w:tcPr>
          <w:p>
            <w:r>
              <w:rPr>
                <w:sz w:val="20"/>
              </w:rPr>
              <w:t>**Prazépam**</w:t>
            </w:r>
          </w:p>
        </w:tc>
        <w:tc>
          <w:tcPr>
            <w:tcW w:type="dxa" w:w="1871"/>
          </w:tcPr>
          <w:p>
            <w:r>
              <w:rPr>
                <w:sz w:val="20"/>
              </w:rPr>
              <w:t>20 mg (prodrogue → nordazépam)</w:t>
            </w:r>
          </w:p>
        </w:tc>
        <w:tc>
          <w:tcPr>
            <w:tcW w:type="dxa" w:w="1871"/>
          </w:tcPr>
          <w:p>
            <w:r>
              <w:rPr>
                <w:sz w:val="20"/>
              </w:rPr>
              <w:t>1–3 h</w:t>
            </w:r>
          </w:p>
        </w:tc>
        <w:tc>
          <w:tcPr>
            <w:tcW w:type="dxa" w:w="1871"/>
          </w:tcPr>
          <w:p>
            <w:r>
              <w:rPr>
                <w:sz w:val="20"/>
              </w:rPr>
              <w:t>6 h</w:t>
            </w:r>
          </w:p>
        </w:tc>
        <w:tc>
          <w:tcPr>
            <w:tcW w:type="dxa" w:w="1871"/>
          </w:tcPr>
          <w:p>
            <w:r>
              <w:rPr>
                <w:sz w:val="20"/>
              </w:rPr>
              <w:t>30–150 (nordazépam)</w:t>
            </w:r>
          </w:p>
        </w:tc>
      </w:tr>
      <w:tr>
        <w:tc>
          <w:tcPr>
            <w:tcW w:type="dxa" w:w="1871"/>
          </w:tcPr>
          <w:p>
            <w:r>
              <w:rPr>
                <w:sz w:val="20"/>
              </w:rPr>
              <w:t>**Clorazépate**</w:t>
            </w:r>
          </w:p>
        </w:tc>
        <w:tc>
          <w:tcPr>
            <w:tcW w:type="dxa" w:w="1871"/>
          </w:tcPr>
          <w:p>
            <w:r>
              <w:rPr>
                <w:sz w:val="20"/>
              </w:rPr>
              <w:t>10 mg (prodrogue → nordazépam)</w:t>
            </w:r>
          </w:p>
        </w:tc>
        <w:tc>
          <w:tcPr>
            <w:tcW w:type="dxa" w:w="1871"/>
          </w:tcPr>
          <w:p>
            <w:r>
              <w:rPr>
                <w:sz w:val="20"/>
              </w:rPr>
              <w:t>30 min</w:t>
            </w:r>
          </w:p>
        </w:tc>
        <w:tc>
          <w:tcPr>
            <w:tcW w:type="dxa" w:w="1871"/>
          </w:tcPr>
          <w:p>
            <w:r>
              <w:rPr>
                <w:sz w:val="20"/>
              </w:rPr>
              <w:t>1–2 h</w:t>
            </w:r>
          </w:p>
        </w:tc>
        <w:tc>
          <w:tcPr>
            <w:tcW w:type="dxa" w:w="1871"/>
          </w:tcPr>
          <w:p>
            <w:r>
              <w:rPr>
                <w:sz w:val="20"/>
              </w:rPr>
              <w:t>30–150 (nordazépam)</w:t>
            </w:r>
          </w:p>
        </w:tc>
      </w:tr>
      <w:tr>
        <w:tc>
          <w:tcPr>
            <w:tcW w:type="dxa" w:w="1871"/>
          </w:tcPr>
          <w:p>
            <w:r>
              <w:rPr>
                <w:sz w:val="20"/>
              </w:rPr>
              <w:t>**Chlordiazépoxide**</w:t>
            </w:r>
          </w:p>
        </w:tc>
        <w:tc>
          <w:tcPr>
            <w:tcW w:type="dxa" w:w="1871"/>
          </w:tcPr>
          <w:p>
            <w:r>
              <w:rPr>
                <w:sz w:val="20"/>
              </w:rPr>
              <w:t>25 mg</w:t>
            </w:r>
          </w:p>
        </w:tc>
        <w:tc>
          <w:tcPr>
            <w:tcW w:type="dxa" w:w="1871"/>
          </w:tcPr>
          <w:p>
            <w:r>
              <w:rPr>
                <w:sz w:val="20"/>
              </w:rPr>
              <w:t>1–4 h</w:t>
            </w:r>
          </w:p>
        </w:tc>
        <w:tc>
          <w:tcPr>
            <w:tcW w:type="dxa" w:w="1871"/>
          </w:tcPr>
          <w:p>
            <w:r>
              <w:rPr>
                <w:sz w:val="20"/>
              </w:rPr>
              <w:t>2–4 h</w:t>
            </w:r>
          </w:p>
        </w:tc>
        <w:tc>
          <w:tcPr>
            <w:tcW w:type="dxa" w:w="1871"/>
          </w:tcPr>
          <w:p>
            <w:r>
              <w:rPr>
                <w:sz w:val="20"/>
              </w:rPr>
              <w:t>5–30 (métabolites 95)</w:t>
            </w:r>
          </w:p>
        </w:tc>
      </w:tr>
      <w:tr>
        <w:tc>
          <w:tcPr>
            <w:tcW w:type="dxa" w:w="1871"/>
          </w:tcPr>
          <w:p>
            <w:r>
              <w:rPr>
                <w:sz w:val="20"/>
              </w:rPr>
              <w:t>**Clonazépam**</w:t>
            </w:r>
          </w:p>
        </w:tc>
        <w:tc>
          <w:tcPr>
            <w:tcW w:type="dxa" w:w="1871"/>
          </w:tcPr>
          <w:p>
            <w:r>
              <w:rPr>
                <w:sz w:val="20"/>
              </w:rPr>
              <w:t>0,5 mg</w:t>
            </w:r>
          </w:p>
        </w:tc>
        <w:tc>
          <w:tcPr>
            <w:tcW w:type="dxa" w:w="1871"/>
          </w:tcPr>
          <w:p>
            <w:r>
              <w:rPr>
                <w:sz w:val="20"/>
              </w:rPr>
              <w:t>30–60 min</w:t>
            </w:r>
          </w:p>
        </w:tc>
        <w:tc>
          <w:tcPr>
            <w:tcW w:type="dxa" w:w="1871"/>
          </w:tcPr>
          <w:p>
            <w:r>
              <w:rPr>
                <w:sz w:val="20"/>
              </w:rPr>
              <w:t>1–4 h</w:t>
            </w:r>
          </w:p>
        </w:tc>
        <w:tc>
          <w:tcPr>
            <w:tcW w:type="dxa" w:w="1871"/>
          </w:tcPr>
          <w:p>
            <w:r>
              <w:rPr>
                <w:sz w:val="20"/>
              </w:rPr>
              <w:t>20–60</w:t>
            </w:r>
          </w:p>
        </w:tc>
      </w:tr>
      <w:tr>
        <w:tc>
          <w:tcPr>
            <w:tcW w:type="dxa" w:w="1871"/>
          </w:tcPr>
          <w:p>
            <w:r>
              <w:rPr>
                <w:sz w:val="20"/>
              </w:rPr>
              <w:t>**Flunitrazépam**</w:t>
            </w:r>
          </w:p>
        </w:tc>
        <w:tc>
          <w:tcPr>
            <w:tcW w:type="dxa" w:w="1871"/>
          </w:tcPr>
          <w:p>
            <w:r>
              <w:rPr>
                <w:sz w:val="20"/>
              </w:rPr>
              <w:t>1 mg</w:t>
            </w:r>
          </w:p>
        </w:tc>
        <w:tc>
          <w:tcPr>
            <w:tcW w:type="dxa" w:w="1871"/>
          </w:tcPr>
          <w:p>
            <w:r>
              <w:rPr>
                <w:sz w:val="20"/>
              </w:rPr>
              <w:t>15–30 min</w:t>
            </w:r>
          </w:p>
        </w:tc>
        <w:tc>
          <w:tcPr>
            <w:tcW w:type="dxa" w:w="1871"/>
          </w:tcPr>
          <w:p>
            <w:r>
              <w:rPr>
                <w:sz w:val="20"/>
              </w:rPr>
              <w:t>1 h</w:t>
            </w:r>
          </w:p>
        </w:tc>
        <w:tc>
          <w:tcPr>
            <w:tcW w:type="dxa" w:w="1871"/>
          </w:tcPr>
          <w:p>
            <w:r>
              <w:rPr>
                <w:sz w:val="20"/>
              </w:rPr>
              <w:t>18–26 (métabolite 40)</w:t>
            </w:r>
          </w:p>
        </w:tc>
      </w:tr>
      <w:tr>
        <w:tc>
          <w:tcPr>
            <w:tcW w:type="dxa" w:w="1871"/>
          </w:tcPr>
          <w:p>
            <w:r>
              <w:rPr>
                <w:sz w:val="20"/>
              </w:rPr>
              <w:t>**Nitrazépam**</w:t>
            </w:r>
          </w:p>
        </w:tc>
        <w:tc>
          <w:tcPr>
            <w:tcW w:type="dxa" w:w="1871"/>
          </w:tcPr>
          <w:p>
            <w:r>
              <w:rPr>
                <w:sz w:val="20"/>
              </w:rPr>
              <w:t>5 mg</w:t>
            </w:r>
          </w:p>
        </w:tc>
        <w:tc>
          <w:tcPr>
            <w:tcW w:type="dxa" w:w="1871"/>
          </w:tcPr>
          <w:p>
            <w:r>
              <w:rPr>
                <w:sz w:val="20"/>
              </w:rPr>
              <w:t>15–30 min</w:t>
            </w:r>
          </w:p>
        </w:tc>
        <w:tc>
          <w:tcPr>
            <w:tcW w:type="dxa" w:w="1871"/>
          </w:tcPr>
          <w:p>
            <w:r>
              <w:rPr>
                <w:sz w:val="20"/>
              </w:rPr>
              <w:t>2 h</w:t>
            </w:r>
          </w:p>
        </w:tc>
        <w:tc>
          <w:tcPr>
            <w:tcW w:type="dxa" w:w="1871"/>
          </w:tcPr>
          <w:p>
            <w:r>
              <w:rPr>
                <w:sz w:val="20"/>
              </w:rPr>
              <w:t>15–38 (métabolite 70)</w:t>
            </w:r>
          </w:p>
        </w:tc>
      </w:tr>
      <w:tr>
        <w:tc>
          <w:tcPr>
            <w:tcW w:type="dxa" w:w="1871"/>
          </w:tcPr>
          <w:p>
            <w:r>
              <w:rPr>
                <w:sz w:val="20"/>
              </w:rPr>
              <w:t>**Zolpidem**</w:t>
            </w:r>
          </w:p>
        </w:tc>
        <w:tc>
          <w:tcPr>
            <w:tcW w:type="dxa" w:w="1871"/>
          </w:tcPr>
          <w:p>
            <w:r>
              <w:rPr>
                <w:sz w:val="20"/>
              </w:rPr>
              <w:t>10 mg (effet hypnotique pur)</w:t>
            </w:r>
          </w:p>
        </w:tc>
        <w:tc>
          <w:tcPr>
            <w:tcW w:type="dxa" w:w="1871"/>
          </w:tcPr>
          <w:p>
            <w:r>
              <w:rPr>
                <w:sz w:val="20"/>
              </w:rPr>
              <w:t>15–30 min</w:t>
            </w:r>
          </w:p>
        </w:tc>
        <w:tc>
          <w:tcPr>
            <w:tcW w:type="dxa" w:w="1871"/>
          </w:tcPr>
          <w:p>
            <w:r>
              <w:rPr>
                <w:sz w:val="20"/>
              </w:rPr>
              <w:t>1–2 h</w:t>
            </w:r>
          </w:p>
        </w:tc>
        <w:tc>
          <w:tcPr>
            <w:tcW w:type="dxa" w:w="1871"/>
          </w:tcPr>
          <w:p>
            <w:r>
              <w:rPr>
                <w:sz w:val="20"/>
              </w:rPr>
              <w:t>2–3</w:t>
            </w:r>
          </w:p>
        </w:tc>
      </w:tr>
    </w:tbl>
    <w:p/>
    <w:p>
      <w:pPr>
        <w:pStyle w:val="Heading3"/>
      </w:pPr>
      <w:r>
        <w:t>Notes importantes sur les équivalences</w:t>
      </w:r>
    </w:p>
    <w:p>
      <w:pPr>
        <w:pStyle w:val="ListNumber"/>
      </w:pPr>
      <w:r/>
      <w:r>
        <w:rPr>
          <w:b/>
        </w:rPr>
        <w:t>Variabilité interindividuelle</w:t>
      </w:r>
      <w:r>
        <w:t xml:space="preserve"> : Les équivalences sont approximatives et varient selon les individus, en particulier chez le sujet âgé et l'insuffisant hépatique.</w:t>
      </w:r>
    </w:p>
    <w:p>
      <w:pPr>
        <w:pStyle w:val="ListNumber"/>
      </w:pPr>
      <w:r/>
      <w:r>
        <w:rPr>
          <w:b/>
        </w:rPr>
        <w:t>Effet différentiel</w:t>
      </w:r>
      <w:r>
        <w:t xml:space="preserve"> : Certaines BZD ont un effet anxiolytique prédominant (lorazépam, bromazépam), tandis que d'autres ont un effet hypnotique prédominant (flunitrazépam, nitrazépam, zolpidem). L'équivalence « diazépam » reflète l'effet anxiolytique.</w:t>
      </w:r>
    </w:p>
    <w:p>
      <w:pPr>
        <w:pStyle w:val="ListNumber"/>
      </w:pPr>
      <w:r/>
      <w:r>
        <w:rPr>
          <w:b/>
        </w:rPr>
        <w:t>Substitution</w:t>
      </w:r>
      <w:r>
        <w:t xml:space="preserve"> : Pour la décroissance chez un patient dépendant, privilégier la conversion vers le </w:t>
      </w:r>
      <w:r>
        <w:rPr>
          <w:b/>
        </w:rPr>
        <w:t>diazépam</w:t>
      </w:r>
      <w:r>
        <w:t xml:space="preserve"> (longue demi-vie, stabilité pharmacocinétique). Éviter la substitution par une BZD courte demi-vie (risque de sevrage entre les prises).</w:t>
      </w:r>
    </w:p>
    <w:p>
      <w:pPr>
        <w:pStyle w:val="ListNumber"/>
      </w:pPr>
      <w:r/>
      <w:r>
        <w:rPr>
          <w:b/>
        </w:rPr>
        <w:t>Règle de sécurité</w:t>
      </w:r>
      <w:r>
        <w:t xml:space="preserve"> : Toujours débuter la décroissance par une dose réduite (palier initial de 1/8 à 1/4 de la dose équivalente), en surveillant étroitement l'apparition de signes de sevrage.</w:t>
      </w:r>
    </w:p>
    <w:p>
      <w:pPr>
        <w:pStyle w:val="Heading2"/>
      </w:pPr>
      <w:r>
        <w:t>Annexe — Schéma Pharmacologique du Récepteur GABA-A</w:t>
      </w:r>
    </w:p>
    <w:p>
      <w:r>
        <w:t xml:space="preserve">Le récepteur GABA-A est un canal ionique pentamérique de la famille des récepteurs cys-loop, composé de </w:t>
      </w:r>
      <w:r>
        <w:rPr>
          <w:b/>
        </w:rPr>
        <w:t>cinq sous-unités</w:t>
      </w:r>
      <w:r>
        <w:t xml:space="preserve"> assemblées autour d'un canal chlore central. Chez l'homme, 19 sous-unités ont été identifiées (α1-6, β1-3, γ1-3, δ, ε, π, θ, ρ1-3), mais la composition la plus fréquente dans le cerveau est </w:t>
      </w:r>
      <w:r>
        <w:rPr>
          <w:b/>
        </w:rPr>
        <w:t>2α + 2β + 1γ</w:t>
      </w:r>
      <w:r>
        <w:t xml:space="preserve"> (généralement α1β2γ2, α2β3γ2, α3β3γ2, α5β3γ2).</w:t>
      </w:r>
    </w:p>
    <w:p>
      <w:pPr>
        <w:pStyle w:val="Heading3"/>
      </w:pPr>
      <w:r>
        <w:t>Sites de liaison allostérique</w:t>
      </w:r>
    </w:p>
    <w:p>
      <w:pPr>
        <w:pStyle w:val="ListBullet"/>
      </w:pPr>
      <w:r/>
      <w:r>
        <w:rPr>
          <w:b/>
        </w:rPr>
        <w:t>Site GABA</w:t>
      </w:r>
      <w:r>
        <w:t xml:space="preserve"> : interface β/α (entre les sous-unités β et α), où le GABA endogène se fixe pour ouvrir le canal chlore</w:t>
      </w:r>
    </w:p>
    <w:p>
      <w:pPr>
        <w:pStyle w:val="ListBullet"/>
      </w:pPr>
      <w:r/>
      <w:r>
        <w:rPr>
          <w:b/>
        </w:rPr>
        <w:t>Site ω (BZD)</w:t>
      </w:r>
      <w:r>
        <w:t xml:space="preserve"> : interface α/γ (entre les sous-unités α et γ), où se fixent les benzodiazépines</w:t>
      </w:r>
    </w:p>
    <w:p>
      <w:pPr>
        <w:pStyle w:val="ListBullet"/>
      </w:pPr>
      <w:r/>
      <w:r>
        <w:rPr>
          <w:b/>
        </w:rPr>
        <w:t>Site ω1 = sous-unité α1</w:t>
      </w:r>
      <w:r>
        <w:t xml:space="preserve"> : effet sédatif/hypnotique/amnésiant (cible du zolpidem)</w:t>
      </w:r>
    </w:p>
    <w:p>
      <w:pPr>
        <w:pStyle w:val="ListBullet"/>
      </w:pPr>
      <w:r/>
      <w:r>
        <w:rPr>
          <w:b/>
        </w:rPr>
        <w:t>Site ω2 = sous-unité α2</w:t>
      </w:r>
      <w:r>
        <w:t xml:space="preserve"> : effet anxiolytique/myorelaxant</w:t>
      </w:r>
    </w:p>
    <w:p>
      <w:pPr>
        <w:pStyle w:val="ListBullet"/>
      </w:pPr>
      <w:r/>
      <w:r>
        <w:rPr>
          <w:b/>
        </w:rPr>
        <w:t>Site ω3 = sous-unité α3</w:t>
      </w:r>
      <w:r>
        <w:t xml:space="preserve"> : effet anxiolytique</w:t>
      </w:r>
    </w:p>
    <w:p>
      <w:pPr>
        <w:pStyle w:val="ListBullet"/>
      </w:pPr>
      <w:r/>
      <w:r>
        <w:rPr>
          <w:b/>
        </w:rPr>
        <w:t>Site ω5 = sous-unité α5</w:t>
      </w:r>
      <w:r>
        <w:t xml:space="preserve"> : effet sur la mémoire spatiale et la cognition</w:t>
      </w:r>
    </w:p>
    <w:p>
      <w:pPr>
        <w:pStyle w:val="ListBullet"/>
      </w:pPr>
      <w:r/>
      <w:r>
        <w:rPr>
          <w:b/>
        </w:rPr>
        <w:t>Site barbiturique</w:t>
      </w:r>
      <w:r>
        <w:t xml:space="preserve"> : interface α/β, augmente la durée d'ouverture du canal (peut activer seul le récepteur à forte dose)</w:t>
      </w:r>
    </w:p>
    <w:p>
      <w:pPr>
        <w:pStyle w:val="ListBullet"/>
      </w:pPr>
      <w:r/>
      <w:r>
        <w:rPr>
          <w:b/>
        </w:rPr>
        <w:t>Site neurostéroïde</w:t>
      </w:r>
      <w:r>
        <w:t xml:space="preserve"> : dans le domaine transmembranaire, modulé par l'allopregnanolone (cible de l'étifoxine via la TSPO)</w:t>
      </w:r>
    </w:p>
    <w:p>
      <w:pPr>
        <w:pStyle w:val="ListBullet"/>
      </w:pPr>
      <w:r/>
      <w:r>
        <w:rPr>
          <w:b/>
        </w:rPr>
        <w:t>Site éthanol</w:t>
      </w:r>
      <w:r>
        <w:t xml:space="preserve"> : dans le domaine transmembranaire</w:t>
      </w:r>
    </w:p>
    <w:p>
      <w:pPr>
        <w:pStyle w:val="ListBullet"/>
      </w:pPr>
      <w:r/>
      <w:r>
        <w:rPr>
          <w:b/>
        </w:rPr>
        <w:t>Site picrotoxine</w:t>
      </w:r>
      <w:r>
        <w:t xml:space="preserve"> : dans le canal, antagoniste non compétitif (bloqueur du canal)</w:t>
      </w:r>
    </w:p>
    <w:p>
      <w:pPr>
        <w:pStyle w:val="Heading3"/>
      </w:pPr>
      <w:r>
        <w:t>Mécanisme de modulation positive</w:t>
      </w:r>
    </w:p>
    <w:p>
      <w:pPr>
        <w:pStyle w:val="ListNumber"/>
      </w:pPr>
      <w:r/>
      <w:r>
        <w:rPr>
          <w:b/>
        </w:rPr>
        <w:t>GABA seul</w:t>
      </w:r>
      <w:r>
        <w:t xml:space="preserve"> : ouvre le canal chlore avec une fréquence basale faible, hypopolarisation modérée</w:t>
      </w:r>
    </w:p>
    <w:p>
      <w:pPr>
        <w:pStyle w:val="ListNumber"/>
      </w:pPr>
      <w:r/>
      <w:r>
        <w:rPr>
          <w:b/>
        </w:rPr>
        <w:t>Benzodiazépine + GABA</w:t>
      </w:r>
      <w:r>
        <w:t xml:space="preserve"> : augmente la fréquence d'ouverture du canal en présence de GABA endogène (modulateur allostérique positif)</w:t>
      </w:r>
    </w:p>
    <w:p>
      <w:pPr>
        <w:pStyle w:val="ListNumber"/>
      </w:pPr>
      <w:r/>
      <w:r>
        <w:rPr>
          <w:b/>
        </w:rPr>
        <w:t>Barbiturique + GABA</w:t>
      </w:r>
      <w:r>
        <w:t xml:space="preserve"> : augmente la durée d'ouverture du canal en présence de GABA endogène, et peut activer seul le récepteur à forte dose (risque de dépression respiratoire en surdosage)</w:t>
      </w:r>
    </w:p>
    <w:p>
      <w:pPr>
        <w:pStyle w:val="ListNumber"/>
      </w:pPr>
      <w:r/>
      <w:r>
        <w:rPr>
          <w:b/>
        </w:rPr>
        <w:t>Zolpidem + GABA</w:t>
      </w:r>
      <w:r>
        <w:t xml:space="preserve"> : augmente la fréquence d'ouverture uniquement sur les récepteurs contenant la sous-unité α1 (sélectivité ω1)</w:t>
      </w:r>
    </w:p>
    <w:p>
      <w:pPr>
        <w:pStyle w:val="ListNumber"/>
      </w:pPr>
      <w:r/>
      <w:r>
        <w:rPr>
          <w:b/>
        </w:rPr>
        <w:t>Neurostéroïdes + GABA</w:t>
      </w:r>
      <w:r>
        <w:t xml:space="preserve"> : augmentent la durée d'ouverture du canal, effet puissant (allopregnanolone)</w:t>
      </w:r>
    </w:p>
    <w:p>
      <w:pPr>
        <w:pStyle w:val="ListNumber"/>
      </w:pPr>
      <w:r/>
      <w:r>
        <w:rPr>
          <w:b/>
        </w:rPr>
        <w:t>Étifoxine</w:t>
      </w:r>
      <w:r>
        <w:t xml:space="preserve"> : action double — modulateur allostérique positif du GABA-A (site différent des BZD) + stimulation de la TSPO mitochondriale → synthèse de neurostéroïdes</w:t>
      </w:r>
    </w:p>
    <w:p>
      <w:pPr>
        <w:pStyle w:val="Heading3"/>
      </w:pPr>
      <w:r>
        <w:t>Conséquences cliniques</w:t>
      </w:r>
    </w:p>
    <w:p>
      <w:pPr>
        <w:pStyle w:val="ListBullet"/>
      </w:pPr>
      <w:r>
        <w:t xml:space="preserve">L'effet purement </w:t>
      </w:r>
      <w:r>
        <w:rPr>
          <w:b/>
        </w:rPr>
        <w:t>modulateur allostérique positif</w:t>
      </w:r>
      <w:r>
        <w:t xml:space="preserve"> des BZD (nécessité de GABA endogène pour l'effet) explique leur </w:t>
      </w:r>
      <w:r>
        <w:rPr>
          <w:b/>
        </w:rPr>
        <w:t>sécurité relative en surdosage isolé</w:t>
      </w:r>
      <w:r>
        <w:t xml:space="preserve"> (pas d'activation directe du récepteur)</w:t>
      </w:r>
    </w:p>
    <w:p>
      <w:pPr>
        <w:pStyle w:val="ListBullet"/>
      </w:pPr>
      <w:r>
        <w:t>L'</w:t>
      </w:r>
      <w:r>
        <w:rPr>
          <w:b/>
        </w:rPr>
        <w:t>absence de sélectivité</w:t>
      </w:r>
      <w:r>
        <w:t xml:space="preserve"> des BZD (action sur tous les sites ω1, ω2, ω3, ω5) explique leur profil polymorphe : anxiolytique + sédatif + myorelaxant + amnésiant</w:t>
      </w:r>
    </w:p>
    <w:p>
      <w:pPr>
        <w:pStyle w:val="ListBullet"/>
      </w:pPr>
      <w:r>
        <w:t xml:space="preserve">La </w:t>
      </w:r>
      <w:r>
        <w:rPr>
          <w:b/>
        </w:rPr>
        <w:t>sélectivité ω1 du zolpidem</w:t>
      </w:r>
      <w:r>
        <w:t xml:space="preserve"> explique son profil purement hypnotique, sans effet anxiolytique ni myorelaxant marqué</w:t>
      </w:r>
    </w:p>
    <w:p>
      <w:pPr>
        <w:pStyle w:val="ListBullet"/>
      </w:pPr>
      <w:r>
        <w:t>L'action de l'</w:t>
      </w:r>
      <w:r>
        <w:rPr>
          <w:b/>
        </w:rPr>
        <w:t>étifoxine sur la TSPO</w:t>
      </w:r>
      <w:r>
        <w:t xml:space="preserve"> explique son absence de dépendance et son profil anxiolytique pur sans sédation majeure</w:t>
      </w:r>
    </w:p>
    <w:p>
      <w:pPr>
        <w:pStyle w:val="Heading2"/>
      </w:pPr>
      <w:r>
        <w:t>Annexe — Délivrance et Réglementation Algérienne</w:t>
      </w:r>
    </w:p>
    <w:p>
      <w:pPr>
        <w:pStyle w:val="Heading3"/>
      </w:pPr>
      <w:r>
        <w:t>Liste I (substances vénéneuses)</w:t>
      </w:r>
    </w:p>
    <w:p>
      <w:r>
        <w:t xml:space="preserve">Toutes les benzodiazépines et apparentés traités dans ce chapitre sont inscrits sur la </w:t>
      </w:r>
      <w:r>
        <w:rPr>
          <w:b/>
        </w:rPr>
        <w:t>Liste I</w:t>
      </w:r>
      <w:r>
        <w:t xml:space="preserve"> des substances vénéneuses en Algérie. La délivrance nécessite :</w:t>
      </w:r>
    </w:p>
    <w:p>
      <w:pPr>
        <w:pStyle w:val="ListBullet"/>
      </w:pPr>
      <w:r/>
      <w:r>
        <w:rPr>
          <w:b/>
        </w:rPr>
        <w:t>Ordonnance médicale</w:t>
      </w:r>
      <w:r>
        <w:t xml:space="preserve"> obligatoire</w:t>
      </w:r>
    </w:p>
    <w:p>
      <w:pPr>
        <w:pStyle w:val="ListBullet"/>
      </w:pPr>
      <w:r/>
      <w:r>
        <w:rPr>
          <w:b/>
        </w:rPr>
        <w:t>Durée de prescription</w:t>
      </w:r>
      <w:r>
        <w:t xml:space="preserve"> limitée (généralement 28 jours pour les anxiolytiques, 14 jours pour les hypnotiques)</w:t>
      </w:r>
    </w:p>
    <w:p>
      <w:pPr>
        <w:pStyle w:val="ListBullet"/>
      </w:pPr>
      <w:r/>
      <w:r>
        <w:rPr>
          <w:b/>
        </w:rPr>
        <w:t>Renouvellement</w:t>
      </w:r>
      <w:r>
        <w:t xml:space="preserve"> : possible avec ordonnance, mais le pharmacien doit être vigilant sur la durée totale de traitement</w:t>
      </w:r>
    </w:p>
    <w:p>
      <w:pPr>
        <w:pStyle w:val="Heading3"/>
      </w:pPr>
      <w:r>
        <w:t>Stupéfiants</w:t>
      </w:r>
    </w:p>
    <w:p>
      <w:r>
        <w:t xml:space="preserve">Le </w:t>
      </w:r>
      <w:r>
        <w:rPr>
          <w:b/>
        </w:rPr>
        <w:t>flunitrazépam</w:t>
      </w:r>
      <w:r>
        <w:t xml:space="preserve"> est classé comme </w:t>
      </w:r>
      <w:r>
        <w:rPr>
          <w:b/>
        </w:rPr>
        <w:t>stupéfiant</w:t>
      </w:r>
      <w:r>
        <w:t xml:space="preserve"> en Algérie. La délivrance nécessite :</w:t>
      </w:r>
    </w:p>
    <w:p>
      <w:pPr>
        <w:pStyle w:val="ListBullet"/>
      </w:pPr>
      <w:r/>
      <w:r>
        <w:rPr>
          <w:b/>
        </w:rPr>
        <w:t>Ordonnance sécurisée</w:t>
      </w:r>
      <w:r>
        <w:t xml:space="preserve"> (papier à en-tête officiel, mentions obligatoires)</w:t>
      </w:r>
    </w:p>
    <w:p>
      <w:pPr>
        <w:pStyle w:val="ListBullet"/>
      </w:pPr>
      <w:r/>
      <w:r>
        <w:rPr>
          <w:b/>
        </w:rPr>
        <w:t>Nom du patient</w:t>
      </w:r>
      <w:r>
        <w:t xml:space="preserve"> et </w:t>
      </w:r>
      <w:r>
        <w:rPr>
          <w:b/>
        </w:rPr>
        <w:t>quantité en toutes lettres</w:t>
      </w:r>
      <w:r/>
    </w:p>
    <w:p>
      <w:pPr>
        <w:pStyle w:val="ListBullet"/>
      </w:pPr>
      <w:r/>
      <w:r>
        <w:rPr>
          <w:b/>
        </w:rPr>
        <w:t>Délivrance limitée à 7 jours</w:t>
      </w:r>
      <w:r/>
    </w:p>
    <w:p>
      <w:pPr>
        <w:pStyle w:val="ListBullet"/>
      </w:pPr>
      <w:r/>
      <w:r>
        <w:rPr>
          <w:b/>
        </w:rPr>
        <w:t>Conservation sous clé</w:t>
      </w:r>
      <w:r>
        <w:t xml:space="preserve"> à l'officine</w:t>
      </w:r>
    </w:p>
    <w:p>
      <w:pPr>
        <w:pStyle w:val="ListBullet"/>
      </w:pPr>
      <w:r>
        <w:t>En pratique, le flunitrazépam n'est plus commercialisé en Algérie (retrait du marché)</w:t>
      </w:r>
    </w:p>
    <w:p>
      <w:pPr>
        <w:pStyle w:val="Heading3"/>
      </w:pPr>
      <w:r>
        <w:t>Suivi pharmaco-épidémiologique</w:t>
      </w:r>
    </w:p>
    <w:p>
      <w:r>
        <w:t>Le pharmacien d'officine joue un rôle pivot dans la surveillance de l'usage des anxiolytiques et hypnotiques :</w:t>
      </w:r>
    </w:p>
    <w:p>
      <w:pPr>
        <w:pStyle w:val="ListBullet"/>
      </w:pPr>
      <w:r/>
      <w:r>
        <w:rPr>
          <w:b/>
        </w:rPr>
        <w:t>Repérage des prescriptions prolongées</w:t>
      </w:r>
      <w:r>
        <w:t xml:space="preserve"> au-delà des recommandations (4–12 semaines pour les BZD anxiolytiques, 4 semaines pour les hypnotiques)</w:t>
      </w:r>
    </w:p>
    <w:p>
      <w:pPr>
        <w:pStyle w:val="ListBullet"/>
      </w:pPr>
      <w:r/>
      <w:r>
        <w:rPr>
          <w:b/>
        </w:rPr>
        <w:t>Détection des patients dépendants</w:t>
      </w:r>
      <w:r>
        <w:t xml:space="preserve"> : patients demandant des renouvellements fréquents, multipliant les prescripteurs, présentant des signes de sevrage</w:t>
      </w:r>
    </w:p>
    <w:p>
      <w:pPr>
        <w:pStyle w:val="ListBullet"/>
      </w:pPr>
      <w:r/>
      <w:r>
        <w:rPr>
          <w:b/>
        </w:rPr>
        <w:t>Information du patient</w:t>
      </w:r>
      <w:r>
        <w:t xml:space="preserve"> sur les risques de dépendance, de sevrage et d'interactions</w:t>
      </w:r>
    </w:p>
    <w:p>
      <w:pPr>
        <w:pStyle w:val="ListBullet"/>
      </w:pPr>
      <w:r/>
      <w:r>
        <w:rPr>
          <w:b/>
        </w:rPr>
        <w:t>Orientation vers le médecin</w:t>
      </w:r>
      <w:r>
        <w:t xml:space="preserve"> pour réévaluation</w:t>
      </w:r>
    </w:p>
    <w:p>
      <w:pPr>
        <w:pStyle w:val="ListBullet"/>
      </w:pPr>
      <w:r/>
      <w:r>
        <w:rPr>
          <w:b/>
        </w:rPr>
        <w:t>Signalement des cas de mésusage</w:t>
      </w:r>
      <w:r>
        <w:t xml:space="preserve"> ou de soumission chimique aux autorités sanitaires</w:t>
      </w:r>
    </w:p>
    <w:p>
      <w:pPr>
        <w:pStyle w:val="Heading3"/>
      </w:pPr>
      <w:r>
        <w:t>Bonnes pratiques de délivrance au comptoir</w:t>
      </w:r>
    </w:p>
    <w:p>
      <w:pPr>
        <w:pStyle w:val="ListNumber"/>
      </w:pPr>
      <w:r/>
      <w:r>
        <w:rPr>
          <w:b/>
        </w:rPr>
        <w:t>Vérifier l'ordonnance</w:t>
      </w:r>
      <w:r>
        <w:t xml:space="preserve"> : identité du prescripteur, identité du patient, dose prescrite, durée de prescription</w:t>
      </w:r>
    </w:p>
    <w:p>
      <w:pPr>
        <w:pStyle w:val="ListNumber"/>
      </w:pPr>
      <w:r/>
      <w:r>
        <w:rPr>
          <w:b/>
        </w:rPr>
        <w:t>Vérifier la date</w:t>
      </w:r>
      <w:r>
        <w:t xml:space="preserve"> : les ordonnances de Liste I sont valables 1 an en Algérie, mais la prudence invite à demander au patient de revoir son médecin si la prescription est ancienne</w:t>
      </w:r>
    </w:p>
    <w:p>
      <w:pPr>
        <w:pStyle w:val="ListNumber"/>
      </w:pPr>
      <w:r/>
      <w:r>
        <w:rPr>
          <w:b/>
        </w:rPr>
        <w:t>Vérifier les associations médicamenteuses</w:t>
      </w:r>
      <w:r>
        <w:t xml:space="preserve"> : pas de BZD + opioïdes, pas de BZD + alcool, pas de cumul de plusieurs BZD</w:t>
      </w:r>
    </w:p>
    <w:p>
      <w:pPr>
        <w:pStyle w:val="ListNumber"/>
      </w:pPr>
      <w:r/>
      <w:r>
        <w:rPr>
          <w:b/>
        </w:rPr>
        <w:t>Information du patient</w:t>
      </w:r>
      <w:r>
        <w:t xml:space="preserve"> : durée du traitement, mode de prise, effets indésirables, précautions</w:t>
      </w:r>
    </w:p>
    <w:p>
      <w:pPr>
        <w:pStyle w:val="ListNumber"/>
      </w:pPr>
      <w:r/>
      <w:r>
        <w:rPr>
          <w:b/>
        </w:rPr>
        <w:t>Carnet de suivi</w:t>
      </w:r>
      <w:r>
        <w:t xml:space="preserve"> : tenir un registre des prescriptions prolongées de BZD au comptoir pour repérer les patients à risque de dépendance</w:t>
      </w:r>
    </w:p>
    <w:p>
      <w:pPr>
        <w:pStyle w:val="ListNumber"/>
      </w:pPr>
      <w:r/>
      <w:r>
        <w:rPr>
          <w:b/>
        </w:rPr>
        <w:t>Conseil de décroissance</w:t>
      </w:r>
      <w:r>
        <w:t xml:space="preserve"> : si un patient présente une ordonnance de renouvellement pour une BZD prescrite depuis plus de 12 semaines, lui conseiller de demander à son médecin un protocole de décroissance progressive</w:t>
      </w:r>
    </w:p>
    <w:p>
      <w:pPr>
        <w:pStyle w:val="ListNumber"/>
      </w:pPr>
      <w:r/>
      <w:r>
        <w:rPr>
          <w:b/>
        </w:rPr>
        <w:t>Signalement</w:t>
      </w:r>
      <w:r>
        <w:t xml:space="preserve"> : tout cas de soumission chimique suspectée doit être signalé aux autorités ( Centre antipoison, autorités de police)</w:t>
      </w:r>
    </w:p>
    <w:p>
      <w:r/>
      <w:r>
        <w:rPr>
          <w:i/>
        </w:rPr>
        <w:t>Fin du Chapitre 82 — Anxiolytiques et Hypnotiques</w:t>
      </w:r>
      <w:r/>
    </w:p>
    <w:p>
      <w:pPr>
        <w:pStyle w:val="Heading2"/>
      </w:pPr>
      <w:r>
        <w:t>Annexe — Critères d'Évaluation de la Prescription Rationnelle</w:t>
      </w:r>
    </w:p>
    <w:p>
      <w:r>
        <w:t>L'évaluation de la qualité de la prescription des anxiolytiques et hypnotiques est un élément essentiel de la pharmacovigilance et de l'amélioration des pratiques professionnelles. Les critères ci-dessous, adaptés des recommandations HAS et ANSM, permettent au pharmacien d'officine et au médecin d'évaluer la conformité d'une prescription.</w:t>
      </w:r>
    </w:p>
    <w:p>
      <w:pPr>
        <w:pStyle w:val="Heading3"/>
      </w:pPr>
      <w:r>
        <w:t>1. Critères de prescription appropriée</w:t>
      </w:r>
    </w:p>
    <w:p>
      <w:pPr>
        <w:pStyle w:val="ListBullet"/>
      </w:pPr>
      <w:r/>
      <w:r>
        <w:rPr>
          <w:b/>
        </w:rPr>
        <w:t>Indication valide</w:t>
      </w:r>
      <w:r>
        <w:t xml:space="preserve"> : anxiété invalidante (échelle HAMA ≥ 18), insomnie (échelle d'Athènes ≥ 6) avec retentissement fonctionnel</w:t>
      </w:r>
    </w:p>
    <w:p>
      <w:pPr>
        <w:pStyle w:val="ListBullet"/>
      </w:pPr>
      <w:r/>
      <w:r>
        <w:rPr>
          <w:b/>
        </w:rPr>
        <w:t>Échec préalable des mesures non pharmacologiques</w:t>
      </w:r>
      <w:r>
        <w:t xml:space="preserve"> : TCC, hygiène de vie, hygiène de sommeil</w:t>
      </w:r>
    </w:p>
    <w:p>
      <w:pPr>
        <w:pStyle w:val="ListBullet"/>
      </w:pPr>
      <w:r/>
      <w:r>
        <w:rPr>
          <w:b/>
        </w:rPr>
        <w:t>Dose minimale efficace</w:t>
      </w:r>
      <w:r>
        <w:t xml:space="preserve"> : respect des posologies recommandées</w:t>
      </w:r>
    </w:p>
    <w:p>
      <w:pPr>
        <w:pStyle w:val="ListBullet"/>
      </w:pPr>
      <w:r/>
      <w:r>
        <w:rPr>
          <w:b/>
        </w:rPr>
        <w:t>Durée de prescription conforme</w:t>
      </w:r>
      <w:r>
        <w:t xml:space="preserve"> : 4–12 semaines pour les BZD anxiolytiques, 4 semaines pour les hypnotiques</w:t>
      </w:r>
    </w:p>
    <w:p>
      <w:pPr>
        <w:pStyle w:val="ListBullet"/>
      </w:pPr>
      <w:r/>
      <w:r>
        <w:rPr>
          <w:b/>
        </w:rPr>
        <w:t>Suivi régulier</w:t>
      </w:r>
      <w:r>
        <w:t xml:space="preserve"> : réévaluation à 2 semaines puis 4 semaines</w:t>
      </w:r>
    </w:p>
    <w:p>
      <w:pPr>
        <w:pStyle w:val="ListBullet"/>
      </w:pPr>
      <w:r/>
      <w:r>
        <w:rPr>
          <w:b/>
        </w:rPr>
        <w:t>Plan d'arrêt progressif</w:t>
      </w:r>
      <w:r>
        <w:t xml:space="preserve"> prévu dès l'initiation</w:t>
      </w:r>
    </w:p>
    <w:p>
      <w:pPr>
        <w:pStyle w:val="ListBullet"/>
      </w:pPr>
      <w:r/>
      <w:r>
        <w:rPr>
          <w:b/>
        </w:rPr>
        <w:t>Information du patient</w:t>
      </w:r>
      <w:r>
        <w:t xml:space="preserve"> : risques de dépendance, de sevrage, d'interactions</w:t>
      </w:r>
    </w:p>
    <w:p>
      <w:pPr>
        <w:pStyle w:val="Heading3"/>
      </w:pPr>
      <w:r>
        <w:t>2. Critères de prescription inappropriée</w:t>
      </w:r>
    </w:p>
    <w:p>
      <w:pPr>
        <w:pStyle w:val="ListBullet"/>
      </w:pPr>
      <w:r/>
      <w:r>
        <w:rPr>
          <w:b/>
        </w:rPr>
        <w:t>Absence d'indication valide</w:t>
      </w:r>
      <w:r>
        <w:t xml:space="preserve"> : anxiété sans retentissement fonctionnel</w:t>
      </w:r>
    </w:p>
    <w:p>
      <w:pPr>
        <w:pStyle w:val="ListBullet"/>
      </w:pPr>
      <w:r/>
      <w:r>
        <w:rPr>
          <w:b/>
        </w:rPr>
        <w:t>Absence d'évaluation préalable</w:t>
      </w:r>
      <w:r>
        <w:t xml:space="preserve"> : pas de recherche de cause organique (hyperthyroïdie), de comorbidité psychiatrique (dépression), de risque suicidaire</w:t>
      </w:r>
    </w:p>
    <w:p>
      <w:pPr>
        <w:pStyle w:val="ListBullet"/>
      </w:pPr>
      <w:r/>
      <w:r>
        <w:rPr>
          <w:b/>
        </w:rPr>
        <w:t>Dose excessive</w:t>
      </w:r>
      <w:r>
        <w:t xml:space="preserve"> : supérieure aux posologies recommandées</w:t>
      </w:r>
    </w:p>
    <w:p>
      <w:pPr>
        <w:pStyle w:val="ListBullet"/>
      </w:pPr>
      <w:r/>
      <w:r>
        <w:rPr>
          <w:b/>
        </w:rPr>
        <w:t>Durée excessive</w:t>
      </w:r>
      <w:r>
        <w:t xml:space="preserve"> : au-delà de 12 semaines pour les BZD anxiolytiques, 4 semaines pour les hypnotiques</w:t>
      </w:r>
    </w:p>
    <w:p>
      <w:pPr>
        <w:pStyle w:val="ListBullet"/>
      </w:pPr>
      <w:r/>
      <w:r>
        <w:rPr>
          <w:b/>
        </w:rPr>
        <w:t>Absence de suivi</w:t>
      </w:r>
      <w:r>
        <w:t xml:space="preserve"> : pas de réévaluation programmée</w:t>
      </w:r>
    </w:p>
    <w:p>
      <w:pPr>
        <w:pStyle w:val="ListBullet"/>
      </w:pPr>
      <w:r/>
      <w:r>
        <w:rPr>
          <w:b/>
        </w:rPr>
        <w:t>Association à d'autres dépresseurs du SNC</w:t>
      </w:r>
      <w:r>
        <w:t xml:space="preserve"> : BZD + opioïdes, BZD + alcool, cumul de plusieurs BZD</w:t>
      </w:r>
    </w:p>
    <w:p>
      <w:pPr>
        <w:pStyle w:val="ListBullet"/>
      </w:pPr>
      <w:r/>
      <w:r>
        <w:rPr>
          <w:b/>
        </w:rPr>
        <w:t>Prescription chez le sujet âgé sans adaptation posologique</w:t>
      </w:r>
      <w:r>
        <w:t xml:space="preserve"> : pas de réduction de dose de moitié</w:t>
      </w:r>
    </w:p>
    <w:p>
      <w:pPr>
        <w:pStyle w:val="ListBullet"/>
      </w:pPr>
      <w:r/>
      <w:r>
        <w:rPr>
          <w:b/>
        </w:rPr>
        <w:t>Prescription chez la femme enceinte sans évaluation du rapport bénéfice/risque</w:t>
      </w:r>
      <w:r/>
    </w:p>
    <w:p>
      <w:pPr>
        <w:pStyle w:val="Heading3"/>
      </w:pPr>
      <w:r>
        <w:t>3. Indicateurs de pharmacodépendance</w:t>
      </w:r>
    </w:p>
    <w:p>
      <w:pPr>
        <w:pStyle w:val="ListBullet"/>
      </w:pPr>
      <w:r/>
      <w:r>
        <w:rPr>
          <w:b/>
        </w:rPr>
        <w:t>Demande de renouvellement</w:t>
      </w:r>
      <w:r>
        <w:t xml:space="preserve"> à fréquence rapprochée (avant la fin de la durée théorique du traitement)</w:t>
      </w:r>
    </w:p>
    <w:p>
      <w:pPr>
        <w:pStyle w:val="ListBullet"/>
      </w:pPr>
      <w:r/>
      <w:r>
        <w:rPr>
          <w:b/>
        </w:rPr>
        <w:t>Multi-prescripteurs</w:t>
      </w:r>
      <w:r>
        <w:t xml:space="preserve"> : consultation de plusieurs médecins pour obtenir des prescriptions</w:t>
      </w:r>
    </w:p>
    <w:p>
      <w:pPr>
        <w:pStyle w:val="ListBullet"/>
      </w:pPr>
      <w:r/>
      <w:r>
        <w:rPr>
          <w:b/>
        </w:rPr>
        <w:t>Augmentation de la dose</w:t>
      </w:r>
      <w:r>
        <w:t xml:space="preserve"> au-delà de la dose initialement prescrite</w:t>
      </w:r>
    </w:p>
    <w:p>
      <w:pPr>
        <w:pStyle w:val="ListBullet"/>
      </w:pPr>
      <w:r/>
      <w:r>
        <w:rPr>
          <w:b/>
        </w:rPr>
        <w:t>Signes de sevrage</w:t>
      </w:r>
      <w:r>
        <w:t xml:space="preserve"> entre les prises : anxiété rebond, tremblements, insomnie de rebond</w:t>
      </w:r>
    </w:p>
    <w:p>
      <w:pPr>
        <w:pStyle w:val="ListBullet"/>
      </w:pPr>
      <w:r/>
      <w:r>
        <w:rPr>
          <w:b/>
        </w:rPr>
        <w:t>Mésusage</w:t>
      </w:r>
      <w:r>
        <w:t xml:space="preserve"> : usage de plusieurs BZD simultanément, association à l'alcool ou aux opioïdes</w:t>
      </w:r>
    </w:p>
    <w:p>
      <w:pPr>
        <w:pStyle w:val="ListBullet"/>
      </w:pPr>
      <w:r/>
      <w:r>
        <w:rPr>
          <w:b/>
        </w:rPr>
        <w:t>Comportement de recherche</w:t>
      </w:r>
      <w:r>
        <w:t xml:space="preserve"> : insistance excessive pour obtenir la prescription, refus de protocole de décroissance</w:t>
      </w:r>
    </w:p>
    <w:p>
      <w:pPr>
        <w:pStyle w:val="Heading3"/>
      </w:pPr>
      <w:r>
        <w:t>4. Conduite à tenir en cas de prescription inappropriée ou de pharmacodépendance suspectée</w:t>
      </w:r>
    </w:p>
    <w:p>
      <w:pPr>
        <w:pStyle w:val="ListNumber"/>
      </w:pPr>
      <w:r/>
      <w:r>
        <w:rPr>
          <w:b/>
        </w:rPr>
        <w:t>Entretien avec le patient</w:t>
      </w:r>
      <w:r>
        <w:t xml:space="preserve"> : écoute non jugeante, information sur les risques, orientation vers le médecin</w:t>
      </w:r>
    </w:p>
    <w:p>
      <w:pPr>
        <w:pStyle w:val="ListNumber"/>
      </w:pPr>
      <w:r/>
      <w:r>
        <w:rPr>
          <w:b/>
        </w:rPr>
        <w:t>Contact avec le prescripteur</w:t>
      </w:r>
      <w:r>
        <w:t xml:space="preserve"> : discussion du cas, proposition d'un protocole de décroissance</w:t>
      </w:r>
    </w:p>
    <w:p>
      <w:pPr>
        <w:pStyle w:val="ListNumber"/>
      </w:pPr>
      <w:r/>
      <w:r>
        <w:rPr>
          <w:b/>
        </w:rPr>
        <w:t>Orientation vers un spécialiste</w:t>
      </w:r>
      <w:r>
        <w:t xml:space="preserve"> : addictologue, psychiatre, en cas de dépendance sévère</w:t>
      </w:r>
    </w:p>
    <w:p>
      <w:pPr>
        <w:pStyle w:val="ListNumber"/>
      </w:pPr>
      <w:r/>
      <w:r>
        <w:rPr>
          <w:b/>
        </w:rPr>
        <w:t>Suivi rapproché</w:t>
      </w:r>
      <w:r>
        <w:t xml:space="preserve"> : entretiens réguliers au comptoir, soutien psychologique</w:t>
      </w:r>
    </w:p>
    <w:p>
      <w:pPr>
        <w:pStyle w:val="ListNumber"/>
      </w:pPr>
      <w:r/>
      <w:r>
        <w:rPr>
          <w:b/>
        </w:rPr>
        <w:t>Signalement</w:t>
      </w:r>
      <w:r>
        <w:t xml:space="preserve"> : tout cas de pharmacodépendance grave doit être signalé au Centre National de Pharmacovigilance (CNPM) algérien</w:t>
      </w:r>
    </w:p>
    <w:p>
      <w:pPr>
        <w:pStyle w:val="Heading2"/>
      </w:pPr>
      <w:r>
        <w:t>Annexe — Conseils au Comptoir pour le Pharmacien d'Officine</w:t>
      </w:r>
    </w:p>
    <w:p>
      <w:r>
        <w:t>Le pharmacien d'officine est en première ligne dans la délivrance des anxiolytiques et hypnotiques. Son rôle dépasse la simple remise du médicament : il inclut l'éducation du patient, la surveillance de l'observance, le repérage des situations à risque, et la coordination avec le médecin prescripteur.</w:t>
      </w:r>
    </w:p>
    <w:p>
      <w:pPr>
        <w:pStyle w:val="Heading3"/>
      </w:pPr>
      <w:r>
        <w:t>1. Vérifications systématiques avant délivrance</w:t>
      </w:r>
    </w:p>
    <w:p>
      <w:pPr>
        <w:pStyle w:val="ListBullet"/>
      </w:pPr>
      <w:r/>
      <w:r>
        <w:rPr>
          <w:b/>
        </w:rPr>
        <w:t>Identité du patient</w:t>
      </w:r>
      <w:r>
        <w:t xml:space="preserve"> et cohérence avec l'ordonnance</w:t>
      </w:r>
    </w:p>
    <w:p>
      <w:pPr>
        <w:pStyle w:val="ListBullet"/>
      </w:pPr>
      <w:r/>
      <w:r>
        <w:rPr>
          <w:b/>
        </w:rPr>
        <w:t>Identité du prescripteur</w:t>
      </w:r>
      <w:r>
        <w:t xml:space="preserve"> (tampon, signature, numéro d'inscription)</w:t>
      </w:r>
    </w:p>
    <w:p>
      <w:pPr>
        <w:pStyle w:val="ListBullet"/>
      </w:pPr>
      <w:r/>
      <w:r>
        <w:rPr>
          <w:b/>
        </w:rPr>
        <w:t>Date de l'ordonnance</w:t>
      </w:r>
      <w:r>
        <w:t xml:space="preserve"> : ne pas délivrer si l'ordonnance est ancienne (au-delà de 1 mois pour une première délivrance)</w:t>
      </w:r>
    </w:p>
    <w:p>
      <w:pPr>
        <w:pStyle w:val="ListBullet"/>
      </w:pPr>
      <w:r/>
      <w:r>
        <w:rPr>
          <w:b/>
        </w:rPr>
        <w:t>DCI et dosage prescrit</w:t>
      </w:r>
      <w:r>
        <w:t xml:space="preserve"> : vérifier la cohérence avec les posologies standard</w:t>
      </w:r>
    </w:p>
    <w:p>
      <w:pPr>
        <w:pStyle w:val="ListBullet"/>
      </w:pPr>
      <w:r/>
      <w:r>
        <w:rPr>
          <w:b/>
        </w:rPr>
        <w:t>Durée de prescription</w:t>
      </w:r>
      <w:r>
        <w:t xml:space="preserve"> : vérifier qu'elle respecte les recommandations (4–12 semaines pour les BZD anxiolytiques, 4 semaines pour les hypnotiques)</w:t>
      </w:r>
    </w:p>
    <w:p>
      <w:pPr>
        <w:pStyle w:val="ListBullet"/>
      </w:pPr>
      <w:r/>
      <w:r>
        <w:rPr>
          <w:b/>
        </w:rPr>
        <w:t>Associations médicamenteuses</w:t>
      </w:r>
      <w:r>
        <w:t xml:space="preserve"> : pas de BZD + opioïdes, pas de cumul de plusieurs BZD</w:t>
      </w:r>
    </w:p>
    <w:p>
      <w:pPr>
        <w:pStyle w:val="ListBullet"/>
      </w:pPr>
      <w:r/>
      <w:r>
        <w:rPr>
          <w:b/>
        </w:rPr>
        <w:t>Antécédents du patient</w:t>
      </w:r>
      <w:r>
        <w:t xml:space="preserve"> : vérifier l'absence de contre-indication dans le dossier patient (glaucome, apnée du sommeil, insuffisance respiratoire)</w:t>
      </w:r>
    </w:p>
    <w:p>
      <w:pPr>
        <w:pStyle w:val="ListBullet"/>
      </w:pPr>
      <w:r/>
      <w:r>
        <w:rPr>
          <w:b/>
        </w:rPr>
        <w:t>Statut de la spécialité</w:t>
      </w:r>
      <w:r>
        <w:t xml:space="preserve"> : actif / non renouvelable / retiré</w:t>
      </w:r>
    </w:p>
    <w:p>
      <w:pPr>
        <w:pStyle w:val="Heading3"/>
      </w:pPr>
      <w:r>
        <w:t>2. Conseils systématiques au patient</w:t>
      </w:r>
    </w:p>
    <w:p>
      <w:pPr>
        <w:pStyle w:val="ListBullet"/>
      </w:pPr>
      <w:r/>
      <w:r>
        <w:rPr>
          <w:b/>
        </w:rPr>
        <w:t>Durée du traitement</w:t>
      </w:r>
      <w:r>
        <w:t xml:space="preserve"> : insister sur la durée limitée (4–12 semaines pour les anxiolytiques, 4 semaines pour les hypnotiques)</w:t>
      </w:r>
    </w:p>
    <w:p>
      <w:pPr>
        <w:pStyle w:val="ListBullet"/>
      </w:pPr>
      <w:r/>
      <w:r>
        <w:rPr>
          <w:b/>
        </w:rPr>
        <w:t>Mode de prise</w:t>
      </w:r>
      <w:r>
        <w:t xml:space="preserve"> : à heure fixe, au coucher pour les hypnotiques, réparti sur la journée pour les anxiolytiques</w:t>
      </w:r>
    </w:p>
    <w:p>
      <w:pPr>
        <w:pStyle w:val="ListBullet"/>
      </w:pPr>
      <w:r/>
      <w:r>
        <w:rPr>
          <w:b/>
        </w:rPr>
        <w:t>Dose</w:t>
      </w:r>
      <w:r>
        <w:t xml:space="preserve"> : respecter scrupuleusement la dose prescrite, ne pas augmenter en cas d'efficacité insuffisante (contacter le médecin)</w:t>
      </w:r>
    </w:p>
    <w:p>
      <w:pPr>
        <w:pStyle w:val="ListBullet"/>
      </w:pPr>
      <w:r/>
      <w:r>
        <w:rPr>
          <w:b/>
        </w:rPr>
        <w:t>Oubli d'une prise</w:t>
      </w:r>
      <w:r>
        <w:t xml:space="preserve"> : ne pas doubler la dose suivante</w:t>
      </w:r>
    </w:p>
    <w:p>
      <w:pPr>
        <w:pStyle w:val="ListBullet"/>
      </w:pPr>
      <w:r/>
      <w:r>
        <w:rPr>
          <w:b/>
        </w:rPr>
        <w:t>Effets indésirables</w:t>
      </w:r>
      <w:r>
        <w:t xml:space="preserve"> : prévenir les principaux effets (sédation, troubles de mémoire, somnolence)</w:t>
      </w:r>
    </w:p>
    <w:p>
      <w:pPr>
        <w:pStyle w:val="ListBullet"/>
      </w:pPr>
      <w:r/>
      <w:r>
        <w:rPr>
          <w:b/>
        </w:rPr>
        <w:t>Interdictions</w:t>
      </w:r>
      <w:r>
        <w:t xml:space="preserve"> : ne pas associer à l'alcool, aux opioïdes, à d'autres psychotropes sans avis médical</w:t>
      </w:r>
    </w:p>
    <w:p>
      <w:pPr>
        <w:pStyle w:val="ListBullet"/>
      </w:pPr>
      <w:r/>
      <w:r>
        <w:rPr>
          <w:b/>
        </w:rPr>
        <w:t>Conduite automobile</w:t>
      </w:r>
      <w:r>
        <w:t xml:space="preserve"> : éviter en début de traitement et en cas de somnolence</w:t>
      </w:r>
    </w:p>
    <w:p>
      <w:pPr>
        <w:pStyle w:val="ListBullet"/>
      </w:pPr>
      <w:r/>
      <w:r>
        <w:rPr>
          <w:b/>
        </w:rPr>
        <w:t>Arrêt du traitement</w:t>
      </w:r>
      <w:r>
        <w:t xml:space="preserve"> : ne jamais arrêter brutalement, prévoir un sevrage progressif avec le médecin</w:t>
      </w:r>
    </w:p>
    <w:p>
      <w:pPr>
        <w:pStyle w:val="ListBullet"/>
      </w:pPr>
      <w:r/>
      <w:r>
        <w:rPr>
          <w:b/>
        </w:rPr>
        <w:t>Grossesse et allaitement</w:t>
      </w:r>
      <w:r>
        <w:t xml:space="preserve"> : prévenir les femmes en âge de procréer de la nécessité d'une contraception efficace et de l'interdiction d'utiliser ces médicaments pendant la grossesse sans avis médical</w:t>
      </w:r>
    </w:p>
    <w:p>
      <w:pPr>
        <w:pStyle w:val="ListBullet"/>
      </w:pPr>
      <w:r/>
      <w:r>
        <w:rPr>
          <w:b/>
        </w:rPr>
        <w:t>Conservation</w:t>
      </w:r>
      <w:r>
        <w:t xml:space="preserve"> : à température ambiante, hors de portée des enfants et des personnes vulnérables</w:t>
      </w:r>
    </w:p>
    <w:p>
      <w:pPr>
        <w:pStyle w:val="Heading3"/>
      </w:pPr>
      <w:r>
        <w:t>3. Repérage des situations à risque</w:t>
      </w:r>
    </w:p>
    <w:p>
      <w:pPr>
        <w:pStyle w:val="ListBullet"/>
      </w:pPr>
      <w:r/>
      <w:r>
        <w:rPr>
          <w:b/>
        </w:rPr>
        <w:t>Patient présentant plusieurs ordonnances</w:t>
      </w:r>
      <w:r>
        <w:t xml:space="preserve"> de BZD de prescripteurs différents</w:t>
      </w:r>
    </w:p>
    <w:p>
      <w:pPr>
        <w:pStyle w:val="ListBullet"/>
      </w:pPr>
      <w:r/>
      <w:r>
        <w:rPr>
          <w:b/>
        </w:rPr>
        <w:t>Patient venant fréquemment</w:t>
      </w:r>
      <w:r>
        <w:t xml:space="preserve"> renouveler sa prescription avant la fin théorique du traitement</w:t>
      </w:r>
    </w:p>
    <w:p>
      <w:pPr>
        <w:pStyle w:val="ListBullet"/>
      </w:pPr>
      <w:r/>
      <w:r>
        <w:rPr>
          <w:b/>
        </w:rPr>
        <w:t>Patient présentant des signes de sevrage</w:t>
      </w:r>
      <w:r>
        <w:t xml:space="preserve"> : tremblements, anxiété, sueurs, palpitations</w:t>
      </w:r>
    </w:p>
    <w:p>
      <w:pPr>
        <w:pStyle w:val="ListBullet"/>
      </w:pPr>
      <w:r/>
      <w:r>
        <w:rPr>
          <w:b/>
        </w:rPr>
        <w:t>Patient présentant des signes de surdosage</w:t>
      </w:r>
      <w:r>
        <w:t xml:space="preserve"> : somnolence excessive, confusion, ataxie, troubles de la parole</w:t>
      </w:r>
    </w:p>
    <w:p>
      <w:pPr>
        <w:pStyle w:val="ListBullet"/>
      </w:pPr>
      <w:r/>
      <w:r>
        <w:rPr>
          <w:b/>
        </w:rPr>
        <w:t>Patient âgé présentant des chutes</w:t>
      </w:r>
      <w:r>
        <w:t xml:space="preserve"> récentes ou une confusion</w:t>
      </w:r>
    </w:p>
    <w:p>
      <w:pPr>
        <w:pStyle w:val="ListBullet"/>
      </w:pPr>
      <w:r/>
      <w:r>
        <w:rPr>
          <w:b/>
        </w:rPr>
        <w:t>Patiente signalant une amnésie brutale</w:t>
      </w:r>
      <w:r>
        <w:t xml:space="preserve"> : évoquer une soumission chimique, proposer une consultation médicale urgente et un dépôt de plainte</w:t>
      </w:r>
    </w:p>
    <w:p>
      <w:pPr>
        <w:pStyle w:val="Heading3"/>
      </w:pPr>
      <w:r>
        <w:t>4. Coordination avec le médecin prescripteur</w:t>
      </w:r>
    </w:p>
    <w:p>
      <w:pPr>
        <w:pStyle w:val="ListBullet"/>
      </w:pPr>
      <w:r/>
      <w:r>
        <w:rPr>
          <w:b/>
        </w:rPr>
        <w:t>Contact direct</w:t>
      </w:r>
      <w:r>
        <w:t xml:space="preserve"> : en cas de doute sur la prescription, d'interaction médicamenteuse, de contre-indication, de signes de dépendance</w:t>
      </w:r>
    </w:p>
    <w:p>
      <w:pPr>
        <w:pStyle w:val="ListBullet"/>
      </w:pPr>
      <w:r/>
      <w:r>
        <w:rPr>
          <w:b/>
        </w:rPr>
        <w:t>Proposition de protocole de décroissance</w:t>
      </w:r>
      <w:r>
        <w:t xml:space="preserve"> : si prescription prolongée au-delà de 12 semaines</w:t>
      </w:r>
    </w:p>
    <w:p>
      <w:pPr>
        <w:pStyle w:val="ListBullet"/>
      </w:pPr>
      <w:r/>
      <w:r>
        <w:rPr>
          <w:b/>
        </w:rPr>
        <w:t>Orientation vers un spécialiste</w:t>
      </w:r>
      <w:r>
        <w:t xml:space="preserve"> : psychiatre, addictologue, neurologue (pour le clonazépam)</w:t>
      </w:r>
    </w:p>
    <w:p>
      <w:pPr>
        <w:pStyle w:val="ListBullet"/>
      </w:pPr>
      <w:r/>
      <w:r>
        <w:rPr>
          <w:b/>
        </w:rPr>
        <w:t>Signalement</w:t>
      </w:r>
      <w:r>
        <w:t xml:space="preserve"> : tout effet indésirable grave doit être signalé au Centre National de Pharmacovigilance (CNPM) algérien</w:t>
      </w:r>
    </w:p>
    <w:p>
      <w:pPr>
        <w:pStyle w:val="Heading2"/>
      </w:pPr>
      <w:r>
        <w:t>Annexe — Cas Particulier du Sevrage Alcoolique</w:t>
      </w:r>
    </w:p>
    <w:p>
      <w:r>
        <w:t>Les benzodiazépines sont un traitement de référence du sevrage alcoolique, en prévention du delirium tremens et des crises convulsives. La prescription se fait en milieu hospitalier (sevrage compliqué) ou ambulatoire (sevrage simple).</w:t>
      </w:r>
    </w:p>
    <w:p>
      <w:pPr>
        <w:pStyle w:val="Heading3"/>
      </w:pPr>
      <w:r>
        <w:t>Protocole de sevrage alcoolique</w:t>
      </w:r>
    </w:p>
    <w:p>
      <w:pPr>
        <w:pStyle w:val="ListNumber"/>
      </w:pPr>
      <w:r/>
      <w:r>
        <w:rPr>
          <w:b/>
        </w:rPr>
        <w:t>Évaluation initiale</w:t>
      </w:r>
      <w:r>
        <w:t xml:space="preserve"> : score de Cushman (CIWA-Ar) pour évaluer la sévérité du sevrage</w:t>
      </w:r>
    </w:p>
    <w:p>
      <w:pPr>
        <w:pStyle w:val="ListNumber"/>
      </w:pPr>
      <w:r/>
      <w:r>
        <w:rPr>
          <w:b/>
        </w:rPr>
        <w:t>Choix de la BZD</w:t>
      </w:r>
      <w:r>
        <w:t xml:space="preserve"> : préférence pour le </w:t>
      </w:r>
      <w:r>
        <w:rPr>
          <w:b/>
        </w:rPr>
        <w:t>diazépam</w:t>
      </w:r>
      <w:r>
        <w:t xml:space="preserve"> (longue demi-vie, métabolites actifs permettant une couverture prolongée) ou le </w:t>
      </w:r>
      <w:r>
        <w:rPr>
          <w:b/>
        </w:rPr>
        <w:t>clorazépate</w:t>
      </w:r>
      <w:r>
        <w:t xml:space="preserve"> (alternative)</w:t>
      </w:r>
    </w:p>
    <w:p>
      <w:pPr>
        <w:pStyle w:val="ListNumber"/>
      </w:pPr>
      <w:r/>
      <w:r>
        <w:rPr>
          <w:b/>
        </w:rPr>
        <w:t>Dose initiale</w:t>
      </w:r>
      <w:r>
        <w:t xml:space="preserve"> : diazépam 10–20 mg ×4/jour ou clorazépate 25–50 mg ×3/jour</w:t>
      </w:r>
    </w:p>
    <w:p>
      <w:pPr>
        <w:pStyle w:val="ListNumber"/>
      </w:pPr>
      <w:r/>
      <w:r>
        <w:rPr>
          <w:b/>
        </w:rPr>
        <w:t>Décroissance progressive</w:t>
      </w:r>
      <w:r>
        <w:t xml:space="preserve"> sur 7 à 10 jours</w:t>
      </w:r>
    </w:p>
    <w:p>
      <w:pPr>
        <w:pStyle w:val="ListNumber"/>
      </w:pPr>
      <w:r/>
      <w:r>
        <w:rPr>
          <w:b/>
        </w:rPr>
        <w:t>Surveillance</w:t>
      </w:r>
      <w:r>
        <w:t xml:space="preserve"> : fonctions vitales, score CIWA-Ar, état de conscience</w:t>
      </w:r>
    </w:p>
    <w:p>
      <w:pPr>
        <w:pStyle w:val="ListNumber"/>
      </w:pPr>
      <w:r/>
      <w:r>
        <w:rPr>
          <w:b/>
        </w:rPr>
        <w:t>Traitement adjuvant</w:t>
      </w:r>
      <w:r>
        <w:t xml:space="preserve"> : vitamines B1, B6, PP (prévention de l'encéphalopathie de Wernicke), hydratation</w:t>
      </w:r>
    </w:p>
    <w:p>
      <w:pPr>
        <w:pStyle w:val="Heading3"/>
      </w:pPr>
      <w:r>
        <w:t>Spécificités algériennes</w:t>
      </w:r>
    </w:p>
    <w:p>
      <w:pPr>
        <w:pStyle w:val="ListBullet"/>
      </w:pPr>
      <w:r>
        <w:t>Disponibilité du diazépam en solution injectable (Valoxium, Valzepam) pour le sevrage hospitalier</w:t>
      </w:r>
    </w:p>
    <w:p>
      <w:pPr>
        <w:pStyle w:val="ListBullet"/>
      </w:pPr>
      <w:r>
        <w:t>Disponibilité du clorazépate en lyophilisat injectable (Tranxène 20 mg et 50 mg) pour le sevrage hospitalier</w:t>
      </w:r>
    </w:p>
    <w:p>
      <w:pPr>
        <w:pStyle w:val="ListBullet"/>
      </w:pPr>
      <w:r>
        <w:t>Disponibilité du clorazépate en gélules (Tranxène, Cloraxène, Noxène, Tranoxane) pour le sevrage ambulatoire</w:t>
      </w:r>
    </w:p>
    <w:p>
      <w:pPr>
        <w:pStyle w:val="Heading3"/>
      </w:pPr>
      <w:r>
        <w:t>Précautions</w:t>
      </w:r>
    </w:p>
    <w:p>
      <w:pPr>
        <w:pStyle w:val="ListBullet"/>
      </w:pPr>
      <w:r/>
      <w:r>
        <w:rPr>
          <w:b/>
        </w:rPr>
        <w:t>Insuffisance hépatique sévère</w:t>
      </w:r>
      <w:r>
        <w:t xml:space="preserve"> : préférer le lorazépam (glucuronidation exclusive, pas de métabolites actifs)</w:t>
      </w:r>
    </w:p>
    <w:p>
      <w:pPr>
        <w:pStyle w:val="ListBullet"/>
      </w:pPr>
      <w:r/>
      <w:r>
        <w:rPr>
          <w:b/>
        </w:rPr>
        <w:t>Sujet âgé</w:t>
      </w:r>
      <w:r>
        <w:t xml:space="preserve"> : réduire la dose de moitié, surveillance accrue</w:t>
      </w:r>
    </w:p>
    <w:p>
      <w:pPr>
        <w:pStyle w:val="ListBullet"/>
      </w:pPr>
      <w:r/>
      <w:r>
        <w:rPr>
          <w:b/>
        </w:rPr>
        <w:t>Insuffisance respiratoire</w:t>
      </w:r>
      <w:r>
        <w:t xml:space="preserve"> : surveiller la fonction respiratoire</w:t>
      </w:r>
    </w:p>
    <w:p>
      <w:pPr>
        <w:pStyle w:val="ListBullet"/>
      </w:pPr>
      <w:r/>
      <w:r>
        <w:rPr>
          <w:b/>
        </w:rPr>
        <w:t>Antécédents de convulsions</w:t>
      </w:r>
      <w:r>
        <w:t xml:space="preserve"> : associer éventuellement un anticonvulsivant (valproate)</w:t>
      </w:r>
    </w:p>
    <w:p>
      <w:r/>
      <w:r>
        <w:rPr>
          <w:i/>
        </w:rPr>
        <w:t>Fin du Chapitre 82 — Anxiolytiques et Hypnotiques</w:t>
      </w:r>
      <w:r/>
    </w:p>
    <w:p>
      <w:pPr>
        <w:pStyle w:val="Heading1"/>
      </w:pPr>
      <w:r>
        <w:t>Chapitre 83 — Antipsychotiques typiques (1re génération)</w:t>
      </w:r>
    </w:p>
    <w:p>
      <w:pPr>
        <w:ind w:left="567"/>
      </w:pPr>
      <w:r>
        <w:rPr>
          <w:i/>
          <w:color w:val="606060"/>
        </w:rPr>
        <w:t>**Fascicule X — Psychiatrie / Psychotropes**</w:t>
      </w:r>
    </w:p>
    <w:p>
      <w:pPr>
        <w:ind w:left="567"/>
      </w:pPr>
      <w:r>
        <w:rPr>
          <w:i/>
          <w:color w:val="606060"/>
        </w:rPr>
        <w:t>*Sous-classes thérapeutiques : Antipsychotiques typiques (butyrophénones) ; Antipsychotiques typiques (phénothiazines aliphatiques) ; Antipsychotiques typiques (phénothiazines pipérazinées) ; Antipsychotiques typiques (phénothiazines pipéridinées) ; Antipsychotiques typiques (benzamides)*</w:t>
      </w:r>
    </w:p>
    <w:p>
      <w:pPr>
        <w:ind w:left="567"/>
      </w:pPr>
      <w:r>
        <w:rPr>
          <w:i/>
          <w:color w:val="606060"/>
        </w:rPr>
        <w:t>*Nomenclature algérienne des médicaments — Avril 2026*</w:t>
      </w:r>
    </w:p>
    <w:p>
      <w:pPr>
        <w:pStyle w:val="Heading2"/>
      </w:pPr>
      <w:r>
        <w:t>Sommaire du chapitre</w:t>
      </w:r>
    </w:p>
    <w:p>
      <w:pPr>
        <w:pStyle w:val="ListNumber"/>
      </w:pPr>
      <w:r>
        <w:t>Vue d'ensemble des antipsychotiques typiques (1re génération) et de leur place en thérapeutique psychiatrique</w:t>
      </w:r>
    </w:p>
    <w:p>
      <w:pPr>
        <w:pStyle w:val="ListNumber"/>
      </w:pPr>
      <w:r>
        <w:t>Introduction à la sous-classe des butyrophénones</w:t>
      </w:r>
    </w:p>
    <w:p>
      <w:pPr>
        <w:pStyle w:val="ListNumber"/>
      </w:pPr>
      <w:r>
        <w:t>Fiche DCI — Butyrophénones</w:t>
      </w:r>
    </w:p>
    <w:p>
      <w:pPr>
        <w:pStyle w:val="ListBullet"/>
      </w:pPr>
      <w:r>
        <w:t>1. Halopéridol (usage psychiatrique)</w:t>
      </w:r>
    </w:p>
    <w:p>
      <w:pPr>
        <w:pStyle w:val="ListNumber"/>
      </w:pPr>
      <w:r>
        <w:t>Introduction à la sous-classe des phénothiazines aliphatiques</w:t>
      </w:r>
    </w:p>
    <w:p>
      <w:pPr>
        <w:pStyle w:val="ListNumber"/>
      </w:pPr>
      <w:r>
        <w:t>Fiches DCI — Phénothiazines aliphatiques</w:t>
      </w:r>
    </w:p>
    <w:p>
      <w:pPr>
        <w:pStyle w:val="ListBullet"/>
      </w:pPr>
      <w:r>
        <w:t>2. Chlorpromazine</w:t>
      </w:r>
    </w:p>
    <w:p>
      <w:pPr>
        <w:pStyle w:val="ListBullet"/>
      </w:pPr>
      <w:r>
        <w:t>3. Lévomépromazine</w:t>
      </w:r>
    </w:p>
    <w:p>
      <w:pPr>
        <w:pStyle w:val="ListNumber"/>
      </w:pPr>
      <w:r>
        <w:t>Introduction à la sous-classe des phénothiazines pipérazinées</w:t>
      </w:r>
    </w:p>
    <w:p>
      <w:pPr>
        <w:pStyle w:val="ListNumber"/>
      </w:pPr>
      <w:r>
        <w:t>Fiches DCI — Phénothiazines pipérazinées</w:t>
      </w:r>
    </w:p>
    <w:p>
      <w:pPr>
        <w:pStyle w:val="ListBullet"/>
      </w:pPr>
      <w:r>
        <w:t>4. Fluphénazine</w:t>
      </w:r>
    </w:p>
    <w:p>
      <w:pPr>
        <w:pStyle w:val="ListBullet"/>
      </w:pPr>
      <w:r>
        <w:t>5. Trifluopérazine</w:t>
      </w:r>
    </w:p>
    <w:p>
      <w:pPr>
        <w:pStyle w:val="ListNumber"/>
      </w:pPr>
      <w:r>
        <w:t>Introduction à la sous-classe des phénothiazines pipéridinées</w:t>
      </w:r>
    </w:p>
    <w:p>
      <w:pPr>
        <w:pStyle w:val="ListNumber"/>
      </w:pPr>
      <w:r>
        <w:t>Fiche DCI — Phénothiazines pipéridinées</w:t>
      </w:r>
    </w:p>
    <w:p>
      <w:pPr>
        <w:pStyle w:val="ListBullet"/>
      </w:pPr>
      <w:r>
        <w:t>6. Thioridazine</w:t>
      </w:r>
    </w:p>
    <w:p>
      <w:pPr>
        <w:pStyle w:val="ListNumber"/>
      </w:pPr>
      <w:r>
        <w:t>Introduction à la sous-classe des benzamides substitués</w:t>
      </w:r>
    </w:p>
    <w:p>
      <w:pPr>
        <w:pStyle w:val="ListNumber"/>
      </w:pPr>
      <w:r>
        <w:t>Fiches DCI — Benzamides</w:t>
      </w:r>
    </w:p>
    <w:p>
      <w:pPr>
        <w:pStyle w:val="ListBullet"/>
      </w:pPr>
      <w:r>
        <w:t>7. Sulpiride</w:t>
      </w:r>
    </w:p>
    <w:p>
      <w:pPr>
        <w:pStyle w:val="ListBullet"/>
      </w:pPr>
      <w:r>
        <w:t>8. Amisulpride</w:t>
      </w:r>
    </w:p>
    <w:p>
      <w:pPr>
        <w:pStyle w:val="ListNumber"/>
      </w:pPr>
      <w:r>
        <w:t>Tableau comparatif synthétique des 8 DCI</w:t>
      </w:r>
    </w:p>
    <w:p>
      <w:pPr>
        <w:pStyle w:val="ListNumber"/>
      </w:pPr>
      <w:r>
        <w:t>Règles d'Or et points-clés au comptoir</w:t>
      </w:r>
    </w:p>
    <w:p>
      <w:pPr>
        <w:pStyle w:val="ListNumber"/>
      </w:pPr>
      <w:r>
        <w:t>Pièges majeurs à l'officine algérienne</w:t>
      </w:r>
    </w:p>
    <w:p>
      <w:pPr>
        <w:pStyle w:val="ListNumber"/>
      </w:pPr>
      <w:r>
        <w:t>Sources documentaires</w:t>
      </w:r>
    </w:p>
    <w:p>
      <w:pPr>
        <w:pStyle w:val="Heading2"/>
      </w:pPr>
      <w:r>
        <w:t>1. Vue d'ensemble des antipsychotiques typiques (1re génération) et de leur place en thérapeutique psychiatrique</w:t>
      </w:r>
    </w:p>
    <w:p>
      <w:pPr>
        <w:pStyle w:val="Heading3"/>
      </w:pPr>
      <w:r>
        <w:t>Définition et cadre historique</w:t>
      </w:r>
    </w:p>
    <w:p>
      <w:r>
        <w:t xml:space="preserve">Les </w:t>
      </w:r>
      <w:r>
        <w:rPr>
          <w:b/>
        </w:rPr>
        <w:t>antipsychotiques typiques</w:t>
      </w:r>
      <w:r>
        <w:t xml:space="preserve"> — également dénommés </w:t>
      </w:r>
      <w:r>
        <w:rPr>
          <w:b/>
        </w:rPr>
        <w:t>antipsychotiques de 1re génération</w:t>
      </w:r>
      <w:r>
        <w:t xml:space="preserve"> ou classiquement </w:t>
      </w:r>
      <w:r>
        <w:rPr>
          <w:b/>
        </w:rPr>
        <w:t>neuroleptiques</w:t>
      </w:r>
      <w:r>
        <w:t xml:space="preserve"> (du grec </w:t>
      </w:r>
      <w:r>
        <w:rPr>
          <w:i/>
        </w:rPr>
        <w:t>neuron</w:t>
      </w:r>
      <w:r>
        <w:t xml:space="preserve"> = nerf et </w:t>
      </w:r>
      <w:r>
        <w:rPr>
          <w:i/>
        </w:rPr>
        <w:t>lêptos</w:t>
      </w:r>
      <w:r>
        <w:t xml:space="preserve"> = saisir, « qui saisit le nerf ») — constituent la première classe pharmacologique historiquement développée pour traiter les </w:t>
      </w:r>
      <w:r>
        <w:rPr>
          <w:b/>
        </w:rPr>
        <w:t>psychoses schizophréniques</w:t>
      </w:r>
      <w:r>
        <w:t xml:space="preserve">. Leur introduction en médecine clinique date de </w:t>
      </w:r>
      <w:r>
        <w:rPr>
          <w:b/>
        </w:rPr>
        <w:t>1952</w:t>
      </w:r>
      <w:r>
        <w:t xml:space="preserve"> avec la </w:t>
      </w:r>
      <w:r>
        <w:rPr>
          <w:b/>
        </w:rPr>
        <w:t>chlorpromazine</w:t>
      </w:r>
      <w:r>
        <w:t xml:space="preserve"> (Largactil®), phénothiazine aliphatique mise en évidence par le chirurgien anesthésiste français </w:t>
      </w:r>
      <w:r>
        <w:rPr>
          <w:b/>
        </w:rPr>
        <w:t>Henri Laborit</w:t>
      </w:r>
      <w:r>
        <w:t xml:space="preserve"> à l'hôpital Val-de-Grâce à Paris, en collaboration avec les neurologues </w:t>
      </w:r>
      <w:r>
        <w:rPr>
          <w:b/>
        </w:rPr>
        <w:t>Jean Delay</w:t>
      </w:r>
      <w:r>
        <w:t xml:space="preserve"> et </w:t>
      </w:r>
      <w:r>
        <w:rPr>
          <w:b/>
        </w:rPr>
        <w:t>Pierre Deniker</w:t>
      </w:r>
      <w:r>
        <w:t xml:space="preserve"> de l'Hôpital Sainte-Anne. Cette découverte — qui valut à Delay et Deniker une nomination pour le prix Nobel — marqua une rupture épistémologique majeure en psychiatrie : pour la première fois, un médicament permettait de contrôler durablement les </w:t>
      </w:r>
      <w:r>
        <w:rPr>
          <w:b/>
        </w:rPr>
        <w:t>symptômes positifs</w:t>
      </w:r>
      <w:r>
        <w:t xml:space="preserve"> de la schizophrénie (délire, hallucinations, troubles de la pensée) sans recourir aux thérapeutiques physiques brutales de l'époque (coma insulinique, électroconvulsivothérapie, lobotomie transorbitale). La commercialisation de l'</w:t>
      </w:r>
      <w:r>
        <w:rPr>
          <w:b/>
        </w:rPr>
        <w:t>halopéridol</w:t>
      </w:r>
      <w:r>
        <w:t xml:space="preserve"> (Haldol®) par Janssen en </w:t>
      </w:r>
      <w:r>
        <w:rPr>
          <w:b/>
        </w:rPr>
        <w:t>1958</w:t>
      </w:r>
      <w:r>
        <w:t xml:space="preserve"> consolida la classe en offrant un composé de structure butyrophénone, beaucoup plus puissant sur les récepteurs D2 et mieux toléré sur le plan cardiovasculaire que la chlorpromazine. L'ère des neuroleptiques était née, et avec elle la </w:t>
      </w:r>
      <w:r>
        <w:rPr>
          <w:b/>
        </w:rPr>
        <w:t>désinstitutionnalisation psychiatrique</w:t>
      </w:r>
      <w:r>
        <w:t xml:space="preserve"> mondiale : entre 1960 et 1990, la majorité des pays occidentaux réduisirent drastiquement le nombre de lits d'hospitalisation chronique en psychiatrie, transférant la prise en charge vers des structures ambulatoires et un traitement pharmacologique au long cours.</w:t>
      </w:r>
    </w:p>
    <w:p>
      <w:pPr>
        <w:pStyle w:val="Heading3"/>
      </w:pPr>
      <w:r>
        <w:t>Mécanisme d'action commun : le blocage D2 mésolimbique</w:t>
      </w:r>
    </w:p>
    <w:p>
      <w:r>
        <w:t xml:space="preserve">Tous les antipsychotiques typiques partagent une propriété pharmacodynamique commune : ils sont des </w:t>
      </w:r>
      <w:r>
        <w:rPr>
          <w:b/>
        </w:rPr>
        <w:t>antagonistes compétitifs (ou antagonistes inverses partiels) des récepteurs dopaminergiques D2</w:t>
      </w:r>
      <w:r>
        <w:t xml:space="preserve"> couplés aux protéines Gi/o, dont le blocage dans la </w:t>
      </w:r>
      <w:r>
        <w:rPr>
          <w:b/>
        </w:rPr>
        <w:t>voie mésolimbique</w:t>
      </w:r>
      <w:r>
        <w:t xml:space="preserve"> (substantia nigra pars compacta → noyau accumbens / tubercule olfactif) sous-tend la </w:t>
      </w:r>
      <w:r>
        <w:rPr>
          <w:b/>
        </w:rPr>
        <w:t>réduction des symptômes positifs</w:t>
      </w:r>
      <w:r>
        <w:t xml:space="preserve"> (hallucinations, délires, troubles de la pensée) caractéristique de leur efficacité antipsychotique. Cette découverte fondamentale, formulée par </w:t>
      </w:r>
      <w:r>
        <w:rPr>
          <w:b/>
        </w:rPr>
        <w:t>Arvid Carlsson</w:t>
      </w:r>
      <w:r>
        <w:t xml:space="preserve"> (Prix Nobel de médecine 2000) et ses collaborateurs dans les années 1960, a établi le </w:t>
      </w:r>
      <w:r>
        <w:rPr>
          <w:b/>
        </w:rPr>
        <w:t>paradigme dopaminergique de la schizophrénie</w:t>
      </w:r>
      <w:r>
        <w:t xml:space="preserve"> qui structure encore aujourd'hui la pharmacologie de lapsychose. L'occupation des récepteurs D2 striatales (voie nigro-striée) est responsable de l'effet thérapeutique sur les symptômes positifs, mais également des </w:t>
      </w:r>
      <w:r>
        <w:rPr>
          <w:b/>
        </w:rPr>
        <w:t>effets secondaires extrapyramidaux (EPS)</w:t>
      </w:r>
      <w:r>
        <w:t xml:space="preserve"> qui en font l'iâcreté clinique : un taux d'occupation D2 striatale supérieur à </w:t>
      </w:r>
      <w:r>
        <w:rPr>
          <w:b/>
        </w:rPr>
        <w:t>80 %</w:t>
      </w:r>
      <w:r>
        <w:t xml:space="preserve"> s'accompagne d'une franche symptomatologie extrapyramidale (parkinsonisme, akathisie, dyskinésie aiguë), tandis que le seuil antipsychotique optimal se situe entre </w:t>
      </w:r>
      <w:r>
        <w:rPr>
          <w:b/>
        </w:rPr>
        <w:t>60 % et 75 %</w:t>
      </w:r>
      <w:r>
        <w:t xml:space="preserve">. La </w:t>
      </w:r>
      <w:r>
        <w:rPr>
          <w:b/>
        </w:rPr>
        <w:t>dyskinésie tardive</w:t>
      </w:r>
      <w:r>
        <w:t xml:space="preserve"> — effet indésirable redouté, potentiellement irréversible — résulte d'une </w:t>
      </w:r>
      <w:r>
        <w:rPr>
          <w:b/>
        </w:rPr>
        <w:t>hypersensibilité dénervationnelle</w:t>
      </w:r>
      <w:r>
        <w:t xml:space="preserve"> des récepteurs D2 striatales soumis à un blocage chronique prolongé, entraînant une </w:t>
      </w:r>
      <w:r>
        <w:rPr>
          <w:b/>
        </w:rPr>
        <w:t>up-régulation</w:t>
      </w:r>
      <w:r>
        <w:t xml:space="preserve"> (augmentation du nombre de récepteurs) et une activation paradoxale des mouvements anormaux à l'arrêt du traitement.</w:t>
      </w:r>
    </w:p>
    <w:p>
      <w:r>
        <w:t xml:space="preserve">Au-delà du blocage D2 strict, les antipsychotiques typiques diffèrent considérablement dans leur </w:t>
      </w:r>
      <w:r>
        <w:rPr>
          <w:b/>
        </w:rPr>
        <w:t>profil d'affinité aux autres récepteurs</w:t>
      </w:r>
      <w:r>
        <w:t xml:space="preserve"> — ce qui détermine leur </w:t>
      </w:r>
      <w:r>
        <w:rPr>
          <w:b/>
        </w:rPr>
        <w:t>spectre d'effets indésirables</w:t>
      </w:r>
      <w:r>
        <w:t xml:space="preserve"> :</w:t>
      </w:r>
    </w:p>
    <w:p>
      <w:pPr>
        <w:pStyle w:val="ListBullet"/>
      </w:pPr>
      <w:r/>
      <w:r>
        <w:rPr>
          <w:b/>
        </w:rPr>
        <w:t>Phénothiazines aliphatiques</w:t>
      </w:r>
      <w:r>
        <w:t xml:space="preserve"> (chlorpromazine, lévomépromazine) : affinité marquée pour les récepteurs </w:t>
      </w:r>
      <w:r>
        <w:rPr>
          <w:b/>
        </w:rPr>
        <w:t>α1-adrénergiques</w:t>
      </w:r>
      <w:r>
        <w:t xml:space="preserve"> (hypotension orthostatique), </w:t>
      </w:r>
      <w:r>
        <w:rPr>
          <w:b/>
        </w:rPr>
        <w:t>H1-histaminiques</w:t>
      </w:r>
      <w:r>
        <w:t xml:space="preserve"> (sédation, prise de poids), et </w:t>
      </w:r>
      <w:r>
        <w:rPr>
          <w:b/>
        </w:rPr>
        <w:t>muscariniques M1</w:t>
      </w:r>
      <w:r>
        <w:t xml:space="preserve"> (sécheresse buccale, constipation, rétention urinaire, troubles visuels). Profil « sédatif-hypotenseur ».</w:t>
      </w:r>
    </w:p>
    <w:p>
      <w:pPr>
        <w:pStyle w:val="ListBullet"/>
      </w:pPr>
      <w:r/>
      <w:r>
        <w:rPr>
          <w:b/>
        </w:rPr>
        <w:t>Phénothiazines pipérazinées</w:t>
      </w:r>
      <w:r>
        <w:t xml:space="preserve"> (fluphénazine, trifluopérazine) : affinité D2 prédominante, moindre activité α1/H1/M1. Profil « incisif » (puissance antipsychotique élevée, faible sédation, hypotension modérée, mais EPS majeurs).</w:t>
      </w:r>
    </w:p>
    <w:p>
      <w:pPr>
        <w:pStyle w:val="ListBullet"/>
      </w:pPr>
      <w:r/>
      <w:r>
        <w:rPr>
          <w:b/>
        </w:rPr>
        <w:t>Phénothiazines pipéridinées</w:t>
      </w:r>
      <w:r>
        <w:t xml:space="preserve"> (thioridazine) : profil intermédiaire avec sédation marquée, modeste activité D2, mais </w:t>
      </w:r>
      <w:r>
        <w:rPr>
          <w:b/>
        </w:rPr>
        <w:t>allongement majeur du QT</w:t>
      </w:r>
      <w:r>
        <w:t xml:space="preserve"> (métabolites sulfoxyde et sulfone — blocage des canaux hERG Kv11.1) — d'où le retrait du marché mondial.</w:t>
      </w:r>
    </w:p>
    <w:p>
      <w:pPr>
        <w:pStyle w:val="ListBullet"/>
      </w:pPr>
      <w:r/>
      <w:r>
        <w:rPr>
          <w:b/>
        </w:rPr>
        <w:t>Butyrophénones</w:t>
      </w:r>
      <w:r>
        <w:t xml:space="preserve"> (halopéridol) : affinité D2 très élevée (l'une des plus puissantes de la classe — Ki D2 ≈ 1-2 nM), faible activité α1/H1/M1. Profil « incisif pur » avec fort risque EPS mais sédation modérée et peu d'hypotension.</w:t>
      </w:r>
    </w:p>
    <w:p>
      <w:pPr>
        <w:pStyle w:val="ListBullet"/>
      </w:pPr>
      <w:r/>
      <w:r>
        <w:rPr>
          <w:b/>
        </w:rPr>
        <w:t>Benzamides substitués</w:t>
      </w:r>
      <w:r>
        <w:t xml:space="preserve"> (sulpiride, amisulpride) : antagonistes </w:t>
      </w:r>
      <w:r>
        <w:rPr>
          <w:b/>
        </w:rPr>
        <w:t>sélectifs D2/D3</w:t>
      </w:r>
      <w:r>
        <w:t xml:space="preserve"> (faible affinité pour D1, D4, D5, α, H1, M1, 5-HT), avec </w:t>
      </w:r>
      <w:r>
        <w:rPr>
          <w:b/>
        </w:rPr>
        <w:t>privilège limbique</w:t>
      </w:r>
      <w:r>
        <w:t xml:space="preserve"> (blocage préférentiel des récepteurs D2/D3 mésolimbiques par rapport aux D2/D3 nigro-striées et tubéro-infundibulaires) — d'où un profil atypique partiel, peu d'EPS à dose modérée, peu d'hypotension, peu de sédation, mais </w:t>
      </w:r>
      <w:r>
        <w:rPr>
          <w:b/>
        </w:rPr>
        <w:t>effet dose-dépendant biphasique</w:t>
      </w:r>
      <w:r>
        <w:t xml:space="preserve"> (stimulation à faible dose par blocage préférentiel des autérécepteurs présynaptiques D2/D3, levée de l'inhibition autocrine → levée de freinage dopaminergique → effet psychostimulant et antidépressogène ; blocage postsynaptique à forte dose → effet antipsychotique).</w:t>
      </w:r>
    </w:p>
    <w:p>
      <w:pPr>
        <w:pStyle w:val="Heading3"/>
      </w:pPr>
      <w:r>
        <w:t>Classification chimique et puissance antipsychotique</w:t>
      </w:r>
    </w:p>
    <w:p>
      <w:r>
        <w:t xml:space="preserve">La classification historique des neuroleptiques typiques repose sur deux critères complémentaires : la </w:t>
      </w:r>
      <w:r>
        <w:rPr>
          <w:b/>
        </w:rPr>
        <w:t>structure chimique</w:t>
      </w:r>
      <w:r>
        <w:t xml:space="preserve"> et la </w:t>
      </w:r>
      <w:r>
        <w:rPr>
          <w:b/>
        </w:rPr>
        <w:t>puissance antipsychotique</w:t>
      </w:r>
      <w:r>
        <w:t xml:space="preserve"> (rapport entre la dose antipsychotique efficace et la dose induisant des effets extrapyramidaux). Le tableau ci-dessous synthétise la classification en usage en clinique :</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Sous-classe chimique</w:t>
            </w:r>
          </w:p>
        </w:tc>
        <w:tc>
          <w:tcPr>
            <w:tcW w:type="dxa" w:w="1169"/>
          </w:tcPr>
          <w:p>
            <w:r>
              <w:rPr>
                <w:b/>
                <w:sz w:val="20"/>
              </w:rPr>
              <w:t>DCI principale</w:t>
            </w:r>
          </w:p>
        </w:tc>
        <w:tc>
          <w:tcPr>
            <w:tcW w:type="dxa" w:w="1169"/>
          </w:tcPr>
          <w:p>
            <w:r>
              <w:rPr>
                <w:b/>
                <w:sz w:val="20"/>
              </w:rPr>
              <w:t>Puissance D2 (Ki, nM)</w:t>
            </w:r>
          </w:p>
        </w:tc>
        <w:tc>
          <w:tcPr>
            <w:tcW w:type="dxa" w:w="1169"/>
          </w:tcPr>
          <w:p>
            <w:r>
              <w:rPr>
                <w:b/>
                <w:sz w:val="20"/>
              </w:rPr>
              <w:t>Dose antipsychotique (mg/j)</w:t>
            </w:r>
          </w:p>
        </w:tc>
        <w:tc>
          <w:tcPr>
            <w:tcW w:type="dxa" w:w="1169"/>
          </w:tcPr>
          <w:p>
            <w:r>
              <w:rPr>
                <w:b/>
                <w:sz w:val="20"/>
              </w:rPr>
              <w:t>Sédation</w:t>
            </w:r>
          </w:p>
        </w:tc>
        <w:tc>
          <w:tcPr>
            <w:tcW w:type="dxa" w:w="1169"/>
          </w:tcPr>
          <w:p>
            <w:r>
              <w:rPr>
                <w:b/>
                <w:sz w:val="20"/>
              </w:rPr>
              <w:t>Hypotension</w:t>
            </w:r>
          </w:p>
        </w:tc>
        <w:tc>
          <w:tcPr>
            <w:tcW w:type="dxa" w:w="1169"/>
          </w:tcPr>
          <w:p>
            <w:r>
              <w:rPr>
                <w:b/>
                <w:sz w:val="20"/>
              </w:rPr>
              <w:t>EPS</w:t>
            </w:r>
          </w:p>
        </w:tc>
        <w:tc>
          <w:tcPr>
            <w:tcW w:type="dxa" w:w="1169"/>
          </w:tcPr>
          <w:p>
            <w:r>
              <w:rPr>
                <w:b/>
                <w:sz w:val="20"/>
              </w:rPr>
              <w:t>Allongement QT</w:t>
            </w:r>
          </w:p>
        </w:tc>
      </w:tr>
      <w:tr>
        <w:tc>
          <w:tcPr>
            <w:tcW w:type="dxa" w:w="1169"/>
          </w:tcPr>
          <w:p>
            <w:r>
              <w:rPr>
                <w:sz w:val="20"/>
              </w:rPr>
              <w:t>Butyrophénones</w:t>
            </w:r>
          </w:p>
        </w:tc>
        <w:tc>
          <w:tcPr>
            <w:tcW w:type="dxa" w:w="1169"/>
          </w:tcPr>
          <w:p>
            <w:r>
              <w:rPr>
                <w:sz w:val="20"/>
              </w:rPr>
              <w:t>Halopéridol</w:t>
            </w:r>
          </w:p>
        </w:tc>
        <w:tc>
          <w:tcPr>
            <w:tcW w:type="dxa" w:w="1169"/>
          </w:tcPr>
          <w:p>
            <w:r>
              <w:rPr>
                <w:sz w:val="20"/>
              </w:rPr>
              <w:t>1-2 (très puissante)</w:t>
            </w:r>
          </w:p>
        </w:tc>
        <w:tc>
          <w:tcPr>
            <w:tcW w:type="dxa" w:w="1169"/>
          </w:tcPr>
          <w:p>
            <w:r>
              <w:rPr>
                <w:sz w:val="20"/>
              </w:rPr>
              <w:t>5-15</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t>Phénothiazines aliphatiques</w:t>
            </w:r>
          </w:p>
        </w:tc>
        <w:tc>
          <w:tcPr>
            <w:tcW w:type="dxa" w:w="1169"/>
          </w:tcPr>
          <w:p>
            <w:r>
              <w:rPr>
                <w:sz w:val="20"/>
              </w:rPr>
              <w:t>Chlorpromazine</w:t>
            </w:r>
          </w:p>
        </w:tc>
        <w:tc>
          <w:tcPr>
            <w:tcW w:type="dxa" w:w="1169"/>
          </w:tcPr>
          <w:p>
            <w:r>
              <w:rPr>
                <w:sz w:val="20"/>
              </w:rPr>
              <w:t>5-20 (modérée)</w:t>
            </w:r>
          </w:p>
        </w:tc>
        <w:tc>
          <w:tcPr>
            <w:tcW w:type="dxa" w:w="1169"/>
          </w:tcPr>
          <w:p>
            <w:r>
              <w:rPr>
                <w:sz w:val="20"/>
              </w:rPr>
              <w:t>75-800</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r>
          </w:p>
        </w:tc>
        <w:tc>
          <w:tcPr>
            <w:tcW w:type="dxa" w:w="1169"/>
          </w:tcPr>
          <w:p>
            <w:r>
              <w:rPr>
                <w:sz w:val="20"/>
              </w:rPr>
              <w:t>Lévomépromazine</w:t>
            </w:r>
          </w:p>
        </w:tc>
        <w:tc>
          <w:tcPr>
            <w:tcW w:type="dxa" w:w="1169"/>
          </w:tcPr>
          <w:p>
            <w:r>
              <w:rPr>
                <w:sz w:val="20"/>
              </w:rPr>
              <w:t>5-15 (modérée)</w:t>
            </w:r>
          </w:p>
        </w:tc>
        <w:tc>
          <w:tcPr>
            <w:tcW w:type="dxa" w:w="1169"/>
          </w:tcPr>
          <w:p>
            <w:r>
              <w:rPr>
                <w:sz w:val="20"/>
              </w:rPr>
              <w:t>25-200</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t>Phénothiazines pipérazinées</w:t>
            </w:r>
          </w:p>
        </w:tc>
        <w:tc>
          <w:tcPr>
            <w:tcW w:type="dxa" w:w="1169"/>
          </w:tcPr>
          <w:p>
            <w:r>
              <w:rPr>
                <w:sz w:val="20"/>
              </w:rPr>
              <w:t>Fluphénazine</w:t>
            </w:r>
          </w:p>
        </w:tc>
        <w:tc>
          <w:tcPr>
            <w:tcW w:type="dxa" w:w="1169"/>
          </w:tcPr>
          <w:p>
            <w:r>
              <w:rPr>
                <w:sz w:val="20"/>
              </w:rPr>
              <w:t>0,5-2 (très puissante)</w:t>
            </w:r>
          </w:p>
        </w:tc>
        <w:tc>
          <w:tcPr>
            <w:tcW w:type="dxa" w:w="1169"/>
          </w:tcPr>
          <w:p>
            <w:r>
              <w:rPr>
                <w:sz w:val="20"/>
              </w:rPr>
              <w:t>2,5-15</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r>
          </w:p>
        </w:tc>
        <w:tc>
          <w:tcPr>
            <w:tcW w:type="dxa" w:w="1169"/>
          </w:tcPr>
          <w:p>
            <w:r>
              <w:rPr>
                <w:sz w:val="20"/>
              </w:rPr>
              <w:t>Trifluopérazine</w:t>
            </w:r>
          </w:p>
        </w:tc>
        <w:tc>
          <w:tcPr>
            <w:tcW w:type="dxa" w:w="1169"/>
          </w:tcPr>
          <w:p>
            <w:r>
              <w:rPr>
                <w:sz w:val="20"/>
              </w:rPr>
              <w:t>0,5-2 (très puissante)</w:t>
            </w:r>
          </w:p>
        </w:tc>
        <w:tc>
          <w:tcPr>
            <w:tcW w:type="dxa" w:w="1169"/>
          </w:tcPr>
          <w:p>
            <w:r>
              <w:rPr>
                <w:sz w:val="20"/>
              </w:rPr>
              <w:t>5-20</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t>Phénothiazines pipéridinées</w:t>
            </w:r>
          </w:p>
        </w:tc>
        <w:tc>
          <w:tcPr>
            <w:tcW w:type="dxa" w:w="1169"/>
          </w:tcPr>
          <w:p>
            <w:r>
              <w:rPr>
                <w:sz w:val="20"/>
              </w:rPr>
              <w:t>Thioridazine</w:t>
            </w:r>
          </w:p>
        </w:tc>
        <w:tc>
          <w:tcPr>
            <w:tcW w:type="dxa" w:w="1169"/>
          </w:tcPr>
          <w:p>
            <w:r>
              <w:rPr>
                <w:sz w:val="20"/>
              </w:rPr>
              <w:t>5-15 (modérée)</w:t>
            </w:r>
          </w:p>
        </w:tc>
        <w:tc>
          <w:tcPr>
            <w:tcW w:type="dxa" w:w="1169"/>
          </w:tcPr>
          <w:p>
            <w:r>
              <w:rPr>
                <w:sz w:val="20"/>
              </w:rPr>
              <w:t>50-600</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 (Black Box)</w:t>
            </w:r>
          </w:p>
        </w:tc>
      </w:tr>
      <w:tr>
        <w:tc>
          <w:tcPr>
            <w:tcW w:type="dxa" w:w="1169"/>
          </w:tcPr>
          <w:p>
            <w:r>
              <w:rPr>
                <w:sz w:val="20"/>
              </w:rPr>
              <w:t>Benzamides substitués</w:t>
            </w:r>
          </w:p>
        </w:tc>
        <w:tc>
          <w:tcPr>
            <w:tcW w:type="dxa" w:w="1169"/>
          </w:tcPr>
          <w:p>
            <w:r>
              <w:rPr>
                <w:sz w:val="20"/>
              </w:rPr>
              <w:t>Sulpiride</w:t>
            </w:r>
          </w:p>
        </w:tc>
        <w:tc>
          <w:tcPr>
            <w:tcW w:type="dxa" w:w="1169"/>
          </w:tcPr>
          <w:p>
            <w:r>
              <w:rPr>
                <w:sz w:val="20"/>
              </w:rPr>
              <w:t>20-50 (modérée)</w:t>
            </w:r>
          </w:p>
        </w:tc>
        <w:tc>
          <w:tcPr>
            <w:tcW w:type="dxa" w:w="1169"/>
          </w:tcPr>
          <w:p>
            <w:r>
              <w:rPr>
                <w:sz w:val="20"/>
              </w:rPr>
              <w:t>200-1000</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r>
          </w:p>
        </w:tc>
        <w:tc>
          <w:tcPr>
            <w:tcW w:type="dxa" w:w="1169"/>
          </w:tcPr>
          <w:p>
            <w:r>
              <w:rPr>
                <w:sz w:val="20"/>
              </w:rPr>
              <w:t>Amisulpride</w:t>
            </w:r>
          </w:p>
        </w:tc>
        <w:tc>
          <w:tcPr>
            <w:tcW w:type="dxa" w:w="1169"/>
          </w:tcPr>
          <w:p>
            <w:r>
              <w:rPr>
                <w:sz w:val="20"/>
              </w:rPr>
              <w:t>5-10 (modérée à élevée)</w:t>
            </w:r>
          </w:p>
        </w:tc>
        <w:tc>
          <w:tcPr>
            <w:tcW w:type="dxa" w:w="1169"/>
          </w:tcPr>
          <w:p>
            <w:r>
              <w:rPr>
                <w:sz w:val="20"/>
              </w:rPr>
              <w:t>50-1200</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bl>
    <w:p/>
    <w:p>
      <w:r>
        <w:t xml:space="preserve">Cette classification est déterminante pour la </w:t>
      </w:r>
      <w:r>
        <w:rPr>
          <w:b/>
        </w:rPr>
        <w:t>stratégie thérapeutique</w:t>
      </w:r>
      <w:r>
        <w:t xml:space="preserve"> : un antipsychotique « incisif » (halopéridol, fluphénazine, trifluopérazine) sera privilégié pour contrôler rapidement un episode psychotique aigu avec agitation majeure, alors qu'un antipsychotique « sédatif » (chlorpromazine, lévomépromazine) sera préféré chez le patient psychotique avec anxiété, insomnie ou agitation modérée mais avec composante anxieuse prédominante. Les benzamides (sulpiride, amisulpride) occupent une place particulière : ils sont </w:t>
      </w:r>
      <w:r>
        <w:rPr>
          <w:b/>
        </w:rPr>
        <w:t>moins sédatifs</w:t>
      </w:r>
      <w:r>
        <w:t xml:space="preserve">, </w:t>
      </w:r>
      <w:r>
        <w:rPr>
          <w:b/>
        </w:rPr>
        <w:t>moins hypotenseurs</w:t>
      </w:r>
      <w:r>
        <w:t xml:space="preserve"> et </w:t>
      </w:r>
      <w:r>
        <w:rPr>
          <w:b/>
        </w:rPr>
        <w:t>moins extrapyramidaux</w:t>
      </w:r>
      <w:r>
        <w:t xml:space="preserve"> que les autres typiques, et l'amisulpride est parfois classé parmi les </w:t>
      </w:r>
      <w:r>
        <w:rPr>
          <w:b/>
        </w:rPr>
        <w:t>antipsychotiques atypiques</w:t>
      </w:r>
      <w:r>
        <w:t xml:space="preserve"> par certains auteurs (en raison de son profil préférentiel limbique et de l'effet antidépressogène à faible dose) — bien que la classification française classique (et le RCP de l'AMM) le maintienne parmi les antipsychotiques de 1re génération.</w:t>
      </w:r>
    </w:p>
    <w:p>
      <w:pPr>
        <w:pStyle w:val="Heading3"/>
      </w:pPr>
      <w:r>
        <w:t>Place actuelle dans la stratégie thérapeutique (guidelines WFSBP, HAS, NICE)</w:t>
      </w:r>
    </w:p>
    <w:p>
      <w:r>
        <w:t xml:space="preserve">L'arrivée des </w:t>
      </w:r>
      <w:r>
        <w:rPr>
          <w:b/>
        </w:rPr>
        <w:t>antipsychotiques atypiques (2e génération)</w:t>
      </w:r>
      <w:r>
        <w:t xml:space="preserve"> à partir de 1989 (clozapine réintroduite après le scandale de 1975, puis rispéridone 1993, olanzapine 1996, quetiapine 1997, aripiprazole 2002, paliperidone 2007) a profondément modifié l'algorithme thérapeutique de la schizophrénie. Les recommandations internationales actuelles (WFSBP 2013 sur la schizophrénie, NICE 2014 mise à jour 2022, HAS 2018 « Parcours de soins en schizophrénie », APA 2020) placent désormais les </w:t>
      </w:r>
      <w:r>
        <w:rPr>
          <w:b/>
        </w:rPr>
        <w:t>antipsychotiques atypiques en première intention</w:t>
      </w:r>
      <w:r>
        <w:t xml:space="preserve"> dans le traitement d'entretien de la schizophrénie, en raison de leur moindre risque d'EPS et de dyskinésie tardive (gradient clozapine &gt; quetiapine &gt; olanzapine &gt; rispéridone &gt; aripiprazole) et de leur efficacité supérieure sur les symptômes négatifs. Cependant, les antipsychotiques typiques conservent des </w:t>
      </w:r>
      <w:r>
        <w:rPr>
          <w:b/>
        </w:rPr>
        <w:t>indications résiduelles majeures</w:t>
      </w:r>
      <w:r>
        <w:t xml:space="preserve"> qui justifient pleinement leur maintien dans l'arsenal thérapeutique algérien :</w:t>
      </w:r>
    </w:p>
    <w:p>
      <w:pPr>
        <w:pStyle w:val="ListNumber"/>
      </w:pPr>
      <w:r/>
      <w:r>
        <w:rPr>
          <w:b/>
        </w:rPr>
        <w:t>Accès thérapeutique et coût</w:t>
      </w:r>
      <w:r>
        <w:t xml:space="preserve"> : en Algérie, les antipsychotiques typiques (halopéridol, chlorpromazine, lévomépromazine, sulpiride, amisulpride) sont disponibles en générique à coût modeste, ce qui en fait les molécules de référence pour les patients à faible revenu ou sans couverture sociale étendue — un enjeu majeur de santé publique dans un pays où la schizophrénie touche environ 1 % de la population (≈ 450 000 patients) et où la prise en charge au long cours (parfois à vie) exige une soutenabilité économique.</w:t>
      </w:r>
    </w:p>
    <w:p>
      <w:pPr>
        <w:pStyle w:val="ListNumber"/>
      </w:pPr>
      <w:r/>
      <w:r>
        <w:rPr>
          <w:b/>
        </w:rPr>
        <w:t>Agitation psychotique aiguë</w:t>
      </w:r>
      <w:r>
        <w:t xml:space="preserve"> : l'</w:t>
      </w:r>
      <w:r>
        <w:rPr>
          <w:b/>
        </w:rPr>
        <w:t>halopéridol IM</w:t>
      </w:r>
      <w:r>
        <w:t xml:space="preserve"> reste un standard mondial de l'agitation psychotique aiguë aux urgences psychiatriques, en association avec la </w:t>
      </w:r>
      <w:r>
        <w:rPr>
          <w:b/>
        </w:rPr>
        <w:t>lorazépam</w:t>
      </w:r>
      <w:r>
        <w:t xml:space="preserve"> et la </w:t>
      </w:r>
      <w:r>
        <w:rPr>
          <w:b/>
        </w:rPr>
        <w:t>prométhazine</w:t>
      </w:r>
      <w:r>
        <w:t xml:space="preserve"> (complexe « HLP » — *Haloperidol-Lorazepam-Promethazine*) selon les recommandations OMS/WFSBP pour la sédation rapide. La chlorpromazine IM a été largement utilisée dans le passé mais est aujourd'hui supplantée par l'halopéridol en raison de son meilleur profil cardiovasculaire.</w:t>
      </w:r>
    </w:p>
    <w:p>
      <w:pPr>
        <w:pStyle w:val="ListNumber"/>
      </w:pPr>
      <w:r/>
      <w:r>
        <w:rPr>
          <w:b/>
        </w:rPr>
        <w:t>Patients répondeurs préférentiels aux typiques</w:t>
      </w:r>
      <w:r>
        <w:t xml:space="preserve"> : certains patients présentent une réponse symptomatique supérieure aux typiques qu'aux atypiques — environ 20-30 % des patients schizophrènes restent mieux contrôlés sous halopéridol ou fluphénazine decanoate LP. Le switch typique → atypique n'est pas systématique en cas d'équilibre thérapeutique ancien.</w:t>
      </w:r>
    </w:p>
    <w:p>
      <w:pPr>
        <w:pStyle w:val="ListNumber"/>
      </w:pPr>
      <w:r/>
      <w:r>
        <w:rPr>
          <w:b/>
        </w:rPr>
        <w:t>Formes retard (decanoate)</w:t>
      </w:r>
      <w:r>
        <w:t xml:space="preserve"> : la </w:t>
      </w:r>
      <w:r>
        <w:rPr>
          <w:b/>
        </w:rPr>
        <w:t>disponibilité de formes galéniques à libération prolongée injectables IM mensuelles</w:t>
      </w:r>
      <w:r>
        <w:t xml:space="preserve"> (halopéridol decanoate, fluphénazine decanoate) est un atout majeur pour les patients </w:t>
      </w:r>
      <w:r>
        <w:rPr>
          <w:b/>
        </w:rPr>
        <w:t>non observants</w:t>
      </w:r>
      <w:r>
        <w:t xml:space="preserve"> (≈ 50 % des schizophrènes à 1 an), avec une réduction documentée du taux de rechute (40 % vs 70 % à 1 an selon l'étude de Kane 2002 sur l'observance). Cette stratégie de psychothérapie injectable prolongée est irremplaçable en psychiatrie de proximité algérienne.</w:t>
      </w:r>
    </w:p>
    <w:p>
      <w:pPr>
        <w:pStyle w:val="ListNumber"/>
      </w:pPr>
      <w:r/>
      <w:r>
        <w:rPr>
          <w:b/>
        </w:rPr>
        <w:t>Indications spécifiques hors schizophrénie</w:t>
      </w:r>
      <w:r>
        <w:t xml:space="preserve"> : chlorpromazine dans le </w:t>
      </w:r>
      <w:r>
        <w:rPr>
          <w:b/>
        </w:rPr>
        <w:t>hoquet réfractaire</w:t>
      </w:r>
      <w:r>
        <w:t xml:space="preserve"> (HICP — *Hiccup Intractable Chronic Persistent*), lévomépromazine en </w:t>
      </w:r>
      <w:r>
        <w:rPr>
          <w:b/>
        </w:rPr>
        <w:t>soins palliatifs</w:t>
      </w:r>
      <w:r>
        <w:t xml:space="preserve"> (antalgie, sédation terminale), halopéridol dans les </w:t>
      </w:r>
      <w:r>
        <w:rPr>
          <w:b/>
        </w:rPr>
        <w:t>nausées-vomissements chimio-induits</w:t>
      </w:r>
      <w:r>
        <w:t xml:space="preserve"> à faible dose (blocage D2 / CTZ *chemoreceptor trigger zone*), halopéridol dans le </w:t>
      </w:r>
      <w:r>
        <w:rPr>
          <w:b/>
        </w:rPr>
        <w:t>delirium</w:t>
      </w:r>
      <w:r>
        <w:t xml:space="preserve"> en réanimation (algorithme ABCDEF), sulpiride à faible dose dans les </w:t>
      </w:r>
      <w:r>
        <w:rPr>
          <w:b/>
        </w:rPr>
        <w:t>troubles dépressifs</w:t>
      </w:r>
      <w:r>
        <w:t xml:space="preserve"> (effet psychostimulant par blocage présynaptique), trifluopérazine dans certaines </w:t>
      </w:r>
      <w:r>
        <w:rPr>
          <w:b/>
        </w:rPr>
        <w:t>anorexies</w:t>
      </w:r>
      <w:r>
        <w:t xml:space="preserve"> (effet anti-nauséeux).</w:t>
      </w:r>
    </w:p>
    <w:p>
      <w:pPr>
        <w:pStyle w:val="Heading3"/>
      </w:pPr>
      <w:r>
        <w:t>Pharmacocinétique commune et propriétés</w:t>
      </w:r>
    </w:p>
    <w:p>
      <w:r>
        <w:t xml:space="preserve">La plupart des antipsychotiques typiques sont </w:t>
      </w:r>
      <w:r>
        <w:rPr>
          <w:b/>
        </w:rPr>
        <w:t>lipophiles</w:t>
      </w:r>
      <w:r>
        <w:t xml:space="preserve">, </w:t>
      </w:r>
      <w:r>
        <w:rPr>
          <w:b/>
        </w:rPr>
        <w:t>métabolisés par le foie</w:t>
      </w:r>
      <w:r>
        <w:t xml:space="preserve"> (CYP450, notamment CYP2D6, CYP3A4, CYP1A2), avec un </w:t>
      </w:r>
      <w:r>
        <w:rPr>
          <w:b/>
        </w:rPr>
        <w:t>effet de premier passage hépatique</w:t>
      </w:r>
      <w:r>
        <w:t xml:space="preserve"> marqué et une </w:t>
      </w:r>
      <w:r>
        <w:rPr>
          <w:b/>
        </w:rPr>
        <w:t>demi-vie d'élimination</w:t>
      </w:r>
      <w:r>
        <w:t xml:space="preserve"> variable (5-30 h pour les formes immédiates, jusqu'à 4 semaines pour les decanoates LP). La biodisponibilité orale est modeste (20-70 %) en raison du métabolisme de premier passage. La </w:t>
      </w:r>
      <w:r>
        <w:rPr>
          <w:b/>
        </w:rPr>
        <w:t>fixation protéique</w:t>
      </w:r>
      <w:r>
        <w:t xml:space="preserve"> est élevée (90-95 %) sur l'albumine et l'α1-glycoprotéine acide, ce qui expose à des </w:t>
      </w:r>
      <w:r>
        <w:rPr>
          <w:b/>
        </w:rPr>
        <w:t>interactions de déplacement</w:t>
      </w:r>
      <w:r>
        <w:t xml:space="preserve"> (AINS, anticoagulants oraux). L'élimination est </w:t>
      </w:r>
      <w:r>
        <w:rPr>
          <w:b/>
        </w:rPr>
        <w:t>urinaire et biliaire</w:t>
      </w:r>
      <w:r>
        <w:t xml:space="preserve">, sous forme de métabolites conjugués. Plusieurs métabolites sont </w:t>
      </w:r>
      <w:r>
        <w:rPr>
          <w:b/>
        </w:rPr>
        <w:t>actifs</w:t>
      </w:r>
      <w:r>
        <w:t xml:space="preserve"> (par exemple la </w:t>
      </w:r>
      <w:r>
        <w:rPr>
          <w:b/>
        </w:rPr>
        <w:t>réduction du 9-hydroxy-halopéridol</w:t>
      </w:r>
      <w:r>
        <w:t xml:space="preserve"> — aussi actif que la molécule mère sur D2) — ce qui prolonge la demi-vie effective. La </w:t>
      </w:r>
      <w:r>
        <w:rPr>
          <w:b/>
        </w:rPr>
        <w:t>gériatrie</w:t>
      </w:r>
      <w:r>
        <w:t xml:space="preserve"> expose à une augmentation des concentrations plasmatiques par réduction du métabolisme hépatique et de la clairance rénale, d'où la règle absolue de </w:t>
      </w:r>
      <w:r>
        <w:rPr>
          <w:b/>
        </w:rPr>
        <w:t>réduction posologique de moitié</w:t>
      </w:r>
      <w:r>
        <w:t xml:space="preserve"> chez le sujet âgé. La </w:t>
      </w:r>
      <w:r>
        <w:rPr>
          <w:b/>
        </w:rPr>
        <w:t>grossesse</w:t>
      </w:r>
      <w:r>
        <w:t xml:space="preserve"> est un sujet délicat : les antipsychotiques typiques traversent le placenta, aucun n'est tératogène majeur documenté (CRAT — données rassurantes pour l'halopéridol notamment), mais des effets sur le système nerveux fœtal en développement (somnolence néonatale, hypotonie, hyperréflexivité, </w:t>
      </w:r>
      <w:r>
        <w:rPr>
          <w:b/>
        </w:rPr>
        <w:t>symptômes extrapyramidaux néonatals transitoires</w:t>
      </w:r>
      <w:r>
        <w:t xml:space="preserve">) sont possibles. L'allaitement est généralement </w:t>
      </w:r>
      <w:r>
        <w:rPr>
          <w:b/>
        </w:rPr>
        <w:t>compatible</w:t>
      </w:r>
      <w:r>
        <w:t xml:space="preserve"> (CRAT) en raison d'un faible passage lacté, à l'exception de la chlorpromazine (sédation néonatale possible) et de la thioridazine.</w:t>
      </w:r>
    </w:p>
    <w:p>
      <w:pPr>
        <w:pStyle w:val="Heading3"/>
      </w:pPr>
      <w:r>
        <w:t>Effets indésirables transversaux à connaître</w:t>
      </w:r>
    </w:p>
    <w:p>
      <w:r>
        <w:t xml:space="preserve">Indépendamment des particularités moléculaires, tout antipsychotique typique expose à un </w:t>
      </w:r>
      <w:r>
        <w:rPr>
          <w:b/>
        </w:rPr>
        <w:t>éventail d'effets indésirables transversaux</w:t>
      </w:r>
      <w:r>
        <w:t xml:space="preserve"> que le pharmacien d'officina doit savoir reconnaître et prévenir :</w:t>
      </w:r>
    </w:p>
    <w:p>
      <w:pPr>
        <w:pStyle w:val="ListBullet"/>
      </w:pPr>
      <w:r/>
      <w:r>
        <w:rPr>
          <w:b/>
        </w:rPr>
        <w:t>Symptômes extrapyramidaux (EPS)</w:t>
      </w:r>
      <w:r>
        <w:t xml:space="preserve"> : akathisie (impatience motrice, incapacité à rester immobile — apparaît en quelques heures à jours), parkinsonisme (hypertonie plastique en roue dentée, akinésie, tremblement de repos — apparaît en jours à semaines), dystonie aiguë (torsion musculaire brutale, opisthotonos, crise oculogyre — apparaît en heures, surtout sujet jeune homme — </w:t>
      </w:r>
      <w:r>
        <w:rPr>
          <w:b/>
        </w:rPr>
        <w:t>urgence thérapeutique</w:t>
      </w:r>
      <w:r>
        <w:t xml:space="preserve"> — traitement : anticholinergique IM/IV bipéridène ou trihexyphénidyle), dyskinésie tardive (mouvements choréiformes orofaciaux, mouvements anormaux des membres — apparaît après des mois à années de traitement, </w:t>
      </w:r>
      <w:r>
        <w:rPr>
          <w:b/>
        </w:rPr>
        <w:t>potentiellement irréversible</w:t>
      </w:r>
      <w:r>
        <w:t xml:space="preserve"> — incidence 5 % par an — pas de traitement curatif — prévention : dose minimale efficace, interruption périodique).</w:t>
      </w:r>
    </w:p>
    <w:p>
      <w:pPr>
        <w:pStyle w:val="ListBullet"/>
      </w:pPr>
      <w:r/>
      <w:r>
        <w:rPr>
          <w:b/>
        </w:rPr>
        <w:t>Syndrome malin des neuroleptiques (SMN)</w:t>
      </w:r>
      <w:r>
        <w:t xml:space="preserve"> : </w:t>
      </w:r>
      <w:r>
        <w:rPr>
          <w:b/>
        </w:rPr>
        <w:t>urgence vitale</w:t>
      </w:r>
      <w:r>
        <w:t xml:space="preserve"> (mortalité 10-20 %) — hyperthermie &gt; 38,5 °C, hyperrigidité musculaire (« lead pipe »), altération de la conscience (obnubilation, confusion, coma), dysautonomie (PA instable, tachycardie, diaphorèse, incontinence urinaire), biologie : rhabdomyolyse (CPK &gt; 1000 UI/L, myoglobinurie), insuffisance rénale aiguë, leucocytose, perturbation du bilan hépatique. Délai : heures à semaines après initiation ou augmentation de dose. Mécanisme : blocage D2 hypothalamique et nigro-striatal massif avec dysrégulation thermique. Traitement : </w:t>
      </w:r>
      <w:r>
        <w:rPr>
          <w:b/>
        </w:rPr>
        <w:t>arrêt immédiat du neuroleptique</w:t>
      </w:r>
      <w:r>
        <w:t xml:space="preserve">, hospitalisation en réanimation, </w:t>
      </w:r>
      <w:r>
        <w:rPr>
          <w:b/>
        </w:rPr>
        <w:t>dantrolène IV</w:t>
      </w:r>
      <w:r>
        <w:t xml:space="preserve"> (relaxant musculaire — 1-10 mg/kg), </w:t>
      </w:r>
      <w:r>
        <w:rPr>
          <w:b/>
        </w:rPr>
        <w:t>bromocriptine PO/NG</w:t>
      </w:r>
      <w:r>
        <w:t xml:space="preserve"> (agoniste D2 — 2,5-15 mg/j), refroidissement actif, hydratation. Prévention : pas de réintroduction précoce (respecter un délai de 2-4 semaines après résolution), privilégier un atypique à faible dose à la reprise.</w:t>
      </w:r>
    </w:p>
    <w:p>
      <w:pPr>
        <w:pStyle w:val="ListBullet"/>
      </w:pPr>
      <w:r/>
      <w:r>
        <w:rPr>
          <w:b/>
        </w:rPr>
        <w:t>Allongement de l'espace QT</w:t>
      </w:r>
      <w:r>
        <w:t xml:space="preserve"> : blocage des canaux potassiques hERG Kv11.1 (répolarisation ventriculaire) — risque de </w:t>
      </w:r>
      <w:r>
        <w:rPr>
          <w:b/>
        </w:rPr>
        <w:t>torsades de pointes (TdP)</w:t>
      </w:r>
      <w:r>
        <w:t xml:space="preserve"> pouvant dégénérer en fibrillation ventriculaire. Le risque est particulièrement marqué avec la </w:t>
      </w:r>
      <w:r>
        <w:rPr>
          <w:b/>
        </w:rPr>
        <w:t>thioridazine</w:t>
      </w:r>
      <w:r>
        <w:t xml:space="preserve"> (Black Box Warning — retrait du marché mondial), la </w:t>
      </w:r>
      <w:r>
        <w:rPr>
          <w:b/>
        </w:rPr>
        <w:t>chlorpromazine</w:t>
      </w:r>
      <w:r>
        <w:t xml:space="preserve"> à forte dose, l'</w:t>
      </w:r>
      <w:r>
        <w:rPr>
          <w:b/>
        </w:rPr>
        <w:t>halopéridol IV</w:t>
      </w:r>
      <w:r>
        <w:t xml:space="preserve"> à forte dose, et le </w:t>
      </w:r>
      <w:r>
        <w:rPr>
          <w:b/>
        </w:rPr>
        <w:t>dropéridol</w:t>
      </w:r>
      <w:r>
        <w:t xml:space="preserve"> (non commercialisé en Algérie). Surveillance ECG systématique si antécédent cardiaque, hypokaliémie, association à un autre allongeur de QT.</w:t>
      </w:r>
    </w:p>
    <w:p>
      <w:pPr>
        <w:pStyle w:val="ListBullet"/>
      </w:pPr>
      <w:r/>
      <w:r>
        <w:rPr>
          <w:b/>
        </w:rPr>
        <w:t>Hypotension orthostatique</w:t>
      </w:r>
      <w:r>
        <w:t xml:space="preserve"> : blocage α1-adrénergique vasculaire — surtout marqué avec chlorpromazine, lévomépromazine, thioridazine. Risque de chute chez le sujet âgé (fracture du col fémoral).</w:t>
      </w:r>
    </w:p>
    <w:p>
      <w:pPr>
        <w:pStyle w:val="ListBullet"/>
      </w:pPr>
      <w:r/>
      <w:r>
        <w:rPr>
          <w:b/>
        </w:rPr>
        <w:t>Sédation, somnolence</w:t>
      </w:r>
      <w:r>
        <w:t xml:space="preserve"> : blocage H1 et α1 — surtout marqué avec chlorpromazine, lévomépromazine, thioridazine.</w:t>
      </w:r>
    </w:p>
    <w:p>
      <w:pPr>
        <w:pStyle w:val="ListBullet"/>
      </w:pPr>
      <w:r/>
      <w:r>
        <w:rPr>
          <w:b/>
        </w:rPr>
        <w:t>Prise de poids et troubles métaboliques</w:t>
      </w:r>
      <w:r>
        <w:t xml:space="preserve"> : moins marquée qu'avec les atypiques (olanzapine, clozapine), mais présente avec les phénothiazines aliphatiques et pipéridinées (chlorpromazine, lévomépromazine, thioridazine).</w:t>
      </w:r>
    </w:p>
    <w:p>
      <w:pPr>
        <w:pStyle w:val="ListBullet"/>
      </w:pPr>
      <w:r/>
      <w:r>
        <w:rPr>
          <w:b/>
        </w:rPr>
        <w:t>Hyperprolactinémie</w:t>
      </w:r>
      <w:r>
        <w:t xml:space="preserve"> : blocage D2 tubéro-infundibulaire → levée de l'inhibition dopaminergique tonique sur les cellules lactotropes → hyperprolactinémie → galactorrhée, aménorrhée, gynécomastie, troubles sexuels. Plus marquée avec les benzamides (sulpiride, amisulpride) — peu marquée avec l'halopéridol à dose standard.</w:t>
      </w:r>
    </w:p>
    <w:p>
      <w:pPr>
        <w:pStyle w:val="ListBullet"/>
      </w:pPr>
      <w:r/>
      <w:r>
        <w:rPr>
          <w:b/>
        </w:rPr>
        <w:t>Effets anticholinergiques</w:t>
      </w:r>
      <w:r>
        <w:t xml:space="preserve"> : sécheresse buccale, constipation (paralysie péristaltisme — risque d'occlusion paralytique chez le sujet âgé), rétention urinaire (surtout sujet âgé avec adénome prostatique), troubles de l'accommodation, tachycardie, troubles cognitifs (confusion chez le sujet âgé — mémoire, attention).</w:t>
      </w:r>
    </w:p>
    <w:p>
      <w:pPr>
        <w:pStyle w:val="ListBullet"/>
      </w:pPr>
      <w:r/>
      <w:r>
        <w:rPr>
          <w:b/>
        </w:rPr>
        <w:t>Photosensibilité</w:t>
      </w:r>
      <w:r>
        <w:t xml:space="preserve"> : surtout phénothiazines (réactions cutanées au soleil — pigmentation, éruptions, érythème).</w:t>
      </w:r>
    </w:p>
    <w:p>
      <w:pPr>
        <w:pStyle w:val="ListBullet"/>
      </w:pPr>
      <w:r/>
      <w:r>
        <w:rPr>
          <w:b/>
        </w:rPr>
        <w:t>Réactions cutanées</w:t>
      </w:r>
      <w:r>
        <w:t xml:space="preserve"> : pigmentation (lavage de peau gris-bleu avec chlorpromazine au long cours), éruptions, urticaire, exceptionnels syndromes de Stevens-Johnson ou Lyell.</w:t>
      </w:r>
    </w:p>
    <w:p>
      <w:pPr>
        <w:pStyle w:val="ListBullet"/>
      </w:pPr>
      <w:r/>
      <w:r>
        <w:rPr>
          <w:b/>
        </w:rPr>
        <w:t>Effets hématologiques</w:t>
      </w:r>
      <w:r>
        <w:t xml:space="preserve"> : leucopénie, agranulocytose (rare sauf clozapine atypique), thrombopénie.</w:t>
      </w:r>
    </w:p>
    <w:p>
      <w:pPr>
        <w:pStyle w:val="ListBullet"/>
      </w:pPr>
      <w:r/>
      <w:r>
        <w:rPr>
          <w:b/>
        </w:rPr>
        <w:t>Convulsions</w:t>
      </w:r>
      <w:r>
        <w:t xml:space="preserve"> : abaissement du seuil épileptogène (surtout chlorpromazine, clozapine — pour mémoire).</w:t>
      </w:r>
    </w:p>
    <w:p>
      <w:pPr>
        <w:pStyle w:val="ListBullet"/>
      </w:pPr>
      <w:r/>
      <w:r>
        <w:rPr>
          <w:b/>
        </w:rPr>
        <w:t>Sédation respiratoire</w:t>
      </w:r>
      <w:r>
        <w:t xml:space="preserve"> : rare sauf en cas de surdosage ou d'association avec d'autres dépresseurs respiratoires.</w:t>
      </w:r>
    </w:p>
    <w:p>
      <w:pPr>
        <w:pStyle w:val="Heading3"/>
      </w:pPr>
      <w:r>
        <w:t>Place du pharmacien d'officine en Algérie dans la sécurisation de la prescription</w:t>
      </w:r>
    </w:p>
    <w:p>
      <w:r>
        <w:t xml:space="preserve">En Algérie, les antipsychotiques typiques sont classés en </w:t>
      </w:r>
      <w:r>
        <w:rPr>
          <w:b/>
        </w:rPr>
        <w:t>Liste I</w:t>
      </w:r>
      <w:r>
        <w:t xml:space="preserve"> (prescription médicale obligatoire, délivrance non restreinte à un spécialiste) — à l'exception notable de la thioridazine, retirée du marché algérien (comme partout dans le monde) en raison du risque cardiaque majeur. La délivrance en officine de ville est donc la règle, avec un suivi de proximité assuré par le pharmacien d'officina qui constitue le premier interlocuteur du patient et de sa famille. Le rôle du pharmacien est pivot sur plusieurs axes :</w:t>
      </w:r>
    </w:p>
    <w:p>
      <w:pPr>
        <w:pStyle w:val="ListBullet"/>
      </w:pPr>
      <w:r/>
      <w:r>
        <w:rPr>
          <w:b/>
        </w:rPr>
        <w:t>Vérification de l'ordonnance</w:t>
      </w:r>
      <w:r>
        <w:t xml:space="preserve"> : dose prescrite, voie d'administration, durée, identité du prescripteur (psychiatre, médecin généraliste), conformité aux recommandations HAS/WFSBP. Une dose manifestement excessive (ex : halopéridol &gt; 20 mg/j, chlorpromazine &gt; 800 mg/j) doit alerter et conduire à un contact téléphonique avec le prescripteur avant délivrance.</w:t>
      </w:r>
    </w:p>
    <w:p>
      <w:pPr>
        <w:pStyle w:val="ListBullet"/>
      </w:pPr>
      <w:r/>
      <w:r>
        <w:rPr>
          <w:b/>
        </w:rPr>
        <w:t>Recherche d'interactions médicamenteuses</w:t>
      </w:r>
      <w:r>
        <w:t xml:space="preserve"> : association à d'autres antipsychotiques, à des médicaments allongeurs de QT (macrolides, fluoroquinolones, antidépresseurs tricycliques, méthadone, amiodarone), à des dépresseurs du SNC (alcool, benzodiazépines, opioïdes), à la </w:t>
      </w:r>
      <w:r>
        <w:rPr>
          <w:b/>
        </w:rPr>
        <w:t>lévodopa</w:t>
      </w:r>
      <w:r>
        <w:t xml:space="preserve"> ou aux </w:t>
      </w:r>
      <w:r>
        <w:rPr>
          <w:b/>
        </w:rPr>
        <w:t>agonistes dopaminergiques</w:t>
      </w:r>
      <w:r>
        <w:t xml:space="preserve"> (antagonisme pharmacodynamique — utilisé pour traiter la maladie de Parkinson — CI absolue), aux </w:t>
      </w:r>
      <w:r>
        <w:rPr>
          <w:b/>
        </w:rPr>
        <w:t>IEC/ARA2/diurétiques</w:t>
      </w:r>
      <w:r>
        <w:t xml:space="preserve"> (hypotension additive).</w:t>
      </w:r>
    </w:p>
    <w:p>
      <w:pPr>
        <w:pStyle w:val="ListBullet"/>
      </w:pPr>
      <w:r/>
      <w:r>
        <w:rPr>
          <w:b/>
        </w:rPr>
        <w:t>Conseils au patient et à l'entourage</w:t>
      </w:r>
      <w:r>
        <w:t xml:space="preserve"> : information sur les effets indésirables attendus (sédation transitoire, hypotension orthostatique, akathisie initiale), surveillance de la température corporelle (suspicion SMN si fièvre), hydratation, prise pendant les repas, </w:t>
      </w:r>
      <w:r>
        <w:rPr>
          <w:b/>
        </w:rPr>
        <w:t>interdiction absolue d'arrêt brutal</w:t>
      </w:r>
      <w:r>
        <w:t xml:space="preserve"> (risque de rechute psychotique, syndrome de sevrage, dyskinésie émergente), information sur les interactions avec l'alcool, surveillance EPS.</w:t>
      </w:r>
    </w:p>
    <w:p>
      <w:pPr>
        <w:pStyle w:val="ListBullet"/>
      </w:pPr>
      <w:r/>
      <w:r>
        <w:rPr>
          <w:b/>
        </w:rPr>
        <w:t>Coordination avec le psychiatre</w:t>
      </w:r>
      <w:r>
        <w:t xml:space="preserve"> : signalement de tout effet indésirable notable, d'une mauvaise observance, d'une dégradation clinique, d'un risque suicidaire.</w:t>
      </w:r>
    </w:p>
    <w:p>
      <w:pPr>
        <w:pStyle w:val="ListBullet"/>
      </w:pPr>
      <w:r/>
      <w:r>
        <w:rPr>
          <w:b/>
        </w:rPr>
        <w:t>Rôle dans l'observance</w:t>
      </w:r>
      <w:r>
        <w:t xml:space="preserve"> : les antipsychotiques typiques ont un enjeu majeur d'observance (50 % de non-observance à 1 an). Les formes decanoate LP mensuelles sont une stratégie majeure pour les patients non observants — le pharmacien d'officina peut faciliter l'accès, vérifier la régularité de l'administration mensuelle, alerter le psychiatre en cas d'absentéisme.</w:t>
      </w:r>
    </w:p>
    <w:p>
      <w:pPr>
        <w:pStyle w:val="ListBullet"/>
      </w:pPr>
      <w:r/>
      <w:r>
        <w:rPr>
          <w:b/>
        </w:rPr>
        <w:t>Vigilance sur les prescriptions anormales</w:t>
      </w:r>
      <w:r>
        <w:t xml:space="preserve"> : association de plusieurs antipsychotiques (polypharmacie psychiatrique — non recommandée sauf cas particulier), association avec des anticholinergiques systématiques (prévention EPS — doit être réévaluée), prescriptions de typiques à des doses cumulées excessives, prescription chez la femme enceinte sans évaluation bénéfice/risque.</w:t>
      </w:r>
    </w:p>
    <w:p>
      <w:pPr>
        <w:pStyle w:val="Heading3"/>
      </w:pPr>
      <w:r>
        <w:t>Objectifs pédagogiques du chapitre</w:t>
      </w:r>
    </w:p>
    <w:p>
      <w:r>
        <w:t>À l'issue de ce chapitre, l'étudiant en pharmacie sera capable de :</w:t>
      </w:r>
    </w:p>
    <w:p>
      <w:pPr>
        <w:pStyle w:val="ListBullet"/>
      </w:pPr>
      <w:r>
        <w:t xml:space="preserve">Décrire les </w:t>
      </w:r>
      <w:r>
        <w:rPr>
          <w:b/>
        </w:rPr>
        <w:t>mécanismes moléculaires</w:t>
      </w:r>
      <w:r>
        <w:t xml:space="preserve"> du blocage D2 et de ses conséquences pharmacodynamiques (voies mésolimbique, nigro-striée, tubéro-infundibulaire, mésocorticale) ;</w:t>
      </w:r>
    </w:p>
    <w:p>
      <w:pPr>
        <w:pStyle w:val="ListBullet"/>
      </w:pPr>
      <w:r>
        <w:t xml:space="preserve">Identifier les </w:t>
      </w:r>
      <w:r>
        <w:rPr>
          <w:b/>
        </w:rPr>
        <w:t>sous-classes chimiques</w:t>
      </w:r>
      <w:r>
        <w:t xml:space="preserve"> des antipsychotiques typiques (butyrophénones, phénothiazines aliphatiques/pipérazinées/pipéridinées, benzamides) et leurs profils d'effets indésirables respectifs ;</w:t>
      </w:r>
    </w:p>
    <w:p>
      <w:pPr>
        <w:pStyle w:val="ListBullet"/>
      </w:pPr>
      <w:r>
        <w:t xml:space="preserve">Maîtriser la </w:t>
      </w:r>
      <w:r>
        <w:rPr>
          <w:b/>
        </w:rPr>
        <w:t>pharmacologie comparée</w:t>
      </w:r>
      <w:r>
        <w:t xml:space="preserve"> des 8 DCI disponibles en Algérie : halopéridol, chlorpromazine, lévomépromazine, fluphénazine, trifluopérazine, thioridazine, sulpiride, amisulpride ;</w:t>
      </w:r>
    </w:p>
    <w:p>
      <w:pPr>
        <w:pStyle w:val="ListBullet"/>
      </w:pPr>
      <w:r>
        <w:t xml:space="preserve">Reconnaître et </w:t>
      </w:r>
      <w:r>
        <w:rPr>
          <w:b/>
        </w:rPr>
        <w:t>prévenir les effets indésirables majeurs</w:t>
      </w:r>
      <w:r>
        <w:t xml:space="preserve"> : EPS (akathisie, parkinsonisme, dystonie, dyskinésie tardive), SMN (urgence vitale), allongement QT (TdP — risque majeur avec thioridazine), hypotension orthostatique, hyperprolactinémie, effets anticholinergiques, photosensibilité ;</w:t>
      </w:r>
    </w:p>
    <w:p>
      <w:pPr>
        <w:pStyle w:val="ListBullet"/>
      </w:pPr>
      <w:r>
        <w:t xml:space="preserve">Maîtriser les </w:t>
      </w:r>
      <w:r>
        <w:rPr>
          <w:b/>
        </w:rPr>
        <w:t>interactions médicamenteuses</w:t>
      </w:r>
      <w:r>
        <w:t xml:space="preserve"> : antagonisme avec lévodopa/agonistes dopaminergiques (CI absolue), potentialisation avec allongeurs QT, sédation additive avec alcool/benzodiazépines/opioïdes ;</w:t>
      </w:r>
    </w:p>
    <w:p>
      <w:pPr>
        <w:pStyle w:val="ListBullet"/>
      </w:pPr>
      <w:r>
        <w:t xml:space="preserve">Conseiller </w:t>
      </w:r>
      <w:r>
        <w:rPr>
          <w:b/>
        </w:rPr>
        <w:t>au comptoir</w:t>
      </w:r>
      <w:r>
        <w:t xml:space="preserve"> le patient et son entourage sur le mode d'administration, l'observance, la surveillance, les signes d'alerte nécessitant un avis médical urgent (fièvre + rigidité = SMN), l'hygiène de vie (hydratation, soleil, alcool), la conduite automobile ;</w:t>
      </w:r>
    </w:p>
    <w:p>
      <w:pPr>
        <w:pStyle w:val="ListBullet"/>
      </w:pPr>
      <w:r>
        <w:t xml:space="preserve">Identifier les </w:t>
      </w:r>
      <w:r>
        <w:rPr>
          <w:b/>
        </w:rPr>
        <w:t>spécialités disponibles en Algérie</w:t>
      </w:r>
      <w:r>
        <w:t xml:space="preserve"> (marques, dosages, statuts Actif / Non Renouvelable / Retiré(R)) pour chacune des 8 DCI traitées, et les particularités algériennes (présence de nombreuses formes génériques, formes orales et injectables, decanoate LP pour halopéridol et fluphénazine, retrait de la thioridazine).</w:t>
      </w:r>
    </w:p>
    <w:p>
      <w:pPr>
        <w:pStyle w:val="Heading2"/>
      </w:pPr>
      <w:r>
        <w:t>2. Introduction à la sous-classe des butyrophénones</w:t>
      </w:r>
    </w:p>
    <w:p>
      <w:pPr>
        <w:pStyle w:val="Heading3"/>
      </w:pPr>
      <w:r>
        <w:t>Définition chimique et positionnement pharmacologique</w:t>
      </w:r>
    </w:p>
    <w:p>
      <w:r>
        <w:t xml:space="preserve">Les </w:t>
      </w:r>
      <w:r>
        <w:rPr>
          <w:b/>
        </w:rPr>
        <w:t>butyrophénones</w:t>
      </w:r>
      <w:r>
        <w:t xml:space="preserve"> constituent une famille chimique d'antipsychotiques typiques dérivés du </w:t>
      </w:r>
      <w:r>
        <w:rPr>
          <w:b/>
        </w:rPr>
        <w:t>4-fluorobutyrophenone</w:t>
      </w:r>
      <w:r>
        <w:t>, dont le chef de file historique et le seul représentant toujours commercialisé en Algérie est l'</w:t>
      </w:r>
      <w:r>
        <w:rPr>
          <w:b/>
        </w:rPr>
        <w:t>halopéridol</w:t>
      </w:r>
      <w:r>
        <w:t xml:space="preserve"> (Haldol® — Janssen 1958). D'autres butyrophénones ont existé (dropéridol — Droleptan®, bromopéridol — Impromen®, triflupéridol — Tripéridol®, melperone — Eunerpan®), mais elles ne sont pas disponibles sur le marché algérien en Avril 2026 (le dropéridol, utilisé en anesthésie et dans les migraines aiguës, a été retiré de la plupart des marchés occidentaux en raison de l'allongement du QT). La structure butyrophénone partage avec la dopamine un </w:t>
      </w:r>
      <w:r>
        <w:rPr>
          <w:b/>
        </w:rPr>
        <w:t>squelette pharmacophore</w:t>
      </w:r>
      <w:r>
        <w:t xml:space="preserve"> commun (groupement aromatique substitué + chaîne carbonée + fonction amine basique) permettant une </w:t>
      </w:r>
      <w:r>
        <w:rPr>
          <w:b/>
        </w:rPr>
        <w:t>fixation de haute affinité</w:t>
      </w:r>
      <w:r>
        <w:t xml:space="preserve"> sur le site orthostérique du récepteur dopaminergique D2 — d'où la </w:t>
      </w:r>
      <w:r>
        <w:rPr>
          <w:b/>
        </w:rPr>
        <w:t>très grande puissance</w:t>
      </w:r>
      <w:r>
        <w:t xml:space="preserve"> antipsychotique de l'halopéridol (Ki D2 ≈ 1-2 nM, soit l'une des plus élevées de toute la classe neuroleptique).</w:t>
      </w:r>
    </w:p>
    <w:p>
      <w:pPr>
        <w:pStyle w:val="Heading3"/>
      </w:pPr>
      <w:r>
        <w:t>Profil pharmacodynamique singulier de l'halopéridol</w:t>
      </w:r>
    </w:p>
    <w:p>
      <w:r>
        <w:t xml:space="preserve">L'halopéridol présente un </w:t>
      </w:r>
      <w:r>
        <w:rPr>
          <w:b/>
        </w:rPr>
        <w:t>profil pharmacologique « incisif pur »</w:t>
      </w:r>
      <w:r>
        <w:t xml:space="preserve"> particulièrement typé : la très haute affinité pour le récepteur D2 s'accompagne d'une </w:t>
      </w:r>
      <w:r>
        <w:rPr>
          <w:b/>
        </w:rPr>
        <w:t>affinité modeste</w:t>
      </w:r>
      <w:r>
        <w:t xml:space="preserve"> pour les récepteurs α1-adrénergiques (Ki ≈ 5-10 nM), </w:t>
      </w:r>
      <w:r>
        <w:rPr>
          <w:b/>
        </w:rPr>
        <w:t>H1-histaminiques</w:t>
      </w:r>
      <w:r>
        <w:t xml:space="preserve"> (Ki ≈ 1500-2000 nM), </w:t>
      </w:r>
      <w:r>
        <w:rPr>
          <w:b/>
        </w:rPr>
        <w:t>muscariniques M1</w:t>
      </w:r>
      <w:r>
        <w:t xml:space="preserve"> (Ki &gt; 5000 nM), et </w:t>
      </w:r>
      <w:r>
        <w:rPr>
          <w:b/>
        </w:rPr>
        <w:t>sérotoninergiques 5-HT2A</w:t>
      </w:r>
      <w:r>
        <w:t xml:space="preserve"> (Ki ≈ 50-80 nM). Cette </w:t>
      </w:r>
      <w:r>
        <w:rPr>
          <w:b/>
        </w:rPr>
        <w:t>sélectivité relative pour D2</w:t>
      </w:r>
      <w:r>
        <w:t xml:space="preserve"> explique :</w:t>
      </w:r>
    </w:p>
    <w:p>
      <w:pPr>
        <w:pStyle w:val="ListBullet"/>
      </w:pPr>
      <w:r>
        <w:t xml:space="preserve">Une </w:t>
      </w:r>
      <w:r>
        <w:rPr>
          <w:b/>
        </w:rPr>
        <w:t>efficacité antipsychotique majeure</w:t>
      </w:r>
      <w:r>
        <w:t xml:space="preserve"> à faible dose (5-15 mg/j per os en moyenne, soit l'une des doses les plus basses de la classe — comparativement chlorpromazine 300-800 mg/j, lévomépromazine 100-300 mg/j, sulpiride 400-1000 mg/j, amisulpride 400-1200 mg/j) — d'où la dénomination « haute puissance » ou « incisif ».</w:t>
      </w:r>
    </w:p>
    <w:p>
      <w:pPr>
        <w:pStyle w:val="ListBullet"/>
      </w:pPr>
      <w:r>
        <w:t xml:space="preserve">Une </w:t>
      </w:r>
      <w:r>
        <w:rPr>
          <w:b/>
        </w:rPr>
        <w:t>sédation modérée</w:t>
      </w:r>
      <w:r>
        <w:t xml:space="preserve"> (la faible affinité H1 limite l'effet sédatif — d'où l'halopéridol est parfois jugé « moins calmant » que la chlorpromazine, mais cette propriété est précieuse pour les patients devant conserver une vigilance diurne — actifs professionnellement, conducteurs).</w:t>
      </w:r>
    </w:p>
    <w:p>
      <w:pPr>
        <w:pStyle w:val="ListBullet"/>
      </w:pPr>
      <w:r>
        <w:t xml:space="preserve">Une </w:t>
      </w:r>
      <w:r>
        <w:rPr>
          <w:b/>
        </w:rPr>
        <w:t>hypotension orthostatique modeste</w:t>
      </w:r>
      <w:r>
        <w:t xml:space="preserve"> (la faible affinité α1 limite le risque vasculaire — d'où l'halopéridol est préféré chez le sujet âgé fragile ou avec antécédent cardiovasculaire).</w:t>
      </w:r>
    </w:p>
    <w:p>
      <w:pPr>
        <w:pStyle w:val="ListBullet"/>
      </w:pPr>
      <w:r>
        <w:t xml:space="preserve">Des </w:t>
      </w:r>
      <w:r>
        <w:rPr>
          <w:b/>
        </w:rPr>
        <w:t>effets extrapyramidaux majeurs</w:t>
      </w:r>
      <w:r>
        <w:t xml:space="preserve"> (la très haute affinité D2 striatale expose au risque EPS dès l'initiation — akathisie très fréquente en début de traitement, parkinsonisme dose-dépendant, dyskinésie tardive au long cours).</w:t>
      </w:r>
    </w:p>
    <w:p>
      <w:pPr>
        <w:pStyle w:val="ListBullet"/>
      </w:pPr>
      <w:r>
        <w:t xml:space="preserve">Un </w:t>
      </w:r>
      <w:r>
        <w:rPr>
          <w:b/>
        </w:rPr>
        <w:t>allongement QT modéré mais réel</w:t>
      </w:r>
      <w:r>
        <w:t xml:space="preserve"> (blocage hERG Kv11.1 à dose élevée, surtout en IV) — surveillance ECG si dose élevée, sujet âgé, association à un autre allongeur de QT.</w:t>
      </w:r>
    </w:p>
    <w:p>
      <w:pPr>
        <w:pStyle w:val="Heading3"/>
      </w:pPr>
      <w:r>
        <w:t>Particularité de la formulation decanoate LP</w:t>
      </w:r>
    </w:p>
    <w:p>
      <w:r>
        <w:t xml:space="preserve">L'halopéridol présente la particularité d'être disponible en </w:t>
      </w:r>
      <w:r>
        <w:rPr>
          <w:b/>
        </w:rPr>
        <w:t>forme galénique à libération prolongée injectable IM mensuelle</w:t>
      </w:r>
      <w:r>
        <w:t xml:space="preserve"> — le </w:t>
      </w:r>
      <w:r>
        <w:rPr>
          <w:b/>
        </w:rPr>
        <w:t>halopéridol decanoate</w:t>
      </w:r>
      <w:r>
        <w:t xml:space="preserve"> (esterification de l'hydroxyle en C4 avec l'acide décanoïque C10 — d'où le nom commercial Haldol Decanoas® de Janssen-Cilag). Cette forme, commercialisée en Algérie, est indiquée chez les patients </w:t>
      </w:r>
      <w:r>
        <w:rPr>
          <w:b/>
        </w:rPr>
        <w:t>non observants</w:t>
      </w:r>
      <w:r>
        <w:t xml:space="preserve"> ou </w:t>
      </w:r>
      <w:r>
        <w:rPr>
          <w:b/>
        </w:rPr>
        <w:t>à risque de rechute par défaut d'observance</w:t>
      </w:r>
      <w:r>
        <w:t xml:space="preserve"> — une stratégie de psychothérapie injectable prolongée majeure en psychiatrie de proximité algérienne, en complément des formes orales (comprimés, solution buvable en gouttes) et injectables IM immédiates. La forme decanoate assure une </w:t>
      </w:r>
      <w:r>
        <w:rPr>
          <w:b/>
        </w:rPr>
        <w:t>diffusion lente</w:t>
      </w:r>
      <w:r>
        <w:t xml:space="preserve"> par hydrolyse enzymatique de l'ester (estérases plasmatiques et hépatiques) → libération progressive d'halopéridol actif sur </w:t>
      </w:r>
      <w:r>
        <w:rPr>
          <w:b/>
        </w:rPr>
        <w:t>3-4 semaines</w:t>
      </w:r>
      <w:r>
        <w:t xml:space="preserve"> → injection IM mensuelle. La titration du decanoate se fait par </w:t>
      </w:r>
      <w:r>
        <w:rPr>
          <w:b/>
        </w:rPr>
        <w:t>équivalence posologique</w:t>
      </w:r>
      <w:r>
        <w:t xml:space="preserve"> : la dose mensuelle decanoate (en mg) ≈ 10 à 15 fois la dose orale journalière (en mg/j) — par exemple, 5 mg/j per os → 50-75 mg IM mensuel decanoate. Cette stratégie offre une </w:t>
      </w:r>
      <w:r>
        <w:rPr>
          <w:b/>
        </w:rPr>
        <w:t>observance garantie</w:t>
      </w:r>
      <w:r>
        <w:t xml:space="preserve"> (injection supervisée par infirmier à domicile ou en centre psychiatrique) et un </w:t>
      </w:r>
      <w:r>
        <w:rPr>
          <w:b/>
        </w:rPr>
        <w:t>taux de rechute réduit</w:t>
      </w:r>
      <w:r>
        <w:t xml:space="preserve"> (40 % à 1 an vs 70 % sous forme orale — étude de Kane 2002 sur la psychothérapie injectable prolongée).</w:t>
      </w:r>
    </w:p>
    <w:p>
      <w:pPr>
        <w:pStyle w:val="Heading3"/>
      </w:pPr>
      <w:r>
        <w:t>Indications cliniques privilégiées en Algérie</w:t>
      </w:r>
    </w:p>
    <w:p>
      <w:r>
        <w:t>Les butyrophénones (halopéridol) sont privilégiées en Algérie dans les indications suivantes :</w:t>
      </w:r>
    </w:p>
    <w:p>
      <w:pPr>
        <w:pStyle w:val="ListBullet"/>
      </w:pPr>
      <w:r/>
      <w:r>
        <w:rPr>
          <w:b/>
        </w:rPr>
        <w:t>Episode psychotique aigu avec agitation</w:t>
      </w:r>
      <w:r>
        <w:t xml:space="preserve"> (urgences psychiatriques) : halopéridol IM 5-10 mg, éventuellement associé à la lorazépam IM 2 mg et/ou la prométhazine IM 25-50 mg (complexe « HLP ») — sédation rapide en 30-60 min.</w:t>
      </w:r>
    </w:p>
    <w:p>
      <w:pPr>
        <w:pStyle w:val="ListBullet"/>
      </w:pPr>
      <w:r/>
      <w:r>
        <w:rPr>
          <w:b/>
        </w:rPr>
        <w:t>Schizophrénie paranoïde</w:t>
      </w:r>
      <w:r>
        <w:t xml:space="preserve"> avec symptômes positifs prédominants (hallucinations auditives, délire de persécution) — halopéridol per os 5-15 mg/j en 1-3 prises.</w:t>
      </w:r>
    </w:p>
    <w:p>
      <w:pPr>
        <w:pStyle w:val="ListBullet"/>
      </w:pPr>
      <w:r/>
      <w:r>
        <w:rPr>
          <w:b/>
        </w:rPr>
        <w:t>Maintenance au long cours</w:t>
      </w:r>
      <w:r>
        <w:t xml:space="preserve"> chez le patient non observant — halopéridol decanoate IM mensuel (50-200 mg/mois).</w:t>
      </w:r>
    </w:p>
    <w:p>
      <w:pPr>
        <w:pStyle w:val="ListBullet"/>
      </w:pPr>
      <w:r/>
      <w:r>
        <w:rPr>
          <w:b/>
        </w:rPr>
        <w:t>Manie aiguë</w:t>
      </w:r>
      <w:r>
        <w:t xml:space="preserve"> (episode thymique maniaque avec composante psychotique) — halopéridol en association avec un thymorégulateur (lithium, valproate) — cf. Chapitre 85 Fascicule X.</w:t>
      </w:r>
    </w:p>
    <w:p>
      <w:pPr>
        <w:pStyle w:val="ListBullet"/>
      </w:pPr>
      <w:r/>
      <w:r>
        <w:rPr>
          <w:b/>
        </w:rPr>
        <w:t>Troubles du comportement</w:t>
      </w:r>
      <w:r>
        <w:t xml:space="preserve"> chez le sujet âgé dément (à faible dose 0,5-2 mg/j — prudence, l'AMM européenne a retiré cette indication en raison du risque accru d'AVc ischémique chez le sujet âgé dément sous antipsychotique — signal FDA 2005 et EMA 2008) — uniquement en dernière intention, à dose minimale, durée courte.</w:t>
      </w:r>
    </w:p>
    <w:p>
      <w:pPr>
        <w:pStyle w:val="ListBullet"/>
      </w:pPr>
      <w:r/>
      <w:r>
        <w:rPr>
          <w:b/>
        </w:rPr>
        <w:t>Hors psychiatrie</w:t>
      </w:r>
      <w:r>
        <w:t xml:space="preserve"> : halopéridol dans les </w:t>
      </w:r>
      <w:r>
        <w:rPr>
          <w:b/>
        </w:rPr>
        <w:t>nausées-vomissements chimio-induits</w:t>
      </w:r>
      <w:r>
        <w:t xml:space="preserve"> (blocage D2 de la zone gâchette chimioréceptive CTZ postrémale — 1-3 mg IV), dans le </w:t>
      </w:r>
      <w:r>
        <w:rPr>
          <w:b/>
        </w:rPr>
        <w:t>hoicap réfractaire</w:t>
      </w:r>
      <w:r>
        <w:t xml:space="preserve"> (HICP), dans le </w:t>
      </w:r>
      <w:r>
        <w:rPr>
          <w:b/>
        </w:rPr>
        <w:t>delirium</w:t>
      </w:r>
      <w:r>
        <w:t xml:space="preserve"> en réanimation (algorithme ABCDEF), dans les </w:t>
      </w:r>
      <w:r>
        <w:rPr>
          <w:b/>
        </w:rPr>
        <w:t>soins palliatifs</w:t>
      </w:r>
      <w:r>
        <w:t xml:space="preserve"> (sédation, antalgie neuropathique).</w:t>
      </w:r>
    </w:p>
    <w:p>
      <w:pPr>
        <w:pStyle w:val="Heading3"/>
      </w:pPr>
      <w:r>
        <w:t>Particularités algériennes de disponibilité</w:t>
      </w:r>
    </w:p>
    <w:p>
      <w:r>
        <w:t xml:space="preserve">Le marché algérien de l'halopéridol est </w:t>
      </w:r>
      <w:r>
        <w:rPr>
          <w:b/>
        </w:rPr>
        <w:t>particulièrement riche</w:t>
      </w:r>
      <w:r>
        <w:t xml:space="preserve"> en Avril 2026 — 16 marques actives référencées, dont une forme decanoate LP (Haldol Decanoas Janssen), plusieurs formes orales en gouttes (2 mg/mL — solution buvable) et plusieurs formes injectables IM immédiates (5 mg/mL). Cette diversité reflète la maturité du marché générique algérien sur cette molécule (le princeps Haldol® est en compétition avec une quinzaine de génériques de laboratoires algériens — Frater-Razes, Saidal, Biopharm, Pharma 5, Biogalenic, Generic Lab, Physiopharm, Groupe Sante, Isopharm, Somedial, Arab Pharm, LAD Pharma, KPMA Biotic, Sun Pharma, Weimer Pharma). Cette diversité, si elle complique la tâche du pharmacien (gestion des équivalents), garantit une accessibilité économique et une sécurité d'approvisionnement — atout majeur pour une pathologie chronique au long cours comme la schizophrénie.</w:t>
      </w:r>
    </w:p>
    <w:p>
      <w:pPr>
        <w:pStyle w:val="Heading2"/>
      </w:pPr>
      <w:r>
        <w:t>3. Fiche DCI — Butyrophénones</w:t>
      </w:r>
    </w:p>
    <w:p>
      <w:pPr>
        <w:pStyle w:val="Heading3"/>
      </w:pPr>
      <w:r>
        <w:t>1. DCI : Halopéridol (usage psychiatrique) (Seule)</w:t>
      </w:r>
    </w:p>
    <w:p>
      <w:r/>
      <w:r>
        <w:rPr>
          <w:b/>
        </w:rPr>
        <w:t>Liste des Catégories :</w:t>
      </w:r>
      <w:r>
        <w:t xml:space="preserve"> Antipsychotique typique (1re génération) — Butyrophénone — Antagoniste compétitif des récepteurs dopaminergiques D2 — Haute puissance antipsychotique (« incisif ») — Schizophrénie, troubles psychotiques, manie, agitation aiguë — Liste I — Formes orales (comprimés, solution buvable en gouttes), injectables IM immédiates, et decanoate LP IM mensuel — Délivrance sur ordonnance.</w:t>
      </w:r>
    </w:p>
    <w:p>
      <w:r>
        <w:t>L'</w:t>
      </w:r>
      <w:r>
        <w:rPr>
          <w:b/>
        </w:rPr>
        <w:t>halopéridol</w:t>
      </w:r>
      <w:r>
        <w:t xml:space="preserve"> est une </w:t>
      </w:r>
      <w:r>
        <w:rPr>
          <w:b/>
        </w:rPr>
        <w:t>butyrophénone</w:t>
      </w:r>
      <w:r>
        <w:t xml:space="preserve"> de synthèse, commercialisée dès </w:t>
      </w:r>
      <w:r>
        <w:rPr>
          <w:b/>
        </w:rPr>
        <w:t>1958</w:t>
      </w:r>
      <w:r>
        <w:t xml:space="preserve"> par </w:t>
      </w:r>
      <w:r>
        <w:rPr>
          <w:b/>
        </w:rPr>
        <w:t>Janssen Pharmaceutica</w:t>
      </w:r>
      <w:r>
        <w:t xml:space="preserve"> sous le nom de </w:t>
      </w:r>
      <w:r>
        <w:rPr>
          <w:b/>
        </w:rPr>
        <w:t>Haldol®</w:t>
      </w:r>
      <w:r>
        <w:t xml:space="preserve"> — première alternative non phénothiazinique à la chlorpromazine, rapidement devenue l'antipsychotique typique le plus prescrit au monde dans les années 1960-1990 (avant l'arrivée des atypiques). Sa </w:t>
      </w:r>
      <w:r>
        <w:rPr>
          <w:b/>
        </w:rPr>
        <w:t>très haute affinité pour D2</w:t>
      </w:r>
      <w:r>
        <w:t xml:space="preserve"> (Ki ≈ 1-2 nM) en fait un antipsychotique « incisif » particulièrement adapté aux </w:t>
      </w:r>
      <w:r>
        <w:rPr>
          <w:b/>
        </w:rPr>
        <w:t>symptômes positifs</w:t>
      </w:r>
      <w:r>
        <w:t xml:space="preserve"> (hallucinations, délires, désorganisation de la pensée), à un dosage faible (5-15 mg/j per os). En Algérie, l'halopéridol est disponible sous </w:t>
      </w:r>
      <w:r>
        <w:rPr>
          <w:b/>
        </w:rPr>
        <w:t>trois formulations galéniques</w:t>
      </w:r>
      <w:r>
        <w:t xml:space="preserve"> complémentaires : (i) </w:t>
      </w:r>
      <w:r>
        <w:rPr>
          <w:b/>
        </w:rPr>
        <w:t>solution buvable en gouttes</w:t>
      </w:r>
      <w:r>
        <w:t xml:space="preserve"> (2 mg/mL) — forme orale liquide permettant une titration fine et une administration pédiatrique ou gériatrique aisée ; (ii) </w:t>
      </w:r>
      <w:r>
        <w:rPr>
          <w:b/>
        </w:rPr>
        <w:t>solution injectable IM</w:t>
      </w:r>
      <w:r>
        <w:t xml:space="preserve"> (5 mg/mL) — forme aiguë pour sédation rapide aux urgences psychiatriques ; (iii) </w:t>
      </w:r>
      <w:r>
        <w:rPr>
          <w:b/>
        </w:rPr>
        <w:t>solution injectable IM decanoate LP</w:t>
      </w:r>
      <w:r>
        <w:t xml:space="preserve"> (50 mg/mL — ester acide décanoïque) — forme mensuelle pour les patients non observants, garantissant une diffusion lente sur 3-4 semaines après hydrolyse enzymatique de l'ester. Cette diversité galénique est un atout majeur : l'halopéridol est probablement le seul antipsychotique typique au monde à offrir une </w:t>
      </w:r>
      <w:r>
        <w:rPr>
          <w:b/>
        </w:rPr>
        <w:t>continuité thérapeutique per os → IM aigu → IM LP mensuel</w:t>
      </w:r>
      <w:r>
        <w:t xml:space="preserve"> dans une même molécule — facilitant le relais entre les phases aiguë, post-aiguë et maintenance.</w:t>
      </w:r>
    </w:p>
    <w:p>
      <w:r/>
      <w:r>
        <w:rPr>
          <w:b/>
        </w:rPr>
        <w:t>Médicaments disponibles en Algérie (Marques, Laboratoires, Formes et Dosages) :</w:t>
      </w:r>
      <w:r/>
    </w:p>
    <w:p>
      <w:pPr>
        <w:pStyle w:val="ListBullet"/>
      </w:pPr>
      <w:r/>
      <w:r>
        <w:rPr>
          <w:b/>
        </w:rPr>
        <w:t>HALDOL</w:t>
      </w:r>
      <w:r>
        <w:t xml:space="preserve"> (JANSSEN CILAG)</w:t>
      </w:r>
    </w:p>
    <w:p>
      <w:pPr>
        <w:pStyle w:val="ListBullet"/>
      </w:pPr>
      <w:r>
        <w:t>Formes et Dosages : Solution injectable IM 5 mg/mL — Boîte de 5 ampoules de 1 mL.</w:t>
      </w:r>
    </w:p>
    <w:p>
      <w:pPr>
        <w:pStyle w:val="ListBullet"/>
      </w:pPr>
      <w:r>
        <w:t>Statut : Actif (LISTE I) — princeps historique de la molécule, référence internationale.</w:t>
      </w:r>
    </w:p>
    <w:p>
      <w:pPr>
        <w:pStyle w:val="ListBullet"/>
      </w:pPr>
      <w:r/>
      <w:r>
        <w:rPr>
          <w:b/>
        </w:rPr>
        <w:t>HALDOL DECANOAS</w:t>
      </w:r>
      <w:r>
        <w:t xml:space="preserve"> (JANSSEN CILAG)</w:t>
      </w:r>
    </w:p>
    <w:p>
      <w:pPr>
        <w:pStyle w:val="ListBullet"/>
      </w:pPr>
      <w:r>
        <w:t>Formes et Dosages : Solution injectable IM 50 mg/mL (ester decanoate, libération prolongée mensuelle) — Boîte de 5 ampoules de 1 mL.</w:t>
      </w:r>
    </w:p>
    <w:p>
      <w:pPr>
        <w:pStyle w:val="ListBullet"/>
      </w:pPr>
      <w:r>
        <w:t>Statut : Actif (LISTE I) — forme galénique unique de psychothérapie injectable prolongée mensuelle.</w:t>
      </w:r>
    </w:p>
    <w:p>
      <w:pPr>
        <w:pStyle w:val="ListBullet"/>
      </w:pPr>
      <w:r/>
      <w:r>
        <w:rPr>
          <w:b/>
        </w:rPr>
        <w:t>HALLUDOL</w:t>
      </w:r>
      <w:r>
        <w:t xml:space="preserve"> (GROUPE SAIDAL)</w:t>
      </w:r>
    </w:p>
    <w:p>
      <w:pPr>
        <w:pStyle w:val="ListBullet"/>
      </w:pPr>
      <w:r>
        <w:t>Formes et Dosages : Solution injectable IM 5 mg/mL — Boîte de 50 ampoules de 1 mL (conditionnement hospitalier) ; Solution buvable en gouttes 2 mg/mL — Flacon de 15 mL.</w:t>
      </w:r>
    </w:p>
    <w:p>
      <w:pPr>
        <w:pStyle w:val="ListBullet"/>
      </w:pPr>
      <w:r>
        <w:t>Statut : Solution injectable Actif (LISTE I) ; Solution buvable Non Renouvelable.</w:t>
      </w:r>
    </w:p>
    <w:p>
      <w:pPr>
        <w:pStyle w:val="ListBullet"/>
      </w:pPr>
      <w:r/>
      <w:r>
        <w:rPr>
          <w:b/>
        </w:rPr>
        <w:t>DEPRIDOL</w:t>
      </w:r>
      <w:r>
        <w:t xml:space="preserve"> (LES LABORATOIRES FRATER RAZES)</w:t>
      </w:r>
    </w:p>
    <w:p>
      <w:pPr>
        <w:pStyle w:val="ListBullet"/>
      </w:pPr>
      <w:r>
        <w:t>Formes et Dosages : Solution injectable IM 5 mg/mL — Boîte de 5 ampoules et boîte de 50 ampoules de 1 mL (conditionnement hospitalier).</w:t>
      </w:r>
    </w:p>
    <w:p>
      <w:pPr>
        <w:pStyle w:val="ListBullet"/>
      </w:pPr>
      <w:r>
        <w:t>Statut : Actif (LISTE I).</w:t>
      </w:r>
    </w:p>
    <w:p>
      <w:pPr>
        <w:pStyle w:val="ListBullet"/>
      </w:pPr>
      <w:r/>
      <w:r>
        <w:rPr>
          <w:b/>
        </w:rPr>
        <w:t>SENORM 5</w:t>
      </w:r>
      <w:r>
        <w:t xml:space="preserve"> (SUN PHARMACEUTICALS INDUSTRIES LTD)</w:t>
      </w:r>
    </w:p>
    <w:p>
      <w:pPr>
        <w:pStyle w:val="ListBullet"/>
      </w:pPr>
      <w:r>
        <w:t>Formes et Dosages : Solution injectable IM 5 mg/mL — Boîte de 5 ampoules de 1 mL.</w:t>
      </w:r>
    </w:p>
    <w:p>
      <w:pPr>
        <w:pStyle w:val="ListBullet"/>
      </w:pPr>
      <w:r>
        <w:t>Statut : Actif (LISTE I).</w:t>
      </w:r>
    </w:p>
    <w:p>
      <w:pPr>
        <w:pStyle w:val="ListBullet"/>
      </w:pPr>
      <w:r/>
      <w:r>
        <w:rPr>
          <w:b/>
        </w:rPr>
        <w:t>HADOL</w:t>
      </w:r>
      <w:r>
        <w:t xml:space="preserve"> (LABORATOIRE ARAB PHARM)</w:t>
      </w:r>
    </w:p>
    <w:p>
      <w:pPr>
        <w:pStyle w:val="ListBullet"/>
      </w:pPr>
      <w:r>
        <w:t>Formes et Dosages : Solution buvable en gouttes 2 mg/mL — Flacon de 20 mL.</w:t>
      </w:r>
    </w:p>
    <w:p>
      <w:pPr>
        <w:pStyle w:val="ListBullet"/>
      </w:pPr>
      <w:r>
        <w:t>Statut : Actif (LISTE I).</w:t>
      </w:r>
    </w:p>
    <w:p>
      <w:pPr>
        <w:pStyle w:val="ListBullet"/>
      </w:pPr>
      <w:r/>
      <w:r>
        <w:rPr>
          <w:b/>
        </w:rPr>
        <w:t>HALDOMEX</w:t>
      </w:r>
      <w:r>
        <w:t xml:space="preserve"> (KPMA BIOTIC)</w:t>
      </w:r>
    </w:p>
    <w:p>
      <w:pPr>
        <w:pStyle w:val="ListBullet"/>
      </w:pPr>
      <w:r>
        <w:t>Formes et Dosages : Solution buvable en gouttes 2 mg/mL — Flacon de 20 mL et flacon de 50 mL.</w:t>
      </w:r>
    </w:p>
    <w:p>
      <w:pPr>
        <w:pStyle w:val="ListBullet"/>
      </w:pPr>
      <w:r>
        <w:t>Statut : Actif (LISTE I).</w:t>
      </w:r>
    </w:p>
    <w:p>
      <w:pPr>
        <w:pStyle w:val="ListBullet"/>
      </w:pPr>
      <w:r/>
      <w:r>
        <w:rPr>
          <w:b/>
        </w:rPr>
        <w:t>HALOL</w:t>
      </w:r>
      <w:r>
        <w:t xml:space="preserve"> (LAD PHARMA)</w:t>
      </w:r>
    </w:p>
    <w:p>
      <w:pPr>
        <w:pStyle w:val="ListBullet"/>
      </w:pPr>
      <w:r>
        <w:t>Formes et Dosages : Solution buvable en gouttes 2 mg/mL — Flacon de 15 mL, flacon de 30 mL, flacon de 50 mL.</w:t>
      </w:r>
    </w:p>
    <w:p>
      <w:pPr>
        <w:pStyle w:val="ListBullet"/>
      </w:pPr>
      <w:r>
        <w:t>Statut : Actif (LISTE I).</w:t>
      </w:r>
    </w:p>
    <w:p>
      <w:pPr>
        <w:pStyle w:val="ListBullet"/>
      </w:pPr>
      <w:r/>
      <w:r>
        <w:rPr>
          <w:b/>
        </w:rPr>
        <w:t>HALOPERIDOL</w:t>
      </w:r>
      <w:r>
        <w:t xml:space="preserve"> (LABORATOIRES PHARMAGHREB)</w:t>
      </w:r>
    </w:p>
    <w:p>
      <w:pPr>
        <w:pStyle w:val="ListBullet"/>
      </w:pPr>
      <w:r>
        <w:t>Formes et Dosages : Solution buvable en gouttes 2 mg/mL — Flacon de 20 mL.</w:t>
      </w:r>
    </w:p>
    <w:p>
      <w:pPr>
        <w:pStyle w:val="ListBullet"/>
      </w:pPr>
      <w:r>
        <w:t>Statut : Actif (LISTE I).</w:t>
      </w:r>
    </w:p>
    <w:p>
      <w:pPr>
        <w:pStyle w:val="ListBullet"/>
      </w:pPr>
      <w:r/>
      <w:r>
        <w:rPr>
          <w:b/>
        </w:rPr>
        <w:t>HALOPERIDOL BGL</w:t>
      </w:r>
      <w:r>
        <w:t xml:space="preserve"> (BIOGALENIC)</w:t>
      </w:r>
    </w:p>
    <w:p>
      <w:pPr>
        <w:pStyle w:val="ListBullet"/>
      </w:pPr>
      <w:r>
        <w:t>Formes et Dosages : Solution buvable en gouttes 2 mg/mL — Flacon de 20 mL.</w:t>
      </w:r>
    </w:p>
    <w:p>
      <w:pPr>
        <w:pStyle w:val="ListBullet"/>
      </w:pPr>
      <w:r>
        <w:t>Statut : Actif (LISTE I).</w:t>
      </w:r>
    </w:p>
    <w:p>
      <w:pPr>
        <w:pStyle w:val="ListBullet"/>
      </w:pPr>
      <w:r/>
      <w:r>
        <w:rPr>
          <w:b/>
        </w:rPr>
        <w:t>HALOPERIDOL GL</w:t>
      </w:r>
      <w:r>
        <w:t xml:space="preserve"> (GENERIC LAB)</w:t>
      </w:r>
    </w:p>
    <w:p>
      <w:pPr>
        <w:pStyle w:val="ListBullet"/>
      </w:pPr>
      <w:r>
        <w:t>Formes et Dosages : Solution buvable en gouttes 2 mg/mL — Flacon de 15 mL, flacon de 30 mL, flacon de 50 mL ; Solution buvable en gouttes 2 mg/mL (libellé distinct) — Boîte de 1 flacon compte-gouttes de 15 mL.</w:t>
      </w:r>
    </w:p>
    <w:p>
      <w:pPr>
        <w:pStyle w:val="ListBullet"/>
      </w:pPr>
      <w:r>
        <w:t>Statut : Actif (LISTE I).</w:t>
      </w:r>
    </w:p>
    <w:p>
      <w:pPr>
        <w:pStyle w:val="ListBullet"/>
      </w:pPr>
      <w:r/>
      <w:r>
        <w:rPr>
          <w:b/>
        </w:rPr>
        <w:t>HALOPERIDOL PHYSIOPHARM</w:t>
      </w:r>
      <w:r>
        <w:t xml:space="preserve"> (PHYSIOPHARM LABORATOIRES)</w:t>
      </w:r>
    </w:p>
    <w:p>
      <w:pPr>
        <w:pStyle w:val="ListBullet"/>
      </w:pPr>
      <w:r>
        <w:t>Formes et Dosages : Solution buvable en gouttes 2 mg/mL — Flacon de 30 mL avec pipette graduée.</w:t>
      </w:r>
    </w:p>
    <w:p>
      <w:pPr>
        <w:pStyle w:val="ListBullet"/>
      </w:pPr>
      <w:r>
        <w:t>Statut : Actif (LISTE I).</w:t>
      </w:r>
    </w:p>
    <w:p>
      <w:pPr>
        <w:pStyle w:val="ListBullet"/>
      </w:pPr>
      <w:r/>
      <w:r>
        <w:rPr>
          <w:b/>
        </w:rPr>
        <w:t>HOLIT FORT</w:t>
      </w:r>
      <w:r>
        <w:t xml:space="preserve"> (SARL GROUPE SANTE)</w:t>
      </w:r>
    </w:p>
    <w:p>
      <w:pPr>
        <w:pStyle w:val="ListBullet"/>
      </w:pPr>
      <w:r>
        <w:t>Formes et Dosages : Solution buvable en gouttes 2 mg/mL — Flacon de 15 mL.</w:t>
      </w:r>
    </w:p>
    <w:p>
      <w:pPr>
        <w:pStyle w:val="ListBullet"/>
      </w:pPr>
      <w:r>
        <w:t>Statut : Actif (LISTE I).</w:t>
      </w:r>
    </w:p>
    <w:p>
      <w:pPr>
        <w:pStyle w:val="ListBullet"/>
      </w:pPr>
      <w:r/>
      <w:r>
        <w:rPr>
          <w:b/>
        </w:rPr>
        <w:t>ISOPERIDOL</w:t>
      </w:r>
      <w:r>
        <w:t xml:space="preserve"> (ISOPHARM ALGERIE)</w:t>
      </w:r>
    </w:p>
    <w:p>
      <w:pPr>
        <w:pStyle w:val="ListBullet"/>
      </w:pPr>
      <w:r>
        <w:t>Formes et Dosages : Solution buvable en gouttes 2 mg/mL — Flacon de 20 mL et flacon de 50 mL.</w:t>
      </w:r>
    </w:p>
    <w:p>
      <w:pPr>
        <w:pStyle w:val="ListBullet"/>
      </w:pPr>
      <w:r>
        <w:t>Statut : Actif (LISTE I).</w:t>
      </w:r>
    </w:p>
    <w:p>
      <w:pPr>
        <w:pStyle w:val="ListBullet"/>
      </w:pPr>
      <w:r/>
      <w:r>
        <w:rPr>
          <w:b/>
        </w:rPr>
        <w:t>NEURALDOL</w:t>
      </w:r>
      <w:r>
        <w:t xml:space="preserve"> (SOMEDIAL)</w:t>
      </w:r>
    </w:p>
    <w:p>
      <w:pPr>
        <w:pStyle w:val="ListBullet"/>
      </w:pPr>
      <w:r>
        <w:t>Formes et Dosages : Solution buvable en gouttes 2 mg/mL — Flacon de 30 mL.</w:t>
      </w:r>
    </w:p>
    <w:p>
      <w:pPr>
        <w:pStyle w:val="ListBullet"/>
      </w:pPr>
      <w:r>
        <w:t>Statut : Actif (LISTE I).</w:t>
      </w:r>
    </w:p>
    <w:p>
      <w:pPr>
        <w:pStyle w:val="ListBullet"/>
      </w:pPr>
      <w:r/>
      <w:r>
        <w:rPr>
          <w:b/>
        </w:rPr>
        <w:t>VILBAR</w:t>
      </w:r>
      <w:r>
        <w:t xml:space="preserve"> (BIOPHARM)</w:t>
      </w:r>
    </w:p>
    <w:p>
      <w:pPr>
        <w:pStyle w:val="ListBullet"/>
      </w:pPr>
      <w:r>
        <w:t>Formes et Dosages : Solution buvable en gouttes 2 mg/mL — Flacon de 30 mL.</w:t>
      </w:r>
    </w:p>
    <w:p>
      <w:pPr>
        <w:pStyle w:val="ListBullet"/>
      </w:pPr>
      <w:r>
        <w:t>Statut : Actif (LISTE I).</w:t>
      </w:r>
    </w:p>
    <w:p>
      <w:pPr>
        <w:pStyle w:val="ListBullet"/>
      </w:pPr>
      <w:r/>
      <w:r>
        <w:rPr>
          <w:b/>
        </w:rPr>
        <w:t>DISTENSOL</w:t>
      </w:r>
      <w:r>
        <w:t xml:space="preserve"> (LIFEPHARMA)</w:t>
      </w:r>
    </w:p>
    <w:p>
      <w:pPr>
        <w:pStyle w:val="ListBullet"/>
      </w:pPr>
      <w:r>
        <w:t>Formes et Dosages : Comprimé 5 mg — Boîte de 30 ; Comprimé 1 mg — Boîte de 40 ; Solution buvable en gouttes 2 mg/mL — Flacon de 15 mL.</w:t>
      </w:r>
    </w:p>
    <w:p>
      <w:pPr>
        <w:pStyle w:val="ListBullet"/>
      </w:pPr>
      <w:r>
        <w:t>Statut : Comprimé 5 mg Non Renouvelable ; Comprimé 1 mg Retiré (R) ; Solution buvable Retirée (R).</w:t>
      </w:r>
    </w:p>
    <w:p>
      <w:pPr>
        <w:pStyle w:val="ListBullet"/>
      </w:pPr>
      <w:r/>
      <w:r>
        <w:rPr>
          <w:b/>
        </w:rPr>
        <w:t>WERAPIDOL 5</w:t>
      </w:r>
      <w:r>
        <w:t xml:space="preserve"> (WEIMER PHARMA)</w:t>
      </w:r>
    </w:p>
    <w:p>
      <w:pPr>
        <w:pStyle w:val="ListBullet"/>
      </w:pPr>
      <w:r>
        <w:t>Formes et Dosages : Solution injectable 5 mg/mL — Boîte de 10.</w:t>
      </w:r>
    </w:p>
    <w:p>
      <w:pPr>
        <w:pStyle w:val="ListBullet"/>
      </w:pPr>
      <w:r>
        <w:t>Statut : Retiré (R).</w:t>
      </w:r>
    </w:p>
    <w:p>
      <w:pPr>
        <w:pStyle w:val="ListBullet"/>
      </w:pPr>
      <w:r/>
      <w:r>
        <w:rPr>
          <w:b/>
        </w:rPr>
        <w:t>WERAPIDOL 2</w:t>
      </w:r>
      <w:r>
        <w:t xml:space="preserve"> (WEIMER PHARMA)</w:t>
      </w:r>
    </w:p>
    <w:p>
      <w:pPr>
        <w:pStyle w:val="ListBullet"/>
      </w:pPr>
      <w:r>
        <w:t>Formes et Dosages : Solution buvable en gouttes 2 mg/mL — Flacon de 30 mL.</w:t>
      </w:r>
    </w:p>
    <w:p>
      <w:pPr>
        <w:pStyle w:val="ListBullet"/>
      </w:pPr>
      <w:r>
        <w:t>Statut : Retiré (R).</w:t>
      </w:r>
    </w:p>
    <w:p>
      <w:r/>
      <w:r>
        <w:rPr>
          <w:b/>
        </w:rPr>
        <w:t>Note nomenclature</w:t>
      </w:r>
      <w:r>
        <w:t xml:space="preserve"> : À la date d'Avril 2026, l'halopéridol est principalement disponible en Algérie sous forme de </w:t>
      </w:r>
      <w:r>
        <w:rPr>
          <w:b/>
        </w:rPr>
        <w:t>solution buvable en gouttes 2 mg/mL</w:t>
      </w:r>
      <w:r>
        <w:t xml:space="preserve"> (la forme orale la plus répandue — 13 marques actives) et de </w:t>
      </w:r>
      <w:r>
        <w:rPr>
          <w:b/>
        </w:rPr>
        <w:t>solution injectable IM 5 mg/mL</w:t>
      </w:r>
      <w:r>
        <w:t xml:space="preserve"> (4 marques actives). La forme </w:t>
      </w:r>
      <w:r>
        <w:rPr>
          <w:b/>
        </w:rPr>
        <w:t>comprimé</w:t>
      </w:r>
      <w:r>
        <w:t xml:space="preserve"> (DISTENSOL 1 mg et 5 mg) est retirée du marché algérien — les patients sous comprimés doivent être orientés vers la </w:t>
      </w:r>
      <w:r>
        <w:rPr>
          <w:b/>
        </w:rPr>
        <w:t>solution buvable en gouttes</w:t>
      </w:r>
      <w:r>
        <w:t xml:space="preserve"> (1 goutte ≈ 0,1 mg — soit 50 gouttes = 5 mg ; 1 mL = 20 gouttes = 2 mg). Le </w:t>
      </w:r>
      <w:r>
        <w:rPr>
          <w:b/>
        </w:rPr>
        <w:t>decanoate LP IM mensuel</w:t>
      </w:r>
      <w:r>
        <w:t xml:space="preserve"> est disponible sous une seule marque (HALDOL DECANOAS Janssen) — forme essentielle pour les patients non observants.</w:t>
      </w:r>
    </w:p>
    <w:p>
      <w:r/>
      <w:r>
        <w:rPr>
          <w:b/>
        </w:rPr>
        <w:t>Sous-classe et Mécanisme d'action :</w:t>
      </w:r>
      <w:r/>
    </w:p>
    <w:p>
      <w:pPr>
        <w:pStyle w:val="ListBullet"/>
      </w:pPr>
      <w:r>
        <w:t xml:space="preserve">Sous-classe : </w:t>
      </w:r>
      <w:r>
        <w:rPr>
          <w:b/>
        </w:rPr>
        <w:t>Butyrophénone — antipsychotique typique de 1re génération, haute puissance (incisif)</w:t>
      </w:r>
      <w:r>
        <w:t xml:space="preserve"> — positionné en psychiatrie pour le contrôle des </w:t>
      </w:r>
      <w:r>
        <w:rPr>
          <w:b/>
        </w:rPr>
        <w:t>symptômes positifs</w:t>
      </w:r>
      <w:r>
        <w:t xml:space="preserve"> de la schizophrénie (hallucinations, délires, désorganisation), de la </w:t>
      </w:r>
      <w:r>
        <w:rPr>
          <w:b/>
        </w:rPr>
        <w:t>manie aiguë</w:t>
      </w:r>
      <w:r>
        <w:t>, de l'</w:t>
      </w:r>
      <w:r>
        <w:rPr>
          <w:b/>
        </w:rPr>
        <w:t>agitation psychotique</w:t>
      </w:r>
      <w:r>
        <w:t xml:space="preserve">, et de la </w:t>
      </w:r>
      <w:r>
        <w:rPr>
          <w:b/>
        </w:rPr>
        <w:t>maintenance au long cours</w:t>
      </w:r>
      <w:r>
        <w:t xml:space="preserve"> (forme decanoate LP) chez le patient non observant. Indiqué également (hors AMM principale) dans le </w:t>
      </w:r>
      <w:r>
        <w:rPr>
          <w:b/>
        </w:rPr>
        <w:t>hoicap réfractaire</w:t>
      </w:r>
      <w:r>
        <w:t xml:space="preserve">, les </w:t>
      </w:r>
      <w:r>
        <w:rPr>
          <w:b/>
        </w:rPr>
        <w:t>nausées-vomissements chimio-induits</w:t>
      </w:r>
      <w:r>
        <w:t xml:space="preserve"> (CTZ D2 blocage), et le </w:t>
      </w:r>
      <w:r>
        <w:rPr>
          <w:b/>
        </w:rPr>
        <w:t>delirium</w:t>
      </w:r>
      <w:r>
        <w:t xml:space="preserve"> en réanimation.</w:t>
      </w:r>
    </w:p>
    <w:p>
      <w:pPr>
        <w:pStyle w:val="ListBullet"/>
      </w:pPr>
      <w:r>
        <w:t xml:space="preserve">Mécanisme d'action : l'halopéridol est un </w:t>
      </w:r>
      <w:r>
        <w:rPr>
          <w:b/>
        </w:rPr>
        <w:t>antagoniste compétitif</w:t>
      </w:r>
      <w:r>
        <w:t xml:space="preserve"> de haute affinité (Ki ≈ 1-2 nM) des </w:t>
      </w:r>
      <w:r>
        <w:rPr>
          <w:b/>
        </w:rPr>
        <w:t>récepteurs dopaminergiques D2</w:t>
      </w:r>
      <w:r>
        <w:t xml:space="preserve"> couplés aux protéines Gi/o. Le blocage des récepteurs D2 postsynaptiques de la </w:t>
      </w:r>
      <w:r>
        <w:rPr>
          <w:b/>
        </w:rPr>
        <w:t>voie mésolimbique</w:t>
      </w:r>
      <w:r>
        <w:t xml:space="preserve"> (substantia nigra pars compacta → noyau accumbens / tubercule olfactif) est responsable de la </w:t>
      </w:r>
      <w:r>
        <w:rPr>
          <w:b/>
        </w:rPr>
        <w:t>réduction des symptômes positifs</w:t>
      </w:r>
      <w:r>
        <w:t xml:space="preserve"> (effet antipsychotique) — observable à partir d'un </w:t>
      </w:r>
      <w:r>
        <w:rPr>
          <w:b/>
        </w:rPr>
        <w:t>taux d'occupation D2 striatale de 60-75 %</w:t>
      </w:r>
      <w:r>
        <w:t xml:space="preserve">. Le blocage des D2 de la </w:t>
      </w:r>
      <w:r>
        <w:rPr>
          <w:b/>
        </w:rPr>
        <w:t>voie nigro-striée</w:t>
      </w:r>
      <w:r>
        <w:t xml:space="preserve"> (substantia nigra → striatum) est responsable des </w:t>
      </w:r>
      <w:r>
        <w:rPr>
          <w:b/>
        </w:rPr>
        <w:t>effets extrapyramidaux</w:t>
      </w:r>
      <w:r>
        <w:t xml:space="preserve"> (akathisie, parkinsonisme, dystonie) — observables à partir de </w:t>
      </w:r>
      <w:r>
        <w:rPr>
          <w:b/>
        </w:rPr>
        <w:t>80 % d'occupation D2</w:t>
      </w:r>
      <w:r>
        <w:t xml:space="preserve"> — seuil aisément atteint avec l'halopéridol en raison de sa très haute affinité. Le blocage des D2 de la </w:t>
      </w:r>
      <w:r>
        <w:rPr>
          <w:b/>
        </w:rPr>
        <w:t>voie tubéro-infundibulre</w:t>
      </w:r>
      <w:r>
        <w:t xml:space="preserve"> (hypothalamus → hypophyse antérieure) lève l'inhibition tonique dopaminergique (PIF — *prolactin-inhibiting factor*) sur les cellules lactotropes → </w:t>
      </w:r>
      <w:r>
        <w:rPr>
          <w:b/>
        </w:rPr>
        <w:t>hyperprolactinémie</w:t>
      </w:r>
      <w:r>
        <w:t xml:space="preserve"> (modeste avec halopéridol, plus marquée avec les benzamides). Le blocage des D2 de la </w:t>
      </w:r>
      <w:r>
        <w:rPr>
          <w:b/>
        </w:rPr>
        <w:t>voie mésocorticale</w:t>
      </w:r>
      <w:r>
        <w:t xml:space="preserve"> (A10 → cortex préfrontal) est responsable d'une possible </w:t>
      </w:r>
      <w:r>
        <w:rPr>
          <w:b/>
        </w:rPr>
        <w:t>aggravation des symptômes négatifs</w:t>
      </w:r>
      <w:r>
        <w:t xml:space="preserve"> (apathie, émoussement affectif, retrait social) — effet cognitif défavorable dose-dépendant. L'halopéridol présente une </w:t>
      </w:r>
      <w:r>
        <w:rPr>
          <w:b/>
        </w:rPr>
        <w:t>faible affinité</w:t>
      </w:r>
      <w:r>
        <w:t xml:space="preserve"> pour les récepteurs α1-adrénergiques (hypotension modérée), H1-histaminiques (sédation modérée), et muscariniques M1 (effets anticholinergiques minimes) — d'où son profil « incisif pur » avec EPS majeurs mais peu de sédation/hypotension/anticholinergiques. Le </w:t>
      </w:r>
      <w:r>
        <w:rPr>
          <w:b/>
        </w:rPr>
        <w:t>métabolite actif</w:t>
      </w:r>
      <w:r>
        <w:t xml:space="preserve"> 9-hydroxy-halopéridol (réduit par la </w:t>
      </w:r>
      <w:r>
        <w:rPr>
          <w:b/>
        </w:rPr>
        <w:t>cétoréductase aldo-ceto</w:t>
      </w:r>
      <w:r>
        <w:t xml:space="preserve"> AKR1A1 et accessoirement CYP2D6) conserve une activité D2 équivalente à la molécule mère, prolongeant la demi-vie effective à 14-36 h (permettant une monoprise journalière).</w:t>
      </w:r>
    </w:p>
    <w:p>
      <w:r/>
      <w:r>
        <w:rPr>
          <w:b/>
        </w:rPr>
        <w:t>Profil Pharmacologique :</w:t>
      </w:r>
      <w:r/>
    </w:p>
    <w:p>
      <w:pPr>
        <w:pStyle w:val="ListBullet"/>
      </w:pPr>
      <w:r>
        <w:t>Indications :</w:t>
      </w:r>
    </w:p>
    <w:p>
      <w:pPr>
        <w:pStyle w:val="ListBullet"/>
      </w:pPr>
      <w:r/>
      <w:r>
        <w:rPr>
          <w:b/>
        </w:rPr>
        <w:t>Schizophrénie</w:t>
      </w:r>
      <w:r>
        <w:t xml:space="preserve"> (adulte et adolescent &gt; 12 ans) : traitement des symptômes positifs (hallucinations, délires, désorganisation de la pensée), traitement d'entretien au long cours — posologie 5-15 mg/j per os.</w:t>
      </w:r>
    </w:p>
    <w:p>
      <w:pPr>
        <w:pStyle w:val="ListBullet"/>
      </w:pPr>
      <w:r/>
      <w:r>
        <w:rPr>
          <w:b/>
        </w:rPr>
        <w:t>Episode psychotique aigu avec agitation</w:t>
      </w:r>
      <w:r>
        <w:t xml:space="preserve"> : halopéridol IM 5-10 mg, éventuellement associé à la lorazépam IM 2 mg et la prométhazine IM 25-50 mg (complexe « HLP ») — sédation rapide en 30-60 min.</w:t>
      </w:r>
    </w:p>
    <w:p>
      <w:pPr>
        <w:pStyle w:val="ListBullet"/>
      </w:pPr>
      <w:r/>
      <w:r>
        <w:rPr>
          <w:b/>
        </w:rPr>
        <w:t>Manie aiguë</w:t>
      </w:r>
      <w:r>
        <w:t xml:space="preserve"> (episode thymique maniaque avec composante psychotique) — halopéridol en association avec un thymorégulateur (lithium, valproate) — cf. Chapitre 85 Fascicule X.</w:t>
      </w:r>
    </w:p>
    <w:p>
      <w:pPr>
        <w:pStyle w:val="ListBullet"/>
      </w:pPr>
      <w:r/>
      <w:r>
        <w:rPr>
          <w:b/>
        </w:rPr>
        <w:t>Troubles du comportement</w:t>
      </w:r>
      <w:r>
        <w:t xml:space="preserve"> chez le sujet âgé dément (à faible dose 0,5-2 mg/j — prudence, l'AMM européenne a retiré cette indication en raison du risque accru d'AVc ischémique chez le sujet âgé dément sous antipsychotique — signal FDA 2005 et EMA 2008) — uniquement en dernière intention, à dose minimale, durée courte.</w:t>
      </w:r>
    </w:p>
    <w:p>
      <w:pPr>
        <w:pStyle w:val="ListBullet"/>
      </w:pPr>
      <w:r/>
      <w:r>
        <w:rPr>
          <w:b/>
        </w:rPr>
        <w:t>Hors psychiatrie</w:t>
      </w:r>
      <w:r>
        <w:t xml:space="preserve"> : halopéridol dans les </w:t>
      </w:r>
      <w:r>
        <w:rPr>
          <w:b/>
        </w:rPr>
        <w:t>nausées-vomissements chimio-induits</w:t>
      </w:r>
      <w:r>
        <w:t xml:space="preserve"> (blocage D2 de la zone gâchette chimioréceptive CTZ postrémale — 1-3 mg IV), dans le </w:t>
      </w:r>
      <w:r>
        <w:rPr>
          <w:b/>
        </w:rPr>
        <w:t>hoicap réfractaire</w:t>
      </w:r>
      <w:r>
        <w:t xml:space="preserve"> (HICP), dans le </w:t>
      </w:r>
      <w:r>
        <w:rPr>
          <w:b/>
        </w:rPr>
        <w:t>delirium</w:t>
      </w:r>
      <w:r>
        <w:t xml:space="preserve"> en réanimation (algorithme ABCDEF), dans les </w:t>
      </w:r>
      <w:r>
        <w:rPr>
          <w:b/>
        </w:rPr>
        <w:t>soins palliatifs</w:t>
      </w:r>
      <w:r>
        <w:t xml:space="preserve"> (sédation, antalgie neuropathique).</w:t>
      </w:r>
    </w:p>
    <w:p>
      <w:pPr>
        <w:pStyle w:val="ListBullet"/>
      </w:pPr>
      <w:r>
        <w:t>Contre-indications :</w:t>
      </w:r>
    </w:p>
    <w:p>
      <w:pPr>
        <w:pStyle w:val="ListBullet"/>
      </w:pPr>
      <w:r>
        <w:t xml:space="preserve">(i) </w:t>
      </w:r>
      <w:r>
        <w:rPr>
          <w:b/>
        </w:rPr>
        <w:t>Hypersensibilité à l'halopéridol</w:t>
      </w:r>
      <w:r>
        <w:t xml:space="preserve"> ou à l'un des excipients (parabens, conservateurs des formes injectables).</w:t>
      </w:r>
    </w:p>
    <w:p>
      <w:pPr>
        <w:pStyle w:val="ListBullet"/>
      </w:pPr>
      <w:r>
        <w:t xml:space="preserve">(ii) </w:t>
      </w:r>
      <w:r>
        <w:rPr>
          <w:b/>
        </w:rPr>
        <w:t>Maladie de Parkinson</w:t>
      </w:r>
      <w:r>
        <w:t xml:space="preserve"> — l'halopéridol bloque les D2 striatales déjà déficitaires, aggravant brutalement la symptomatologie parkinsonienne (risque de blocage akinétique complet).</w:t>
      </w:r>
    </w:p>
    <w:p>
      <w:pPr>
        <w:pStyle w:val="ListBullet"/>
      </w:pPr>
      <w:r>
        <w:t xml:space="preserve">(iii) </w:t>
      </w:r>
      <w:r>
        <w:rPr>
          <w:b/>
        </w:rPr>
        <w:t>Démence à corps de Lewy</w:t>
      </w:r>
      <w:r>
        <w:t xml:space="preserve"> (DCL) — hypersensibilité extrême aux neuroleptiques (risque de dégradation neurologique sévère, voire létale — contre-indication absolue reconnue par l'ANSM et l'EMEA).</w:t>
      </w:r>
    </w:p>
    <w:p>
      <w:pPr>
        <w:pStyle w:val="ListBullet"/>
      </w:pPr>
      <w:r>
        <w:t xml:space="preserve">(iv) </w:t>
      </w:r>
      <w:r>
        <w:rPr>
          <w:b/>
        </w:rPr>
        <w:t>Syndrome malin des neuroleptiques (SMN)</w:t>
      </w:r>
      <w:r>
        <w:t xml:space="preserve"> personnel antérieur ou en cours.</w:t>
      </w:r>
    </w:p>
    <w:p>
      <w:pPr>
        <w:pStyle w:val="ListBullet"/>
      </w:pPr>
      <w:r>
        <w:t xml:space="preserve">(v) </w:t>
      </w:r>
      <w:r>
        <w:rPr>
          <w:b/>
        </w:rPr>
        <w:t>Allongement préexistant du QT</w:t>
      </w:r>
      <w:r>
        <w:t xml:space="preserve"> (QTc &gt; 450 ms homme, &gt; 470 ms femme), antécédents de </w:t>
      </w:r>
      <w:r>
        <w:rPr>
          <w:b/>
        </w:rPr>
        <w:t>torsades de pointes (TdP)</w:t>
      </w:r>
      <w:r>
        <w:t>, hypokaliémie non corrigée, hypomagnésémie.</w:t>
      </w:r>
    </w:p>
    <w:p>
      <w:pPr>
        <w:pStyle w:val="ListBullet"/>
      </w:pPr>
      <w:r>
        <w:t xml:space="preserve">(vi) </w:t>
      </w:r>
      <w:r>
        <w:rPr>
          <w:b/>
        </w:rPr>
        <w:t>Association avec d'autres allongeurs de QT</w:t>
      </w:r>
      <w:r>
        <w:t xml:space="preserve"> (amiodarone, sotalol, méthadone, macrolides, fluoroquinolones, antidépresseurs tricycliques, autres antipsychotiques) — CI absolue.</w:t>
      </w:r>
    </w:p>
    <w:p>
      <w:pPr>
        <w:pStyle w:val="ListBullet"/>
      </w:pPr>
      <w:r>
        <w:t xml:space="preserve">(vii) </w:t>
      </w:r>
      <w:r>
        <w:rPr>
          <w:b/>
        </w:rPr>
        <w:t>Insuffisance cardiaque décompensée</w:t>
      </w:r>
      <w:r>
        <w:t>, angor instable, bradycardie sinusale &lt; 50 bpm, BAV non appareillé.</w:t>
      </w:r>
    </w:p>
    <w:p>
      <w:pPr>
        <w:pStyle w:val="ListBullet"/>
      </w:pPr>
      <w:r>
        <w:t xml:space="preserve">(viii) </w:t>
      </w:r>
      <w:r>
        <w:rPr>
          <w:b/>
        </w:rPr>
        <w:t>Association avec la lévodopa</w:t>
      </w:r>
      <w:r>
        <w:t xml:space="preserve"> ou les </w:t>
      </w:r>
      <w:r>
        <w:rPr>
          <w:b/>
        </w:rPr>
        <w:t>agonistes dopaminergiques</w:t>
      </w:r>
      <w:r>
        <w:t xml:space="preserve"> (bromocriptine, pergolide, ropinirole, pramipexole, rotigotine) — </w:t>
      </w:r>
      <w:r>
        <w:rPr>
          <w:b/>
        </w:rPr>
        <w:t>antagonisme pharmacodynamique complet</w:t>
      </w:r>
      <w:r>
        <w:t xml:space="preserve"> — CI absolue.</w:t>
      </w:r>
    </w:p>
    <w:p>
      <w:pPr>
        <w:pStyle w:val="ListBullet"/>
      </w:pPr>
      <w:r>
        <w:t xml:space="preserve">(ix) </w:t>
      </w:r>
      <w:r>
        <w:rPr>
          <w:b/>
        </w:rPr>
        <w:t>Phéochromocytome</w:t>
      </w:r>
      <w:r>
        <w:t xml:space="preserve"> non contrôlé (risque de crise hypertensive par libération de catécholamines liée au blocage α2 présynaptique).</w:t>
      </w:r>
    </w:p>
    <w:p>
      <w:pPr>
        <w:pStyle w:val="ListBullet"/>
      </w:pPr>
      <w:r>
        <w:t xml:space="preserve">(x) </w:t>
      </w:r>
      <w:r>
        <w:rPr>
          <w:b/>
        </w:rPr>
        <w:t>Dépression sévère</w:t>
      </w:r>
      <w:r>
        <w:t xml:space="preserve">, </w:t>
      </w:r>
      <w:r>
        <w:rPr>
          <w:b/>
        </w:rPr>
        <w:t>état comateux</w:t>
      </w:r>
      <w:r>
        <w:t>, dépression du SNC d'origine centrale (alcool, barbituriques, opioïdes).</w:t>
      </w:r>
    </w:p>
    <w:p>
      <w:pPr>
        <w:pStyle w:val="ListBullet"/>
      </w:pPr>
      <w:r>
        <w:t xml:space="preserve">(xi) </w:t>
      </w:r>
      <w:r>
        <w:rPr>
          <w:b/>
        </w:rPr>
        <w:t>Allaitement</w:t>
      </w:r>
      <w:r>
        <w:t xml:space="preserve"> : en cas de traitement au long cours à dose élevée — discuter l'arrêt de l'allaitement selon le CRAT (voir section Grossesse/Allaitement).</w:t>
      </w:r>
    </w:p>
    <w:p>
      <w:pPr>
        <w:pStyle w:val="ListBullet"/>
      </w:pPr>
      <w:r>
        <w:t>Effets Indésirables :</w:t>
      </w:r>
    </w:p>
    <w:p>
      <w:pPr>
        <w:pStyle w:val="ListBullet"/>
      </w:pPr>
      <w:r/>
      <w:r>
        <w:rPr>
          <w:b/>
        </w:rPr>
        <w:t>Très fréquents (≥ 1/10)</w:t>
      </w:r>
      <w:r>
        <w:t xml:space="preserve"> :</w:t>
      </w:r>
    </w:p>
    <w:p>
      <w:pPr>
        <w:pStyle w:val="ListBullet"/>
      </w:pPr>
      <w:r/>
      <w:r>
        <w:rPr>
          <w:b/>
        </w:rPr>
        <w:t>Akathisie</w:t>
      </w:r>
      <w:r>
        <w:t xml:space="preserve"> (impatience motrice, besoin irrépressible de bouger, incapacité à rester assis/immobile — apparaît en quelques heures à jours, dose-dépendante) — incidence 30-50 % sous halopéridol per os à dose standard.</w:t>
      </w:r>
    </w:p>
    <w:p>
      <w:pPr>
        <w:pStyle w:val="ListBullet"/>
      </w:pPr>
      <w:r/>
      <w:r>
        <w:rPr>
          <w:b/>
        </w:rPr>
        <w:t>Parkinsonisme</w:t>
      </w:r>
      <w:r>
        <w:t xml:space="preserve"> (hypertonie plastique en roue dentée, akinésie, tremblement de repos, faciès figé, démarche à petits pas — apparaît en jours à semaines) — incidence 20-40 %.</w:t>
      </w:r>
    </w:p>
    <w:p>
      <w:pPr>
        <w:pStyle w:val="ListBullet"/>
      </w:pPr>
      <w:r/>
      <w:r>
        <w:rPr>
          <w:b/>
        </w:rPr>
        <w:t>Insomnie, anxiété, agitation paradoxale</w:t>
      </w:r>
      <w:r>
        <w:t xml:space="preserve"> (effet stimulant paradoxal initial lié à l'akathisie).</w:t>
      </w:r>
    </w:p>
    <w:p>
      <w:pPr>
        <w:pStyle w:val="ListBullet"/>
      </w:pPr>
      <w:r/>
      <w:r>
        <w:rPr>
          <w:b/>
        </w:rPr>
        <w:t>Fréquents (≥ 1/100 à &lt; 1/10)</w:t>
      </w:r>
      <w:r>
        <w:t xml:space="preserve"> :</w:t>
      </w:r>
    </w:p>
    <w:p>
      <w:pPr>
        <w:pStyle w:val="ListBullet"/>
      </w:pPr>
      <w:r/>
      <w:r>
        <w:rPr>
          <w:b/>
        </w:rPr>
        <w:t>Dystonie aiguë</w:t>
      </w:r>
      <w:r>
        <w:t xml:space="preserve"> (torsion musculaire brutale, opisthotonos, torticolis spasmodique, crise oculogyre, trismus — apparaît en heures à jours, surtout sujet jeune homme — </w:t>
      </w:r>
      <w:r>
        <w:rPr>
          <w:b/>
        </w:rPr>
        <w:t>urgence thérapeutique</w:t>
      </w:r>
      <w:r>
        <w:t xml:space="preserve"> — traitement : anticholinergique IM/IV bipéridène 5 mg ou trihexyphénidyle) — incidence 5-10 %, surtout 1re semaine.</w:t>
      </w:r>
    </w:p>
    <w:p>
      <w:pPr>
        <w:pStyle w:val="ListBullet"/>
      </w:pPr>
      <w:r/>
      <w:r>
        <w:rPr>
          <w:b/>
        </w:rPr>
        <w:t>Dyskinésie tardive</w:t>
      </w:r>
      <w:r>
        <w:t xml:space="preserve"> (mouvements choréiformes orofaciaux : mastication, protrusion de la langue, smacking des lèvres ; mouvements anormaux des membres et du tronc — apparaît après des mois à années de traitement, </w:t>
      </w:r>
      <w:r>
        <w:rPr>
          <w:b/>
        </w:rPr>
        <w:t>potentiellement irréversible</w:t>
      </w:r>
      <w:r>
        <w:t xml:space="preserve"> — incidence 5 % par an, 20-40 % à 5 ans) — pas de traitement curatif — prévention : dose minimale efficace, interruption périodique de la prescription.</w:t>
      </w:r>
    </w:p>
    <w:p>
      <w:pPr>
        <w:pStyle w:val="ListBullet"/>
      </w:pPr>
      <w:r/>
      <w:r>
        <w:rPr>
          <w:b/>
        </w:rPr>
        <w:t>Sédation, somnolence</w:t>
      </w:r>
      <w:r>
        <w:t xml:space="preserve"> (modérée — incidence 10-15 %).</w:t>
      </w:r>
    </w:p>
    <w:p>
      <w:pPr>
        <w:pStyle w:val="ListBullet"/>
      </w:pPr>
      <w:r/>
      <w:r>
        <w:rPr>
          <w:b/>
        </w:rPr>
        <w:t>Hypotension orthostatique</w:t>
      </w:r>
      <w:r>
        <w:t xml:space="preserve"> (modérée — incidence 5-10 %).</w:t>
      </w:r>
    </w:p>
    <w:p>
      <w:pPr>
        <w:pStyle w:val="ListBullet"/>
      </w:pPr>
      <w:r/>
      <w:r>
        <w:rPr>
          <w:b/>
        </w:rPr>
        <w:t>Sécheresse buccale, constipation</w:t>
      </w:r>
      <w:r>
        <w:t xml:space="preserve"> (incidence 5-10 % — effet anticholinergique minime).</w:t>
      </w:r>
    </w:p>
    <w:p>
      <w:pPr>
        <w:pStyle w:val="ListBullet"/>
      </w:pPr>
      <w:r/>
      <w:r>
        <w:rPr>
          <w:b/>
        </w:rPr>
        <w:t>Prise de poids</w:t>
      </w:r>
      <w:r>
        <w:t xml:space="preserve"> (modérée — 1-3 kg sur 6 mois).</w:t>
      </w:r>
    </w:p>
    <w:p>
      <w:pPr>
        <w:pStyle w:val="ListBullet"/>
      </w:pPr>
      <w:r/>
      <w:r>
        <w:rPr>
          <w:b/>
        </w:rPr>
        <w:t>Hyperprolactinémie</w:t>
      </w:r>
      <w:r>
        <w:t xml:space="preserve"> (modérée — galactorrhée, aménorrhée, gynécomastie, troubles sexuels — incidence 10-30 %).</w:t>
      </w:r>
    </w:p>
    <w:p>
      <w:pPr>
        <w:pStyle w:val="ListBullet"/>
      </w:pPr>
      <w:r/>
      <w:r>
        <w:rPr>
          <w:b/>
        </w:rPr>
        <w:t>Troubles visuels</w:t>
      </w:r>
      <w:r>
        <w:t xml:space="preserve"> (accommodation).</w:t>
      </w:r>
    </w:p>
    <w:p>
      <w:pPr>
        <w:pStyle w:val="ListBullet"/>
      </w:pPr>
      <w:r/>
      <w:r>
        <w:rPr>
          <w:b/>
        </w:rPr>
        <w:t>Peu fréquents (≥ 1/1000 à &lt; 1/100)</w:t>
      </w:r>
      <w:r>
        <w:t xml:space="preserve"> :</w:t>
      </w:r>
    </w:p>
    <w:p>
      <w:pPr>
        <w:pStyle w:val="ListBullet"/>
      </w:pPr>
      <w:r/>
      <w:r>
        <w:rPr>
          <w:b/>
        </w:rPr>
        <w:t>Syndrome malin des neuroleptiques (SMN)</w:t>
      </w:r>
      <w:r>
        <w:t xml:space="preserve"> — </w:t>
      </w:r>
      <w:r>
        <w:rPr>
          <w:b/>
        </w:rPr>
        <w:t>urgence vitale</w:t>
      </w:r>
      <w:r>
        <w:t xml:space="preserve"> (mortalité 10-20 %) — hyperthermie &gt; 38,5 °C, hyperrigidité musculaire (« lead pipe »), altération de la conscience (obnubilation, confusion, coma), dysautonomie (PA instable, tachycardie, diaphorèse, incontinence urinaire), biologie : rhabdomyolyse (CPK &gt; 1000 UI/L, myoglobinurie), insuffisance rénale aiguë, leucocytose, perturbation du bilan hépatique. Délai : heures à semaines après initiation ou augmentation de dose. Mécanisme : blocage D2 hypothalamique et nigro-striatal massif avec dysrégulation thermique. Traitement : </w:t>
      </w:r>
      <w:r>
        <w:rPr>
          <w:b/>
        </w:rPr>
        <w:t>arrêt immédiat du neuroleptique</w:t>
      </w:r>
      <w:r>
        <w:t xml:space="preserve">, hospitalisation en réanimation, </w:t>
      </w:r>
      <w:r>
        <w:rPr>
          <w:b/>
        </w:rPr>
        <w:t>dantrolène IV</w:t>
      </w:r>
      <w:r>
        <w:t xml:space="preserve"> (relaxant musculaire — 1-10 mg/kg), </w:t>
      </w:r>
      <w:r>
        <w:rPr>
          <w:b/>
        </w:rPr>
        <w:t>bromocriptine PO/NG</w:t>
      </w:r>
      <w:r>
        <w:t xml:space="preserve"> (agoniste D2 — 2,5-15 mg/j), refroidissement actif, hydratation. Prévention : pas de réintroduction précoce (respecter un délai de 2-4 semaines après résolution).</w:t>
      </w:r>
    </w:p>
    <w:p>
      <w:pPr>
        <w:pStyle w:val="ListBullet"/>
      </w:pPr>
      <w:r/>
      <w:r>
        <w:rPr>
          <w:b/>
        </w:rPr>
        <w:t>Allongement de l'espace QT</w:t>
      </w:r>
      <w:r>
        <w:t xml:space="preserve"> (modéré à dose standard, marqué à forte dose IV) — risque de </w:t>
      </w:r>
      <w:r>
        <w:rPr>
          <w:b/>
        </w:rPr>
        <w:t>torsades de pointes (TdP)</w:t>
      </w:r>
      <w:r>
        <w:t xml:space="preserve"> pouvant dégénérer en fibrillation ventriculaire. Surveillance ECG systématique si antécédent cardiaque, hypokaliémie, association à un autre allongeur de QT.</w:t>
      </w:r>
    </w:p>
    <w:p>
      <w:pPr>
        <w:pStyle w:val="ListBullet"/>
      </w:pPr>
      <w:r/>
      <w:r>
        <w:rPr>
          <w:b/>
        </w:rPr>
        <w:t>Convulsions</w:t>
      </w:r>
      <w:r>
        <w:t xml:space="preserve"> (abaissement du seuil épileptogène — surtout si antécédent personnel ou familial d'épilepsie).</w:t>
      </w:r>
    </w:p>
    <w:p>
      <w:pPr>
        <w:pStyle w:val="ListBullet"/>
      </w:pPr>
      <w:r/>
      <w:r>
        <w:rPr>
          <w:b/>
        </w:rPr>
        <w:t>Réactions cutanées</w:t>
      </w:r>
      <w:r>
        <w:t xml:space="preserve"> : photosensibilité (réactions au soleil — protection solaire indispensable), éruptions, urticaire, pigmentation.</w:t>
      </w:r>
    </w:p>
    <w:p>
      <w:pPr>
        <w:pStyle w:val="ListBullet"/>
      </w:pPr>
      <w:r/>
      <w:r>
        <w:rPr>
          <w:b/>
        </w:rPr>
        <w:t>Rétention urinaire</w:t>
      </w:r>
      <w:r>
        <w:t xml:space="preserve"> (surtout sujet âgé avec adénome prostatique).</w:t>
      </w:r>
    </w:p>
    <w:p>
      <w:pPr>
        <w:pStyle w:val="ListBullet"/>
      </w:pPr>
      <w:r/>
      <w:r>
        <w:rPr>
          <w:b/>
        </w:rPr>
        <w:t>Troubles hépatiques</w:t>
      </w:r>
      <w:r>
        <w:t xml:space="preserve"> : cytolyse modérée, cholestase (rare).</w:t>
      </w:r>
    </w:p>
    <w:p>
      <w:pPr>
        <w:pStyle w:val="ListBullet"/>
      </w:pPr>
      <w:r/>
      <w:r>
        <w:rPr>
          <w:b/>
        </w:rPr>
        <w:t>Troubles hématologiques</w:t>
      </w:r>
      <w:r>
        <w:t xml:space="preserve"> : leucopénie, thrombopénie, agranulocytose (rare).</w:t>
      </w:r>
    </w:p>
    <w:p>
      <w:pPr>
        <w:pStyle w:val="ListBullet"/>
      </w:pPr>
      <w:r/>
      <w:r>
        <w:rPr>
          <w:b/>
        </w:rPr>
        <w:t>Rares (≥ 1/10000 à &lt; 1/1000)</w:t>
      </w:r>
      <w:r>
        <w:t xml:space="preserve"> :</w:t>
      </w:r>
    </w:p>
    <w:p>
      <w:pPr>
        <w:pStyle w:val="ListBullet"/>
      </w:pPr>
      <w:r/>
      <w:r>
        <w:rPr>
          <w:b/>
        </w:rPr>
        <w:t>Ictère cholestatique</w:t>
      </w:r>
      <w:r>
        <w:t xml:space="preserve">, </w:t>
      </w:r>
      <w:r>
        <w:rPr>
          <w:b/>
        </w:rPr>
        <w:t>hépatite cytolytique</w:t>
      </w:r>
      <w:r>
        <w:t>.</w:t>
      </w:r>
    </w:p>
    <w:p>
      <w:pPr>
        <w:pStyle w:val="ListBullet"/>
      </w:pPr>
      <w:r/>
      <w:r>
        <w:rPr>
          <w:b/>
        </w:rPr>
        <w:t>Agranulocytose</w:t>
      </w:r>
      <w:r>
        <w:t xml:space="preserve">, </w:t>
      </w:r>
      <w:r>
        <w:rPr>
          <w:b/>
        </w:rPr>
        <w:t>aplasie médullaire</w:t>
      </w:r>
      <w:r>
        <w:t>.</w:t>
      </w:r>
    </w:p>
    <w:p>
      <w:pPr>
        <w:pStyle w:val="ListBullet"/>
      </w:pPr>
      <w:r/>
      <w:r>
        <w:rPr>
          <w:b/>
        </w:rPr>
        <w:t>Syndrome de Stevens-Johnson</w:t>
      </w:r>
      <w:r>
        <w:t xml:space="preserve">, </w:t>
      </w:r>
      <w:r>
        <w:rPr>
          <w:b/>
        </w:rPr>
        <w:t>nécrolyse épidermique toxique (Lyell)</w:t>
      </w:r>
      <w:r>
        <w:t>.</w:t>
      </w:r>
    </w:p>
    <w:p>
      <w:pPr>
        <w:pStyle w:val="ListBullet"/>
      </w:pPr>
      <w:r/>
      <w:r>
        <w:rPr>
          <w:b/>
        </w:rPr>
        <w:t>Réactions anaphylactiques</w:t>
      </w:r>
      <w:r>
        <w:t>, angio-œdème.</w:t>
      </w:r>
    </w:p>
    <w:p>
      <w:pPr>
        <w:pStyle w:val="ListBullet"/>
      </w:pPr>
      <w:r/>
      <w:r>
        <w:rPr>
          <w:b/>
        </w:rPr>
        <w:t>Pigmentation rétinienne</w:t>
      </w:r>
      <w:r>
        <w:t xml:space="preserve"> et cornéenne (au très long cours à dose élevée).</w:t>
      </w:r>
    </w:p>
    <w:p>
      <w:pPr>
        <w:pStyle w:val="ListBullet"/>
      </w:pPr>
      <w:r/>
      <w:r>
        <w:rPr>
          <w:b/>
        </w:rPr>
        <w:t>Effets paradoxaux</w:t>
      </w:r>
      <w:r>
        <w:t xml:space="preserve"> : agitation paradoxale, manie induite (rare).</w:t>
      </w:r>
    </w:p>
    <w:p>
      <w:r/>
      <w:r>
        <w:rPr>
          <w:b/>
        </w:rPr>
        <w:t>Prévention et Gestion des Effets Indésirables :</w:t>
      </w:r>
      <w:r/>
    </w:p>
    <w:p>
      <w:pPr>
        <w:pStyle w:val="ListBullet"/>
      </w:pPr>
      <w:r>
        <w:t>Mesures Préventives :</w:t>
      </w:r>
    </w:p>
    <w:p>
      <w:pPr>
        <w:pStyle w:val="ListBullet"/>
      </w:pPr>
      <w:r>
        <w:t xml:space="preserve">(i) </w:t>
      </w:r>
      <w:r>
        <w:rPr>
          <w:b/>
        </w:rPr>
        <w:t>Dose minimale efficace</w:t>
      </w:r>
      <w:r>
        <w:t xml:space="preserve"> : la règle absolue est de prescrire la dose minimale permettant le contrôle des symptômes — règle valable pour tous les antipsychotiques mais particulièrement pour l'halopéridol en raison de son risque EPS majeur. Démarrer à 1-2 mg/j per os (sujet âgé : 0,5 mg/j) et titrer progressivement par paliers de 1-2 mg tous les 3-7 jours selon la réponse clinique et la tolérance. Dose maximale recommandée : 20 mg/j per os (au-delà, le rapport bénéfice/risque se dégrade — sauf cas exceptionnel de schizophrénie réfractaire).</w:t>
      </w:r>
    </w:p>
    <w:p>
      <w:pPr>
        <w:pStyle w:val="ListBullet"/>
      </w:pPr>
      <w:r>
        <w:t xml:space="preserve">(ii) </w:t>
      </w:r>
      <w:r>
        <w:rPr>
          <w:b/>
        </w:rPr>
        <w:t>Surveillance EPS systématique</w:t>
      </w:r>
      <w:r>
        <w:t xml:space="preserve"> : évaluation clinique aux 1er, 7e, 15e jours, puis mensuelle — échelles standardisées (Simpson-Angus Scale pour parkinsonisme, Barnes Akathisia Scale pour akathisie, AIMS pour dyskinésie tardive). En cas d'akathisie : réduction de dose, switch vers un atypique (olanzapine, quetiapine), addition d'un </w:t>
      </w:r>
      <w:r>
        <w:rPr>
          <w:b/>
        </w:rPr>
        <w:t>β-bloquant</w:t>
      </w:r>
      <w:r>
        <w:t xml:space="preserve"> (propranolol 10-30 mg/j) ou d'une </w:t>
      </w:r>
      <w:r>
        <w:rPr>
          <w:b/>
        </w:rPr>
        <w:t>benzodiazépine</w:t>
      </w:r>
      <w:r>
        <w:t xml:space="preserve"> (lorazépam 1-2 mg/j). En cas de parkinsonisme : réduction de dose, addition d'un </w:t>
      </w:r>
      <w:r>
        <w:rPr>
          <w:b/>
        </w:rPr>
        <w:t>anticholinergique</w:t>
      </w:r>
      <w:r>
        <w:t xml:space="preserve"> (trihexyphénidyle 2-6 mg/j, bipéridène 2-6 mg/j) — prudence chez le sujet âgé (effets cognitifs anticholinergiques). En cas de dystonie aiguë : </w:t>
      </w:r>
      <w:r>
        <w:rPr>
          <w:b/>
        </w:rPr>
        <w:t>urgence</w:t>
      </w:r>
      <w:r>
        <w:t xml:space="preserve"> — bipéridène IM/IV 5 mg, surveillance.</w:t>
      </w:r>
    </w:p>
    <w:p>
      <w:pPr>
        <w:pStyle w:val="ListBullet"/>
      </w:pPr>
      <w:r>
        <w:t xml:space="preserve">(iii) </w:t>
      </w:r>
      <w:r>
        <w:rPr>
          <w:b/>
        </w:rPr>
        <w:t>Surveillance ECG</w:t>
      </w:r>
      <w:r>
        <w:t xml:space="preserve"> : ECG initial (avant instauration), à 1 semaine, puis mensuel si dose élevée (&gt; 10 mg/j) ou antécédent cardiaque. Surveillance </w:t>
      </w:r>
      <w:r>
        <w:rPr>
          <w:b/>
        </w:rPr>
        <w:t>kaliémie</w:t>
      </w:r>
      <w:r>
        <w:t xml:space="preserve"> et </w:t>
      </w:r>
      <w:r>
        <w:rPr>
          <w:b/>
        </w:rPr>
        <w:t>magnésémie</w:t>
      </w:r>
      <w:r>
        <w:t xml:space="preserve"> (corriger avant toute initiation). Éviter l'halopéridol IV à forte dose (&gt; 2 mg/cure) chez le sujet à risque cardiaque.</w:t>
      </w:r>
    </w:p>
    <w:p>
      <w:pPr>
        <w:pStyle w:val="ListBullet"/>
      </w:pPr>
      <w:r>
        <w:t xml:space="preserve">(iv) </w:t>
      </w:r>
      <w:r>
        <w:rPr>
          <w:b/>
        </w:rPr>
        <w:t>Surveillance température corporelle</w:t>
      </w:r>
      <w:r>
        <w:t xml:space="preserve"> : mesure biquotidienne en début de traitement (1re semaine) — toute élévation &gt; 38 °C associée à une rigidité musculaire doit faire </w:t>
      </w:r>
      <w:r>
        <w:rPr>
          <w:b/>
        </w:rPr>
        <w:t>suspendre immédiatement</w:t>
      </w:r>
      <w:r>
        <w:t xml:space="preserve"> le traitement et consulter en urgence (suspicion SMN).</w:t>
      </w:r>
    </w:p>
    <w:p>
      <w:pPr>
        <w:pStyle w:val="ListBullet"/>
      </w:pPr>
      <w:r>
        <w:t xml:space="preserve">(v) </w:t>
      </w:r>
      <w:r>
        <w:rPr>
          <w:b/>
        </w:rPr>
        <w:t>Surveillance biologique</w:t>
      </w:r>
      <w:r>
        <w:t xml:space="preserve"> : NFS, bilan hépatique, prolactinémie à l'initiation puis à 3 mois, puis semestriel. Glycémie et bilan lipidique (modestes effets métaboliques avec halopéridol — moins marqués qu'avec les atypiques).</w:t>
      </w:r>
    </w:p>
    <w:p>
      <w:pPr>
        <w:pStyle w:val="ListBullet"/>
      </w:pPr>
      <w:r>
        <w:t xml:space="preserve">(vi) </w:t>
      </w:r>
      <w:r>
        <w:rPr>
          <w:b/>
        </w:rPr>
        <w:t>Hydratation</w:t>
      </w:r>
      <w:r>
        <w:t xml:space="preserve"> : recommander au patient une hydratation suffisante (1,5-2 L/j) — prévention de la déshydratation qui majore le risque de SMN et d'insuffisance rénale.</w:t>
      </w:r>
    </w:p>
    <w:p>
      <w:pPr>
        <w:pStyle w:val="ListBullet"/>
      </w:pPr>
      <w:r>
        <w:t xml:space="preserve">(vii) </w:t>
      </w:r>
      <w:r>
        <w:rPr>
          <w:b/>
        </w:rPr>
        <w:t>Protection solaire</w:t>
      </w:r>
      <w:r>
        <w:t xml:space="preserve"> : crème solaire écran total, vêtements couvrants, évitement de l'exposition directe (photosensibilité).</w:t>
      </w:r>
    </w:p>
    <w:p>
      <w:pPr>
        <w:pStyle w:val="ListBullet"/>
      </w:pPr>
      <w:r>
        <w:t xml:space="preserve">(viii) </w:t>
      </w:r>
      <w:r>
        <w:rPr>
          <w:b/>
        </w:rPr>
        <w:t>Prudence chez le sujet âgé dément</w:t>
      </w:r>
      <w:r>
        <w:t xml:space="preserve"> : signal FDA 2005 et EMA 2008 d'augmentation de la mortalité (principalement cardiovasculaire et infectieuse) chez le sujet âgé dément traité par antipsychotique — réserver à l'échec des mesures non pharmacologiques, à dose minimale, durée la plus courte possible.</w:t>
      </w:r>
    </w:p>
    <w:p>
      <w:pPr>
        <w:pStyle w:val="ListBullet"/>
      </w:pPr>
      <w:r>
        <w:t>Conduite à Tenir :</w:t>
      </w:r>
    </w:p>
    <w:p>
      <w:pPr>
        <w:pStyle w:val="ListBullet"/>
      </w:pPr>
      <w:r>
        <w:t xml:space="preserve">(i) En cas de </w:t>
      </w:r>
      <w:r>
        <w:rPr>
          <w:b/>
        </w:rPr>
        <w:t>dystonie aiguë</w:t>
      </w:r>
      <w:r>
        <w:t xml:space="preserve"> : </w:t>
      </w:r>
      <w:r>
        <w:rPr>
          <w:b/>
        </w:rPr>
        <w:t>urgence thérapeutique</w:t>
      </w:r>
      <w:r>
        <w:t xml:space="preserve"> — arrêter l'halopéridol, administrer du </w:t>
      </w:r>
      <w:r>
        <w:rPr>
          <w:b/>
        </w:rPr>
        <w:t>bipéridène IM/IV 5 mg</w:t>
      </w:r>
      <w:r>
        <w:t xml:space="preserve"> (régression en 15-30 min), surveillance médicale 4-6 h, switch thérapeutique vers un atypique.</w:t>
      </w:r>
    </w:p>
    <w:p>
      <w:pPr>
        <w:pStyle w:val="ListBullet"/>
      </w:pPr>
      <w:r>
        <w:t>(ii) En cas d'</w:t>
      </w:r>
      <w:r>
        <w:rPr>
          <w:b/>
        </w:rPr>
        <w:t>akathisie invalidante</w:t>
      </w:r>
      <w:r>
        <w:t xml:space="preserve"> : réduction de dose, addition d'un </w:t>
      </w:r>
      <w:r>
        <w:rPr>
          <w:b/>
        </w:rPr>
        <w:t>β-bloquant</w:t>
      </w:r>
      <w:r>
        <w:t xml:space="preserve"> (propranolol 10-30 mg/j) ou d'une </w:t>
      </w:r>
      <w:r>
        <w:rPr>
          <w:b/>
        </w:rPr>
        <w:t>benzodiazépine</w:t>
      </w:r>
      <w:r>
        <w:t xml:space="preserve"> (lorazépam), switch vers un atypique si récidive.</w:t>
      </w:r>
    </w:p>
    <w:p>
      <w:pPr>
        <w:pStyle w:val="ListBullet"/>
      </w:pPr>
      <w:r>
        <w:t xml:space="preserve">(iii) En cas de </w:t>
      </w:r>
      <w:r>
        <w:rPr>
          <w:b/>
        </w:rPr>
        <w:t>parkinsonisme</w:t>
      </w:r>
      <w:r>
        <w:t xml:space="preserve"> : réduction de dose, addition d'un </w:t>
      </w:r>
      <w:r>
        <w:rPr>
          <w:b/>
        </w:rPr>
        <w:t>anticholinergique</w:t>
      </w:r>
      <w:r>
        <w:t xml:space="preserve"> (trihexyphénidyle, bipéridène) — prudence gériatrique.</w:t>
      </w:r>
    </w:p>
    <w:p>
      <w:pPr>
        <w:pStyle w:val="ListBullet"/>
      </w:pPr>
      <w:r>
        <w:t xml:space="preserve">(iv) En cas de </w:t>
      </w:r>
      <w:r>
        <w:rPr>
          <w:b/>
        </w:rPr>
        <w:t>suspicion de SMN</w:t>
      </w:r>
      <w:r>
        <w:t xml:space="preserve"> (fièvre + rigidité) : </w:t>
      </w:r>
      <w:r>
        <w:rPr>
          <w:b/>
        </w:rPr>
        <w:t>arrêt IMMÉDIAT</w:t>
      </w:r>
      <w:r>
        <w:t xml:space="preserve"> de l'halopéridol, hospitalisation en réanimation, dantrolène IV + bromocriptine PO/NG, refroidissement actif, hydratation IV. Pas de réintroduction précoce (délai 2-4 semaines après résolution complète), préférer un atypique à faible dose à la reprise.</w:t>
      </w:r>
    </w:p>
    <w:p>
      <w:pPr>
        <w:pStyle w:val="ListBullet"/>
      </w:pPr>
      <w:r>
        <w:t>(v) En cas d'</w:t>
      </w:r>
      <w:r>
        <w:rPr>
          <w:b/>
        </w:rPr>
        <w:t>allongement QT &gt; 500 ms</w:t>
      </w:r>
      <w:r>
        <w:t xml:space="preserve"> ou d'</w:t>
      </w:r>
      <w:r>
        <w:rPr>
          <w:b/>
        </w:rPr>
        <w:t>extrasystoles ventriculaires</w:t>
      </w:r>
      <w:r>
        <w:t xml:space="preserve"> : arrêt de l'halopéridol, contrôle électrolytique (K+, Mg2+), ECG de contrôle, évaluation cardiologique.</w:t>
      </w:r>
    </w:p>
    <w:p>
      <w:pPr>
        <w:pStyle w:val="ListBullet"/>
      </w:pPr>
      <w:r>
        <w:t xml:space="preserve">(vi) En cas de </w:t>
      </w:r>
      <w:r>
        <w:rPr>
          <w:b/>
        </w:rPr>
        <w:t>dyskinésie tardive</w:t>
      </w:r>
      <w:r>
        <w:t xml:space="preserve"> : arrêt progressif de l'halopéridol si possible (réduction lente par paliers sur 4-8 semaines pour éviter le syndrome de sevrage), switch vers un atypique (clozapine, quetiapine — meilleur profil sur dyskinésie tardive), pas de traitement curatif validé (la </w:t>
      </w:r>
      <w:r>
        <w:rPr>
          <w:b/>
        </w:rPr>
        <w:t>tetrabénazine</w:t>
      </w:r>
      <w:r>
        <w:t xml:space="preserve"> est parfois essayée — déplétion dopaminergique).</w:t>
      </w:r>
    </w:p>
    <w:p>
      <w:pPr>
        <w:pStyle w:val="ListBullet"/>
      </w:pPr>
      <w:r>
        <w:t>(vii) En cas d'</w:t>
      </w:r>
      <w:r>
        <w:rPr>
          <w:b/>
        </w:rPr>
        <w:t>hyperprolactinémie symptomatique</w:t>
      </w:r>
      <w:r>
        <w:t xml:space="preserve"> (galactorrhée, aménorrhée) : réduction de dose, switch vers un atypique peu hyperprolactinémiante (aripiprazole, quetiapine).</w:t>
      </w:r>
    </w:p>
    <w:p>
      <w:r/>
      <w:r>
        <w:rPr>
          <w:b/>
        </w:rPr>
        <w:t>Interactions Importantes :</w:t>
      </w:r>
      <w:r/>
    </w:p>
    <w:p>
      <w:pPr>
        <w:pStyle w:val="ListBullet"/>
      </w:pPr>
      <w:r/>
      <w:r>
        <w:rPr>
          <w:b/>
        </w:rPr>
        <w:t>Halopéridol + lévodopa</w:t>
      </w:r>
      <w:r>
        <w:t xml:space="preserve"> (et agonistes dopaminergiques : bromocriptine, pergolide, ropinirole, pramipexole, rotigotine, apomorphine) : </w:t>
      </w:r>
      <w:r>
        <w:rPr>
          <w:b/>
        </w:rPr>
        <w:t>antagonisme pharmacodynamique complet</w:t>
      </w:r>
      <w:r>
        <w:t xml:space="preserve"> — CI absolue. La lévodopa est le traitement de référence de la maladie de Parkinson (transformée en dopamine endogène dans le striatum par la DOPA-décarboxylase), les agonistes dopaminergiques stimulent directement les D2 striatales pour compenser la perte neuronale substantique. L'halopéridol bloque ces mêmes D2 striatales, </w:t>
      </w:r>
      <w:r>
        <w:rPr>
          <w:b/>
        </w:rPr>
        <w:t>annulant l'effet antiparkinsonien</w:t>
      </w:r>
      <w:r>
        <w:t xml:space="preserve"> et pouvant déclencher un </w:t>
      </w:r>
      <w:r>
        <w:rPr>
          <w:b/>
        </w:rPr>
        <w:t>syndrome akinétique sévère</w:t>
      </w:r>
      <w:r>
        <w:t xml:space="preserve"> (rigidité, abolition des mouvements, dysautonomie). En cas de psychose parkinsonienne (fréquente à un stade avancé de la maladie de Parkinson), préférer un </w:t>
      </w:r>
      <w:r>
        <w:rPr>
          <w:b/>
        </w:rPr>
        <w:t>atypique</w:t>
      </w:r>
      <w:r>
        <w:t xml:space="preserve"> peu bloquant D2 striatale : </w:t>
      </w:r>
      <w:r>
        <w:rPr>
          <w:b/>
        </w:rPr>
        <w:t>clozapine</w:t>
      </w:r>
      <w:r>
        <w:t xml:space="preserve"> (référence — pas de blocage striatal), </w:t>
      </w:r>
      <w:r>
        <w:rPr>
          <w:b/>
        </w:rPr>
        <w:t>quetiapine</w:t>
      </w:r>
      <w:r>
        <w:t xml:space="preserve"> (alternative — peu de blocage striatal), </w:t>
      </w:r>
      <w:r>
        <w:rPr>
          <w:b/>
        </w:rPr>
        <w:t>pimavansérine</w:t>
      </w:r>
      <w:r>
        <w:t xml:space="preserve"> (antipsychotique atypique anti-5HT2A sélectif — non disponible en Algérie). </w:t>
      </w:r>
      <w:r>
        <w:rPr>
          <w:b/>
        </w:rPr>
        <w:t>Éviter absolument</w:t>
      </w:r>
      <w:r>
        <w:t xml:space="preserve"> halopéridol, fluphénazine, chlorpromazine, sulpiride chez le patient parkinsonien.</w:t>
      </w:r>
    </w:p>
    <w:p>
      <w:pPr>
        <w:pStyle w:val="ListBullet"/>
      </w:pPr>
      <w:r/>
      <w:r>
        <w:rPr>
          <w:b/>
        </w:rPr>
        <w:t>Halopéridol + autres allongeurs de QT</w:t>
      </w:r>
      <w:r>
        <w:t xml:space="preserve"> : </w:t>
      </w:r>
      <w:r>
        <w:rPr>
          <w:b/>
        </w:rPr>
        <w:t>CI absolue</w:t>
      </w:r>
      <w:r>
        <w:t xml:space="preserve"> ou </w:t>
      </w:r>
      <w:r>
        <w:rPr>
          <w:b/>
        </w:rPr>
        <w:t>déconseillé</w:t>
      </w:r>
      <w:r>
        <w:t xml:space="preserve"> selon l'agent :</w:t>
      </w:r>
    </w:p>
    <w:p>
      <w:pPr>
        <w:pStyle w:val="ListBullet"/>
      </w:pPr>
      <w:r/>
      <w:r>
        <w:rPr>
          <w:b/>
        </w:rPr>
        <w:t>Antiarythmiques de classe Ia</w:t>
      </w:r>
      <w:r>
        <w:t xml:space="preserve"> (quinidine, disopyramide, procainamide) et </w:t>
      </w:r>
      <w:r>
        <w:rPr>
          <w:b/>
        </w:rPr>
        <w:t>classe III</w:t>
      </w:r>
      <w:r>
        <w:t xml:space="preserve"> (amiodarone, sotalol, ibutilide, dofetilide) — </w:t>
      </w:r>
      <w:r>
        <w:rPr>
          <w:b/>
        </w:rPr>
        <w:t>CI absolue</w:t>
      </w:r>
      <w:r>
        <w:t>.</w:t>
      </w:r>
    </w:p>
    <w:p>
      <w:pPr>
        <w:pStyle w:val="ListBullet"/>
      </w:pPr>
      <w:r/>
      <w:r>
        <w:rPr>
          <w:b/>
        </w:rPr>
        <w:t>Macrolides</w:t>
      </w:r>
      <w:r>
        <w:t xml:space="preserve"> (érythromycine, clarithromycine — sauf azithromycine, peu allongeuse) — </w:t>
      </w:r>
      <w:r>
        <w:rPr>
          <w:b/>
        </w:rPr>
        <w:t>CI absolue</w:t>
      </w:r>
      <w:r>
        <w:t xml:space="preserve"> ou </w:t>
      </w:r>
      <w:r>
        <w:rPr>
          <w:b/>
        </w:rPr>
        <w:t>déconseillée</w:t>
      </w:r>
      <w:r>
        <w:t xml:space="preserve"> selon RCP.</w:t>
      </w:r>
    </w:p>
    <w:p>
      <w:pPr>
        <w:pStyle w:val="ListBullet"/>
      </w:pPr>
      <w:r/>
      <w:r>
        <w:rPr>
          <w:b/>
        </w:rPr>
        <w:t>Fluoroquinolones</w:t>
      </w:r>
      <w:r>
        <w:t xml:space="preserve"> (moxifloxacine, ciprofloxacine, lévofloxacine) — </w:t>
      </w:r>
      <w:r>
        <w:rPr>
          <w:b/>
        </w:rPr>
        <w:t>déconseillées</w:t>
      </w:r>
      <w:r>
        <w:t>.</w:t>
      </w:r>
    </w:p>
    <w:p>
      <w:pPr>
        <w:pStyle w:val="ListBullet"/>
      </w:pPr>
      <w:r/>
      <w:r>
        <w:rPr>
          <w:b/>
        </w:rPr>
        <w:t>Antidépresseurs tricycliques</w:t>
      </w:r>
      <w:r>
        <w:t xml:space="preserve"> (amitriptyline, clomipramine, imipramine) — </w:t>
      </w:r>
      <w:r>
        <w:rPr>
          <w:b/>
        </w:rPr>
        <w:t>déconseillés</w:t>
      </w:r>
      <w:r>
        <w:t>.</w:t>
      </w:r>
    </w:p>
    <w:p>
      <w:pPr>
        <w:pStyle w:val="ListBullet"/>
      </w:pPr>
      <w:r/>
      <w:r>
        <w:rPr>
          <w:b/>
        </w:rPr>
        <w:t>Méthadone</w:t>
      </w:r>
      <w:r>
        <w:t xml:space="preserve"> (surtout à forte dose) — </w:t>
      </w:r>
      <w:r>
        <w:rPr>
          <w:b/>
        </w:rPr>
        <w:t>CI absolue</w:t>
      </w:r>
      <w:r>
        <w:t xml:space="preserve"> ou </w:t>
      </w:r>
      <w:r>
        <w:rPr>
          <w:b/>
        </w:rPr>
        <w:t>déconseillée</w:t>
      </w:r>
      <w:r>
        <w:t>.</w:t>
      </w:r>
    </w:p>
    <w:p>
      <w:pPr>
        <w:pStyle w:val="ListBullet"/>
      </w:pPr>
      <w:r/>
      <w:r>
        <w:rPr>
          <w:b/>
        </w:rPr>
        <w:t>Autres antipsychotiques</w:t>
      </w:r>
      <w:r>
        <w:t xml:space="preserve"> (typiques ou atypiques allongeurs — thioridazine, dropéridol, pimozide, sertindole, ziprasidone) — </w:t>
      </w:r>
      <w:r>
        <w:rPr>
          <w:b/>
        </w:rPr>
        <w:t>CI absolue</w:t>
      </w:r>
      <w:r>
        <w:t>.</w:t>
      </w:r>
    </w:p>
    <w:p>
      <w:pPr>
        <w:pStyle w:val="ListBullet"/>
      </w:pPr>
      <w:r/>
      <w:r>
        <w:rPr>
          <w:b/>
        </w:rPr>
        <w:t>Antihistaminiques H1 sédatifs</w:t>
      </w:r>
      <w:r>
        <w:t xml:space="preserve"> (hydroxyzine, astémizole — retiré, terfénadine — retiré) — </w:t>
      </w:r>
      <w:r>
        <w:rPr>
          <w:b/>
        </w:rPr>
        <w:t>déconseillés</w:t>
      </w:r>
      <w:r>
        <w:t>.</w:t>
      </w:r>
    </w:p>
    <w:p>
      <w:pPr>
        <w:pStyle w:val="ListBullet"/>
      </w:pPr>
      <w:r/>
      <w:r>
        <w:rPr>
          <w:b/>
        </w:rPr>
        <w:t>Antipaludiques</w:t>
      </w:r>
      <w:r>
        <w:t xml:space="preserve"> (halofantrine, luméfantrine, quinine IV) — </w:t>
      </w:r>
      <w:r>
        <w:rPr>
          <w:b/>
        </w:rPr>
        <w:t>CI absolue</w:t>
      </w:r>
      <w:r>
        <w:t>.</w:t>
      </w:r>
    </w:p>
    <w:p>
      <w:pPr>
        <w:pStyle w:val="ListBullet"/>
      </w:pPr>
      <w:r>
        <w:t>Surveillance ECG systématique si association nécessaire (réévaluation régulière du rapport bénéfice/risque).</w:t>
      </w:r>
    </w:p>
    <w:p>
      <w:pPr>
        <w:pStyle w:val="ListBullet"/>
      </w:pPr>
      <w:r/>
      <w:r>
        <w:rPr>
          <w:b/>
        </w:rPr>
        <w:t>Halopéridol + dépresseurs du SNC</w:t>
      </w:r>
      <w:r>
        <w:t xml:space="preserve"> (alcool, benzodiazépines, opioïdes, barbituriques, anesthésiques généraux, antihistaminiques H1 sédatifs) : </w:t>
      </w:r>
      <w:r>
        <w:rPr>
          <w:b/>
        </w:rPr>
        <w:t>sédation additive</w:t>
      </w:r>
      <w:r>
        <w:t>, risque de dépression respiratoire — déconseillé, prudence, surveillance.</w:t>
      </w:r>
    </w:p>
    <w:p>
      <w:pPr>
        <w:pStyle w:val="ListBullet"/>
      </w:pPr>
      <w:r/>
      <w:r>
        <w:rPr>
          <w:b/>
        </w:rPr>
        <w:t>Halopéridol + antihypertenseurs</w:t>
      </w:r>
      <w:r>
        <w:t xml:space="preserve"> (IEC, ARA2, diurétiques, bêta-bloquants, inhibiteurs calciques) : potentialisation de l'hypotension orthostatique — surveillance PA, adaptation posologique.</w:t>
      </w:r>
    </w:p>
    <w:p>
      <w:pPr>
        <w:pStyle w:val="ListBullet"/>
      </w:pPr>
      <w:r/>
      <w:r>
        <w:rPr>
          <w:b/>
        </w:rPr>
        <w:t>Halopéridol + lithium</w:t>
      </w:r>
      <w:r>
        <w:t xml:space="preserve"> : potentialisation de l'effet antipsychotique (indication de la manie aiguë), mais augmentation du risque d'</w:t>
      </w:r>
      <w:r>
        <w:rPr>
          <w:b/>
        </w:rPr>
        <w:t>encéphalopathie toxique</w:t>
      </w:r>
      <w:r>
        <w:t xml:space="preserve"> (syndrome neuroleptique malin-like) — surveillance clinique étroite, contrôle de la lithiémie.</w:t>
      </w:r>
    </w:p>
    <w:p>
      <w:pPr>
        <w:pStyle w:val="ListBullet"/>
      </w:pPr>
      <w:r/>
      <w:r>
        <w:rPr>
          <w:b/>
        </w:rPr>
        <w:t>Halopéridol + carbamazépine, phénytoïne, phénobarbital, rifampicine</w:t>
      </w:r>
      <w:r>
        <w:t xml:space="preserve"> (inducteurs enzymatiques CYP3A4) : </w:t>
      </w:r>
      <w:r>
        <w:rPr>
          <w:b/>
        </w:rPr>
        <w:t>réduction des concentrations d'halopéridol</w:t>
      </w:r>
      <w:r>
        <w:t xml:space="preserve"> — risque d'inefficacité — adapter la posologie (augmentation possible jusqu'à 50 %).</w:t>
      </w:r>
    </w:p>
    <w:p>
      <w:pPr>
        <w:pStyle w:val="ListBullet"/>
      </w:pPr>
      <w:r/>
      <w:r>
        <w:rPr>
          <w:b/>
        </w:rPr>
        <w:t>Halopéridol + inhibiteurs puissants du CYP3A4 et CYP2D6</w:t>
      </w:r>
      <w:r>
        <w:t xml:space="preserve"> (kétoconazole, itraconazole, ritonavir, indinavir, clarithromycine, érythromycine, paroxétine, fluoxétine, fluvoxamine, duloxétine) : </w:t>
      </w:r>
      <w:r>
        <w:rPr>
          <w:b/>
        </w:rPr>
        <w:t>augmentation des concentrations d'halopéridol</w:t>
      </w:r>
      <w:r>
        <w:t xml:space="preserve"> — risque de majoration des EI (EPS, allongement QT) — surveillance clinique et ECG, envisager réduction de dose.</w:t>
      </w:r>
    </w:p>
    <w:p>
      <w:pPr>
        <w:pStyle w:val="ListBullet"/>
      </w:pPr>
      <w:r/>
      <w:r>
        <w:rPr>
          <w:b/>
        </w:rPr>
        <w:t>Halopéridol + adrénaline/noradrénaline</w:t>
      </w:r>
      <w:r>
        <w:t xml:space="preserve"> : l'halopéridol bloque partiellement les récepteurs α1 vasculaires — l'adrénaline (qui stimule α1, α2, β1, β2) peut avoir un effet </w:t>
      </w:r>
      <w:r>
        <w:rPr>
          <w:b/>
        </w:rPr>
        <w:t>vasodilatateur paradoxal</w:t>
      </w:r>
      <w:r>
        <w:t xml:space="preserve"> (blocage α1 prédominant → effet β2 vasodilatateur) — </w:t>
      </w:r>
      <w:r>
        <w:rPr>
          <w:b/>
        </w:rPr>
        <w:t>utiliser la noradrénaline</w:t>
      </w:r>
      <w:r>
        <w:t xml:space="preserve"> plutôt que l'adrénaline en cas d'hypotension sévère sous halopéridol.</w:t>
      </w:r>
    </w:p>
    <w:p>
      <w:pPr>
        <w:pStyle w:val="ListBullet"/>
      </w:pPr>
      <w:r/>
      <w:r>
        <w:rPr>
          <w:b/>
        </w:rPr>
        <w:t>Halopéridol + anticoagulants oraux</w:t>
      </w:r>
      <w:r>
        <w:t xml:space="preserve"> (warfarine, acénocoumarol) : déplacement de la fixation protéique — surveillance INR, adaptation posologique.</w:t>
      </w:r>
    </w:p>
    <w:p>
      <w:pPr>
        <w:pStyle w:val="ListBullet"/>
      </w:pPr>
      <w:r/>
      <w:r>
        <w:rPr>
          <w:b/>
        </w:rPr>
        <w:t>Halopéridol + tabac</w:t>
      </w:r>
      <w:r>
        <w:t xml:space="preserve"> : le tabac induit le CYP1A2 — l'halopéridol n'est pas un substrat majeur du CYP1A2, mais le métabolisme peut être modifié — surveillance clinique (pas d'adaptation posologique systématique).</w:t>
      </w:r>
    </w:p>
    <w:p>
      <w:r/>
      <w:r>
        <w:rPr>
          <w:b/>
        </w:rPr>
        <w:t>Grossesse et Allaitement :</w:t>
      </w:r>
      <w:r/>
    </w:p>
    <w:p>
      <w:pPr>
        <w:pStyle w:val="ListBullet"/>
      </w:pPr>
      <w:r>
        <w:t xml:space="preserve">Grossesse : selon le </w:t>
      </w:r>
      <w:r>
        <w:rPr>
          <w:b/>
        </w:rPr>
        <w:t>CRAT (Centre Renseignements sur les Agents Tératogènes)</w:t>
      </w:r>
      <w:r>
        <w:t xml:space="preserve">, l'halopéridol est l'antipsychotique typique ayant le </w:t>
      </w:r>
      <w:r>
        <w:rPr>
          <w:b/>
        </w:rPr>
        <w:t>recul le plus important</w:t>
      </w:r>
      <w:r>
        <w:t xml:space="preserve"> et le </w:t>
      </w:r>
      <w:r>
        <w:rPr>
          <w:b/>
        </w:rPr>
        <w:t>profil de sécurité le mieux documenté</w:t>
      </w:r>
      <w:r>
        <w:t xml:space="preserve"> pendant la grossesse. Plusieurs cohortes prospectives (Altshuler 1996, Mc-Kenna 2005) n'ont pas montré d'augmentation du risque de </w:t>
      </w:r>
      <w:r>
        <w:rPr>
          <w:b/>
        </w:rPr>
        <w:t>malformations congénitales majeures</w:t>
      </w:r>
      <w:r>
        <w:t xml:space="preserve"> (≤ 1re percentile) par rapport à la population générale. Il n'est pas tératogène chez l'animal. Cependant, l'halopéridol traverse la </w:t>
      </w:r>
      <w:r>
        <w:rPr>
          <w:b/>
        </w:rPr>
        <w:t>barrière placentaire</w:t>
      </w:r>
      <w:r>
        <w:t xml:space="preserve"> et expose le nouveau-né à un risque de </w:t>
      </w:r>
      <w:r>
        <w:rPr>
          <w:b/>
        </w:rPr>
        <w:t>symptômes extrapyramidaux néonatals transitoires</w:t>
      </w:r>
      <w:r>
        <w:t xml:space="preserve"> (hypertonie, hyperréflexie, tremblements, agitation, dystonie) — syndrome de </w:t>
      </w:r>
      <w:r>
        <w:rPr>
          <w:b/>
        </w:rPr>
        <w:t>retrait néonatal</w:t>
      </w:r>
      <w:r>
        <w:t xml:space="preserve"> — en cas de prise jusqu'au 3e trimestre, surtout en fin de grossesse. Recommandations : si traitement nécessaire pendant la grossesse, </w:t>
      </w:r>
      <w:r>
        <w:rPr>
          <w:b/>
        </w:rPr>
        <w:t>privilégier l'halopéridol à dose minimale efficace</w:t>
      </w:r>
      <w:r>
        <w:t xml:space="preserve">, en évitant si possible le 1er trimestre (période d'organogenèse), surveiller les mouvements fœtaux en fin de grossesse, surveiller le nouveau-né en maternité (pédiatre informé). Le </w:t>
      </w:r>
      <w:r>
        <w:rPr>
          <w:b/>
        </w:rPr>
        <w:t>sevrage brutal en fin de grossesse</w:t>
      </w:r>
      <w:r>
        <w:t xml:space="preserve"> n'est pas recommandé (risque de rechute psychotique maternelle pouvant exposer la mère et l'enfant à des conséquences graves). En cas de prescription au 3e trimestre, prévoir une </w:t>
      </w:r>
      <w:r>
        <w:rPr>
          <w:b/>
        </w:rPr>
        <w:t>surveillance néonatale renforcée</w:t>
      </w:r>
      <w:r>
        <w:t xml:space="preserve"> en maternité (retrait, EPS, hypotonie, hyperréflexie) pendant 3-7 jours post-partum. Le </w:t>
      </w:r>
      <w:r>
        <w:rPr>
          <w:b/>
        </w:rPr>
        <w:t>passage au decanoate LP</w:t>
      </w:r>
      <w:r>
        <w:t xml:space="preserve"> n'est pas recommandé pendant la grossesse (cinétique d'élimination prolongée — risque d'accumulation fœtale en cas de surdosage).</w:t>
      </w:r>
    </w:p>
    <w:p>
      <w:pPr>
        <w:pStyle w:val="ListBullet"/>
      </w:pPr>
      <w:r>
        <w:t xml:space="preserve">Allaitement : selon le </w:t>
      </w:r>
      <w:r>
        <w:rPr>
          <w:b/>
        </w:rPr>
        <w:t>CRAT</w:t>
      </w:r>
      <w:r>
        <w:t xml:space="preserve">, l'halopéridol passe faiblement dans le lait maternel (rapport lait/plasma ≈ 0,5-0,7) — la dose ingérée par le nourrisson est estimée à </w:t>
      </w:r>
      <w:r>
        <w:rPr>
          <w:b/>
        </w:rPr>
        <w:t>1-3 % de la dose maternelle pondérée par le poids</w:t>
      </w:r>
      <w:r>
        <w:t xml:space="preserve">. Aux doses thérapeutiques habituelles (5-15 mg/j), l'allaitement est </w:t>
      </w:r>
      <w:r>
        <w:rPr>
          <w:b/>
        </w:rPr>
        <w:t>compatible</w:t>
      </w:r>
      <w:r>
        <w:t xml:space="preserve">. Surveillance clinique du nourrisson : somnolence, hypotonie, troubles de la succion, EPS transitoires. À dose élevée (&gt; 20 mg/j ou decanoate LP), envisager la </w:t>
      </w:r>
      <w:r>
        <w:rPr>
          <w:b/>
        </w:rPr>
        <w:t>suspension de l'allaitement</w:t>
      </w:r>
      <w:r>
        <w:t xml:space="preserve"> selon le CRAT. Recommandation : privilégier l'halopéridol à dose minimale efficace, surveiller le nourrisson, recueillir l'avis pédopsychiatrique en cas d'effet indésirable néonatal.</w:t>
      </w:r>
    </w:p>
    <w:p>
      <w:pPr>
        <w:pStyle w:val="ListBullet"/>
      </w:pPr>
      <w:r>
        <w:t xml:space="preserve">Précisions : évaluation </w:t>
      </w:r>
      <w:r>
        <w:rPr>
          <w:b/>
        </w:rPr>
        <w:t>bénéfice/risque</w:t>
      </w:r>
      <w:r>
        <w:t xml:space="preserve"> individuelle au cas par cas avec le psychiatre et l'obstétricien. Pour une femme en âge de procréer avec projet de grossesse, privilégier un atypique (aripiprazole, quetiapine) si possible selon le CRAT — mais en cas d'échec antérieur ou d'indisponibilité, l'halopéridol reste une option raisonnable. </w:t>
      </w:r>
      <w:r>
        <w:rPr>
          <w:b/>
        </w:rPr>
        <w:t>Pas de changement thérapeutique brutal</w:t>
      </w:r>
      <w:r>
        <w:t xml:space="preserve"> pendant une grossesse en cours si la patiente est stable — privilégier la continuité sous surveillance.</w:t>
      </w:r>
    </w:p>
    <w:p>
      <w:r/>
      <w:r>
        <w:rPr>
          <w:b/>
        </w:rPr>
        <w:t>Posologie et Mode d'administration (Standard) :</w:t>
      </w:r>
      <w:r/>
    </w:p>
    <w:p>
      <w:pPr>
        <w:pStyle w:val="ListBullet"/>
      </w:pPr>
      <w:r>
        <w:t>Adulte (per os — solution buvable en gouttes) :</w:t>
      </w:r>
    </w:p>
    <w:p>
      <w:pPr>
        <w:pStyle w:val="ListBullet"/>
      </w:pPr>
      <w:r/>
      <w:r>
        <w:rPr>
          <w:b/>
        </w:rPr>
        <w:t>Initiation</w:t>
      </w:r>
      <w:r>
        <w:t xml:space="preserve"> : 0,5-2 mg/jour (soit 5-20 gouttes de solution 2 mg/mL) en 1 à 3 prises, à augmenter progressivement par paliers de 0,5-2 mg tous les 3-7 jours selon la réponse clinique et la tolérance.</w:t>
      </w:r>
    </w:p>
    <w:p>
      <w:pPr>
        <w:pStyle w:val="ListBullet"/>
      </w:pPr>
      <w:r/>
      <w:r>
        <w:rPr>
          <w:b/>
        </w:rPr>
        <w:t>Dose d'entretien</w:t>
      </w:r>
      <w:r>
        <w:t xml:space="preserve"> : 5-15 mg/jour (soit 50-150 gouttes) en 1 à 3 prises — dose moyenne habituelle 10 mg/j.</w:t>
      </w:r>
    </w:p>
    <w:p>
      <w:pPr>
        <w:pStyle w:val="ListBullet"/>
      </w:pPr>
      <w:r/>
      <w:r>
        <w:rPr>
          <w:b/>
        </w:rPr>
        <w:t>Dose maximale</w:t>
      </w:r>
      <w:r>
        <w:t xml:space="preserve"> : 20 mg/jour per os (au-delà, le rapport bénéfice/risque se dégrade).</w:t>
      </w:r>
    </w:p>
    <w:p>
      <w:pPr>
        <w:pStyle w:val="ListBullet"/>
      </w:pPr>
      <w:r/>
      <w:r>
        <w:rPr>
          <w:b/>
        </w:rPr>
        <w:t>Equivalence gouttes ↔ mg</w:t>
      </w:r>
      <w:r>
        <w:t xml:space="preserve"> : 1 mL de solution à 2 mg/mL = 20 gouttes = 2 mg ; 1 goutte = 0,1 mg. Donc 5 mg/j = 50 gouttes/j (en 1-2 prises) ; 10 mg/j = 100 gouttes/j (en 2 prises) ; 15 mg/j = 150 gouttes/j (en 2-3 prises).</w:t>
      </w:r>
    </w:p>
    <w:p>
      <w:pPr>
        <w:pStyle w:val="ListBullet"/>
      </w:pPr>
      <w:r>
        <w:t>Adulte (IM aigu — solution injectable 5 mg/mL) :</w:t>
      </w:r>
    </w:p>
    <w:p>
      <w:pPr>
        <w:pStyle w:val="ListBullet"/>
      </w:pPr>
      <w:r/>
      <w:r>
        <w:rPr>
          <w:b/>
        </w:rPr>
        <w:t>Agitation psychotique aiguë</w:t>
      </w:r>
      <w:r>
        <w:t xml:space="preserve"> : 5-10 mg IM (soit 1-2 mL), à répéter éventuellement toutes les 4-8 h selon la réponse, sans dépasser 20 mg/24 h. Effet en 30-60 min, pic à 2 h, durée 4-12 h.</w:t>
      </w:r>
    </w:p>
    <w:p>
      <w:pPr>
        <w:pStyle w:val="ListBullet"/>
      </w:pPr>
      <w:r/>
      <w:r>
        <w:rPr>
          <w:b/>
        </w:rPr>
        <w:t>Complexe HLP</w:t>
      </w:r>
      <w:r>
        <w:t xml:space="preserve"> (Haldol + Lorazepam + Promethazine) : 5 mg IM halopéridol + 2 mg IM lorazépam + 25-50 mg IM prométhazine — sédation rapide aux urgences psychiatriques (Cochrane Review 2012 — sédation efficace supérieure à la monothérapie).</w:t>
      </w:r>
    </w:p>
    <w:p>
      <w:pPr>
        <w:pStyle w:val="ListBullet"/>
      </w:pPr>
      <w:r>
        <w:t>Adulte (decanoate LP IM mensuel — Haldol Decanoas 50 mg/mL) :</w:t>
      </w:r>
    </w:p>
    <w:p>
      <w:pPr>
        <w:pStyle w:val="ListBullet"/>
      </w:pPr>
      <w:r/>
      <w:r>
        <w:rPr>
          <w:b/>
        </w:rPr>
        <w:t>Initiation</w:t>
      </w:r>
      <w:r>
        <w:t xml:space="preserve"> : démarrer à 50-100 mg IM tous les 28 jours (4 semaines) — la dose mensuelle est généralement </w:t>
      </w:r>
      <w:r>
        <w:rPr>
          <w:b/>
        </w:rPr>
        <w:t>10 à 15 fois la dose orale journalière</w:t>
      </w:r>
      <w:r>
        <w:t xml:space="preserve"> (par exemple : 5 mg/j per os → 50-75 mg IM mensuel ; 10 mg/j per os → 100-150 mg IM mensuel).</w:t>
      </w:r>
    </w:p>
    <w:p>
      <w:pPr>
        <w:pStyle w:val="ListBullet"/>
      </w:pPr>
      <w:r/>
      <w:r>
        <w:rPr>
          <w:b/>
        </w:rPr>
        <w:t>Dose d'entretien</w:t>
      </w:r>
      <w:r>
        <w:t xml:space="preserve"> : 50-200 mg IM tous les 28 jours — dose moyenne habituelle 100-150 mg/mois.</w:t>
      </w:r>
    </w:p>
    <w:p>
      <w:pPr>
        <w:pStyle w:val="ListBullet"/>
      </w:pPr>
      <w:r/>
      <w:r>
        <w:rPr>
          <w:b/>
        </w:rPr>
        <w:t>Dose maximale</w:t>
      </w:r>
      <w:r>
        <w:t xml:space="preserve"> : 300 mg/mois IM (au-delà, surveillance ECG et EPS renforcée).</w:t>
      </w:r>
    </w:p>
    <w:p>
      <w:pPr>
        <w:pStyle w:val="ListBullet"/>
      </w:pPr>
      <w:r/>
      <w:r>
        <w:rPr>
          <w:b/>
        </w:rPr>
        <w:t>Site d'injection</w:t>
      </w:r>
      <w:r>
        <w:t xml:space="preserve"> : IM profonde dans le muscle fessier (quadrant supéro-externe) — alterner les sites d'injection. </w:t>
      </w:r>
      <w:r>
        <w:rPr>
          <w:b/>
        </w:rPr>
        <w:t>Ne jamais injecter en IV</w:t>
      </w:r>
      <w:r>
        <w:t xml:space="preserve"> (risque d'allongement QT majeur et de TdP).</w:t>
      </w:r>
    </w:p>
    <w:p>
      <w:pPr>
        <w:pStyle w:val="ListBullet"/>
      </w:pPr>
      <w:r/>
      <w:r>
        <w:rPr>
          <w:b/>
        </w:rPr>
        <w:t>Relais per os → decanoate</w:t>
      </w:r>
      <w:r>
        <w:t xml:space="preserve"> : administrer la première injection decanoate en </w:t>
      </w:r>
      <w:r>
        <w:rPr>
          <w:b/>
        </w:rPr>
        <w:t>remplaçant</w:t>
      </w:r>
      <w:r>
        <w:t xml:space="preserve"> la dose orale (pas de chevauchement nécessaire car l'halopéridol libéré du decanoate atteint un taux plasmatique stable en 1-2 semaines). Surveiller étroitement pendant les 2-3 premiers mois (adaptation de la dose mensuelle selon la réponse clinique et la tolérance).</w:t>
      </w:r>
    </w:p>
    <w:p>
      <w:pPr>
        <w:pStyle w:val="ListBullet"/>
      </w:pPr>
      <w:r>
        <w:t>Sujet âgé (&gt; 65 ans) :</w:t>
      </w:r>
    </w:p>
    <w:p>
      <w:pPr>
        <w:pStyle w:val="ListBullet"/>
      </w:pPr>
      <w:r/>
      <w:r>
        <w:rPr>
          <w:b/>
        </w:rPr>
        <w:t>Per os</w:t>
      </w:r>
      <w:r>
        <w:t xml:space="preserve"> : 0,5-2 mg/jour en 1-2 prises, à titrer très lentement par paliers de 0,5 mg tous les 7 jours. Dose maximale recommandée : 5 mg/jour.</w:t>
      </w:r>
    </w:p>
    <w:p>
      <w:pPr>
        <w:pStyle w:val="ListBullet"/>
      </w:pPr>
      <w:r/>
      <w:r>
        <w:rPr>
          <w:b/>
        </w:rPr>
        <w:t>IM aigu</w:t>
      </w:r>
      <w:r>
        <w:t xml:space="preserve"> : 2,5-5 mg IM, à répéter éventuellement toutes les 8-12 h.</w:t>
      </w:r>
    </w:p>
    <w:p>
      <w:pPr>
        <w:pStyle w:val="ListBullet"/>
      </w:pPr>
      <w:r/>
      <w:r>
        <w:rPr>
          <w:b/>
        </w:rPr>
        <w:t>Decanoate LP</w:t>
      </w:r>
      <w:r>
        <w:t xml:space="preserve"> : 25-50 mg IM mensuel — prudence (risque d'accumulation en cas d'insuffisance rénale ou hépatique associée).</w:t>
      </w:r>
    </w:p>
    <w:p>
      <w:pPr>
        <w:pStyle w:val="ListBullet"/>
      </w:pPr>
      <w:r>
        <w:t>Insuffisant rénal : pas d'adaptation posologique stricte (l'halopéridol est métabolisé principalement par le foie — élimination urinaire des métabolites &lt; 30 %), mais prudence chez le sujet âgé ou en cas d'IR sévère (clairance &lt; 30 mL/min) — surveillance clinique renforcée.</w:t>
      </w:r>
    </w:p>
    <w:p>
      <w:pPr>
        <w:pStyle w:val="ListBullet"/>
      </w:pPr>
      <w:r>
        <w:t xml:space="preserve">Insuffisant hépatique : </w:t>
      </w:r>
      <w:r>
        <w:rPr>
          <w:b/>
        </w:rPr>
        <w:t>prudence</w:t>
      </w:r>
      <w:r>
        <w:t xml:space="preserve">, envisager une </w:t>
      </w:r>
      <w:r>
        <w:rPr>
          <w:b/>
        </w:rPr>
        <w:t>réduction de dose de moitié</w:t>
      </w:r>
      <w:r>
        <w:t xml:space="preserve"> (métabolisme hépatique CYP3A4 et CYP2D6 dominant) — surveillance clinique et ECG.</w:t>
      </w:r>
    </w:p>
    <w:p>
      <w:pPr>
        <w:pStyle w:val="ListBullet"/>
      </w:pPr>
      <w:r>
        <w:t>Insuffisant cardiaque : prudence, surveillance ECG, dose minimale efficace, éviter l'IV à forte dose.</w:t>
      </w:r>
    </w:p>
    <w:p>
      <w:pPr>
        <w:pStyle w:val="ListBullet"/>
      </w:pPr>
      <w:r>
        <w:t xml:space="preserve">Durée : </w:t>
      </w:r>
      <w:r>
        <w:rPr>
          <w:b/>
        </w:rPr>
        <w:t>au long cours</w:t>
      </w:r>
      <w:r>
        <w:t xml:space="preserve"> — traitement chronique de la schizophrénie (parfois à vie). Aucun arrêt programmé (sauf effet indésirable grave, switch thérapeutique, ou rémission complète prolongée — à évaluer avec le psychiatre). La réduction de dose ou l'arrêt doivent se faire </w:t>
      </w:r>
      <w:r>
        <w:rPr>
          <w:b/>
        </w:rPr>
        <w:t>très progressivement</w:t>
      </w:r>
      <w:r>
        <w:t xml:space="preserve"> par paliers sur 4-8 semaines pour éviter le </w:t>
      </w:r>
      <w:r>
        <w:rPr>
          <w:b/>
        </w:rPr>
        <w:t>syndrome de sevrage</w:t>
      </w:r>
      <w:r>
        <w:t xml:space="preserve"> (rebond psychotique, akathisie, dyskinésie émergente, troubles du sommeil, anxiété). </w:t>
      </w:r>
      <w:r>
        <w:rPr>
          <w:b/>
        </w:rPr>
        <w:t>L'arrêt brutal est formellement déconseillé</w:t>
      </w:r>
      <w:r>
        <w:t xml:space="preserve"> (risque de rechute psychotique aiguë dans 50 % des cas à 6 mois — étude Gilbert 1995).</w:t>
      </w:r>
    </w:p>
    <w:p>
      <w:pPr>
        <w:pStyle w:val="ListBullet"/>
      </w:pPr>
      <w:r>
        <w:t>Moment de la prise : per os pendant les repas (réduction des troubles digestifs), en 1-3 prises selon la dose. Si dose unique : le soir (somnolence aidant le sommeil — mais attention si insomnie paradoxale initiale, préférer le matin). Si dose multiple : répartir matin-midi-soir, en privilégiant le soir pour la dose la plus élevée.</w:t>
      </w:r>
    </w:p>
    <w:p>
      <w:r/>
      <w:r>
        <w:rPr>
          <w:b/>
        </w:rPr>
        <w:t>Arbitrage et Bénéfices des Formes Galéniques :</w:t>
      </w:r>
      <w:r/>
    </w:p>
    <w:p>
      <w:pPr>
        <w:pStyle w:val="ListBullet"/>
      </w:pPr>
      <w:r/>
      <w:r>
        <w:rPr>
          <w:b/>
        </w:rPr>
        <w:t>Solution buvable en gouttes 2 mg/mL</w:t>
      </w:r>
      <w:r>
        <w:t xml:space="preserve"> (forme la plus prescrite en Algérie) : titration fine (1 goutte = 0,1 mg), administration aisée chez le sujet âgé (difficulté à avaler les comprimés), pédiatrie (rare en Algérie — hors AMM), relais per os après IM aigu. Inconvénient : goût métallique, conservation à température ambiante &lt; 25 °C (vérifier RCP), flacon compte-gouttes parfois peu précis (préférer pipette graduée — forme disponible chez Physiopharm).</w:t>
      </w:r>
    </w:p>
    <w:p>
      <w:pPr>
        <w:pStyle w:val="ListBullet"/>
      </w:pPr>
      <w:r/>
      <w:r>
        <w:rPr>
          <w:b/>
        </w:rPr>
        <w:t>Solution injectable IM 5 mg/mL</w:t>
      </w:r>
      <w:r>
        <w:t xml:space="preserve"> (forme aiguë urgences psychiatriques) : sédation rapide en 30-60 min, indication d'agitation psychotique aiguë, manie aiguë. Inconvénient : administration par personnel médical ou paramédical formé, surveillance post-injection 1-2 h (risque d'hypotension, dystonie aiguë).</w:t>
      </w:r>
    </w:p>
    <w:p>
      <w:pPr>
        <w:pStyle w:val="ListBullet"/>
      </w:pPr>
      <w:r/>
      <w:r>
        <w:rPr>
          <w:b/>
        </w:rPr>
        <w:t>Decanoate LP IM 50 mg/mL mensuel</w:t>
      </w:r>
      <w:r>
        <w:t xml:space="preserve"> (forme maintenance non observant) : observance garantie (injection supervisée), taux de rechute réduit (40 % vs 70 % à 1 an), continuité thérapeutique assurée. Inconvénient : injection IM mensuelle par infirmier à domicile ou en centre, impossibilité d'arrêt immédiat en cas d'EI (cinétique d'élimination prolongée 3-4 semaines), surveillance EPS et ECG renforcée, dose mensuelle à adapter en fonction de la réponse (titration sur 2-3 mois).</w:t>
      </w:r>
    </w:p>
    <w:p>
      <w:pPr>
        <w:pStyle w:val="ListBullet"/>
      </w:pPr>
      <w:r/>
      <w:r>
        <w:rPr>
          <w:b/>
        </w:rPr>
        <w:t>Forme orale comprimé</w:t>
      </w:r>
      <w:r>
        <w:t xml:space="preserve"> (DISTENSOL 1 mg et 5 mg) — </w:t>
      </w:r>
      <w:r>
        <w:rPr>
          <w:b/>
        </w:rPr>
        <w:t>retirée du marché algérien</w:t>
      </w:r>
      <w:r>
        <w:t xml:space="preserve"> — en cas de prescription antérieure de comprimés, orienter le patient vers la solution buvable en gouttes (équivalence 1 cp 5 mg = 50 gouttes = 2,5 mL) avec adaptation posologique par le psychiatre.</w:t>
      </w:r>
    </w:p>
    <w:p>
      <w:r/>
      <w:r>
        <w:rPr>
          <w:b/>
        </w:rPr>
        <w:t>Instructions et Conseils au Patient :</w:t>
      </w:r>
      <w:r/>
    </w:p>
    <w:p>
      <w:pPr>
        <w:pStyle w:val="ListBullet"/>
      </w:pPr>
      <w:r>
        <w:t>Communication au comptoir :</w:t>
      </w:r>
    </w:p>
    <w:p>
      <w:pPr>
        <w:pStyle w:val="ListBullet"/>
      </w:pPr>
      <w:r>
        <w:t>Expliquer la nature du traitement : « C'est un médicament antipsychotique qui agit en restaurant l'équilibre de certaines substances dans le cerveau (la dopamine) pour réduire les symptômes (hallucinations, angoisse, troubles de la pensée) — il faut le prendre régulièrement, même si vous vous sentez mieux, pour éviter la rechute. »</w:t>
      </w:r>
    </w:p>
    <w:p>
      <w:pPr>
        <w:pStyle w:val="ListBullet"/>
      </w:pPr>
      <w:r>
        <w:t xml:space="preserve">Informer sur les </w:t>
      </w:r>
      <w:r>
        <w:rPr>
          <w:b/>
        </w:rPr>
        <w:t>effets indésirables attendus</w:t>
      </w:r>
      <w:r>
        <w:t xml:space="preserve"> en début de traitement : somnolence transitoire, sensation d'impatience dans les jambes (akathisie — prévenir le médecin pour ajustement), tremblements légers — ces effets sont souvent transitoires et régressent en quelques jours à semaines.</w:t>
      </w:r>
    </w:p>
    <w:p>
      <w:pPr>
        <w:pStyle w:val="ListBullet"/>
      </w:pPr>
      <w:r/>
      <w:r>
        <w:rPr>
          <w:b/>
        </w:rPr>
        <w:t>Surveillance fièvre</w:t>
      </w:r>
      <w:r>
        <w:t xml:space="preserve"> : « Si vous présentez de la fièvre (&gt; 38,5 °C), une raideur musculaire, une confusion, des sueurs, </w:t>
      </w:r>
      <w:r>
        <w:rPr>
          <w:b/>
        </w:rPr>
        <w:t>arrêtez le traitement et consultez en urgence</w:t>
      </w:r>
      <w:r>
        <w:t xml:space="preserve"> (SMN — syndrome malin des neuroleptiques — urgence vitale). »</w:t>
      </w:r>
    </w:p>
    <w:p>
      <w:pPr>
        <w:pStyle w:val="ListBullet"/>
      </w:pPr>
      <w:r/>
      <w:r>
        <w:rPr>
          <w:b/>
        </w:rPr>
        <w:t>Interdiction d'arrêt brutal</w:t>
      </w:r>
      <w:r>
        <w:t xml:space="preserve"> : « Ne jamais arrêter ce traitement d'un seul coup — cela peut provoquer une rechute, des nausées, des insomnies, des angoisses, parfois des mouvements anormaux. L'arrêt, si nécessaire, doit se faire très progressivement sur plusieurs semaines, sous surveillance de votre médecin. »</w:t>
      </w:r>
    </w:p>
    <w:p>
      <w:pPr>
        <w:pStyle w:val="ListBullet"/>
      </w:pPr>
      <w:r/>
      <w:r>
        <w:rPr>
          <w:b/>
        </w:rPr>
        <w:t>Hydratation</w:t>
      </w:r>
      <w:r>
        <w:t xml:space="preserve"> : « Buvez suffisamment (1,5-2 L d'eau par jour) — la déshydratation peut aggraver les effets indésirables. »</w:t>
      </w:r>
    </w:p>
    <w:p>
      <w:pPr>
        <w:pStyle w:val="ListBullet"/>
      </w:pPr>
      <w:r/>
      <w:r>
        <w:rPr>
          <w:b/>
        </w:rPr>
        <w:t>Soleil</w:t>
      </w:r>
      <w:r>
        <w:t xml:space="preserve"> : « Évitez l'exposition prolongée au soleil, utilisez une crème solaire écran total, portez des vêtements couvrants — ce médicament peut rendre la peau plus sensible au soleil. »</w:t>
      </w:r>
    </w:p>
    <w:p>
      <w:pPr>
        <w:pStyle w:val="ListBullet"/>
      </w:pPr>
      <w:r/>
      <w:r>
        <w:rPr>
          <w:b/>
        </w:rPr>
        <w:t>Alcool</w:t>
      </w:r>
      <w:r>
        <w:t xml:space="preserve"> : « Évitez la consommation d'alcool — l'association potentialise la somnolence et peut être dangereuse. »</w:t>
      </w:r>
    </w:p>
    <w:p>
      <w:pPr>
        <w:pStyle w:val="ListBullet"/>
      </w:pPr>
      <w:r/>
      <w:r>
        <w:rPr>
          <w:b/>
        </w:rPr>
        <w:t>Conduite automobile</w:t>
      </w:r>
      <w:r>
        <w:t xml:space="preserve"> : « Ce médicament peut provoquer une somnolence, surtout en début de traitement — ne pas conduire sans avis médical, surtout les premiers jours. »</w:t>
      </w:r>
    </w:p>
    <w:p>
      <w:pPr>
        <w:pStyle w:val="ListBullet"/>
      </w:pPr>
      <w:r/>
      <w:r>
        <w:rPr>
          <w:b/>
        </w:rPr>
        <w:t>Grossesse</w:t>
      </w:r>
      <w:r>
        <w:t xml:space="preserve"> : « Si vous êtes enceinte, envisagez une grossesse, ou allaitez — parlez-en à votre médecin — le traitement peut être adapté. N'arrêtez jamais le traitement sans avis médical, même en cas de grossesse. »</w:t>
      </w:r>
    </w:p>
    <w:p>
      <w:pPr>
        <w:pStyle w:val="ListBullet"/>
      </w:pPr>
      <w:r>
        <w:t>Mode d'utilisation pratique :</w:t>
      </w:r>
    </w:p>
    <w:p>
      <w:pPr>
        <w:pStyle w:val="ListBullet"/>
      </w:pPr>
      <w:r/>
      <w:r>
        <w:rPr>
          <w:b/>
        </w:rPr>
        <w:t>Solution buvable en gouttes</w:t>
      </w:r>
      <w:r>
        <w:t xml:space="preserve"> : agiter le flacon avant emploi, utiliser le compte-gouttes ou une pipette graduée, diluer dans un demi-verre d'eau ou de jus (sauf pamplemousse — interaction CYP3A4), prendre pendant les repas. Conservation à température ambiante &lt; 25 °C, à l'abri de la lumière. Tenir hors de portée des enfants.</w:t>
      </w:r>
    </w:p>
    <w:p>
      <w:pPr>
        <w:pStyle w:val="ListBullet"/>
      </w:pPr>
      <w:r/>
      <w:r>
        <w:rPr>
          <w:b/>
        </w:rPr>
        <w:t>En cas d'oubli</w:t>
      </w:r>
      <w:r>
        <w:t xml:space="preserve"> : ne pas doubler la dose suivante — prendre la dose oubliée si elle est dans les 4 h, sinon attendre la prochaine prise.</w:t>
      </w:r>
    </w:p>
    <w:p>
      <w:pPr>
        <w:pStyle w:val="ListBullet"/>
      </w:pPr>
      <w:r/>
      <w:r>
        <w:rPr>
          <w:b/>
        </w:rPr>
        <w:t>Surveillance</w:t>
      </w:r>
      <w:r>
        <w:t xml:space="preserve"> : consultation psychiatrique régulière (1 fois/semaine en début de traitement, puis mensuelle), ECG selon prescription, NFS et bilan hépatique selon prescription.</w:t>
      </w:r>
    </w:p>
    <w:p>
      <w:r/>
      <w:r>
        <w:rPr>
          <w:b/>
        </w:rPr>
        <w:t>Notes, Règles d'Or &amp; Pièges au Comptoir :</w:t>
      </w:r>
      <w:r/>
    </w:p>
    <w:p>
      <w:pPr>
        <w:pStyle w:val="ListBullet"/>
      </w:pPr>
      <w:r>
        <w:t>Piège classique :</w:t>
      </w:r>
    </w:p>
    <w:p>
      <w:pPr>
        <w:pStyle w:val="ListBullet"/>
      </w:pPr>
      <w:r/>
      <w:r>
        <w:rPr>
          <w:b/>
        </w:rPr>
        <w:t>SMN — urgence vitale</w:t>
      </w:r>
      <w:r>
        <w:t xml:space="preserve"> : tout patient sous halopéridol présentant une </w:t>
      </w:r>
      <w:r>
        <w:rPr>
          <w:b/>
        </w:rPr>
        <w:t>fièvre + rigidité musculaire + troubles de la conscience</w:t>
      </w:r>
      <w:r>
        <w:t xml:space="preserve"> doit être orienté en </w:t>
      </w:r>
      <w:r>
        <w:rPr>
          <w:b/>
        </w:rPr>
        <w:t>urgence</w:t>
      </w:r>
      <w:r>
        <w:t xml:space="preserve"> vers les urgences (SMN — mortalité 10-20 %) — la délivrance ne doit jamais minimiser ce risque — il faut informer le patient et son entourage du </w:t>
      </w:r>
      <w:r>
        <w:rPr>
          <w:b/>
        </w:rPr>
        <w:t>signe d'alerte « fièvre + raideur »</w:t>
      </w:r>
      <w:r>
        <w:t>.</w:t>
      </w:r>
    </w:p>
    <w:p>
      <w:pPr>
        <w:pStyle w:val="ListBullet"/>
      </w:pPr>
      <w:r/>
      <w:r>
        <w:rPr>
          <w:b/>
        </w:rPr>
        <w:t>Dyskinésie tardive — irréversible</w:t>
      </w:r>
      <w:r>
        <w:t xml:space="preserve"> : tout mouvement anormal orofacial (mastication, protrusion de la langue, smacking des lèvres) ou des membres apparaissant après plusieurs mois/années de traitement doit être signalé au psychiatre pour évaluation — la dyskinésie tardive peut être </w:t>
      </w:r>
      <w:r>
        <w:rPr>
          <w:b/>
        </w:rPr>
        <w:t>potentiellement irréversible</w:t>
      </w:r>
      <w:r>
        <w:t xml:space="preserve"> — la prévention passe par la </w:t>
      </w:r>
      <w:r>
        <w:rPr>
          <w:b/>
        </w:rPr>
        <w:t>dose minimale efficace</w:t>
      </w:r>
      <w:r>
        <w:t>.</w:t>
      </w:r>
    </w:p>
    <w:p>
      <w:pPr>
        <w:pStyle w:val="ListBullet"/>
      </w:pPr>
      <w:r/>
      <w:r>
        <w:rPr>
          <w:b/>
        </w:rPr>
        <w:t>Allongement QT — torsades de pointes</w:t>
      </w:r>
      <w:r>
        <w:t xml:space="preserve"> : surveillance ECG si dose élevée, sujet âgé, association à un autre allongeur de QT. </w:t>
      </w:r>
      <w:r>
        <w:rPr>
          <w:b/>
        </w:rPr>
        <w:t>CI absolue avec lévodopa et agonistes dopaminergiques</w:t>
      </w:r>
      <w:r>
        <w:t xml:space="preserve"> — en cas de maladie de Parkinson associée, orienter vers un atypique (clozapine, quetiapine).</w:t>
      </w:r>
    </w:p>
    <w:p>
      <w:pPr>
        <w:pStyle w:val="ListBullet"/>
      </w:pPr>
      <w:r/>
      <w:r>
        <w:rPr>
          <w:b/>
        </w:rPr>
        <w:t>Démence à corps de Lewy</w:t>
      </w:r>
      <w:r>
        <w:t xml:space="preserve"> : hypersensibilité majeure aux neuroleptiques — l'halopéridol peut déclencher une </w:t>
      </w:r>
      <w:r>
        <w:rPr>
          <w:b/>
        </w:rPr>
        <w:t>dégradation neurologique sévère, parfois létale</w:t>
      </w:r>
      <w:r>
        <w:t xml:space="preserve"> — contre-indication absolue.</w:t>
      </w:r>
    </w:p>
    <w:p>
      <w:pPr>
        <w:pStyle w:val="ListBullet"/>
      </w:pPr>
      <w:r/>
      <w:r>
        <w:rPr>
          <w:b/>
        </w:rPr>
        <w:t>Maladie de Parkinson</w:t>
      </w:r>
      <w:r>
        <w:t xml:space="preserve"> : contre-indication absolue — aggravation brutale de la symptomatologie (risque de blocage akinétique complet).</w:t>
      </w:r>
    </w:p>
    <w:p>
      <w:pPr>
        <w:pStyle w:val="ListBullet"/>
      </w:pPr>
      <w:r/>
      <w:r>
        <w:rPr>
          <w:b/>
        </w:rPr>
        <w:t>Sujet âgé dément</w:t>
      </w:r>
      <w:r>
        <w:t xml:space="preserve"> : signal FDA 2005 et EMA 2008 d'augmentation de la mortalité — réserver à l'échec des mesures non pharmacologiques, à dose minimale, durée la plus courte possible.</w:t>
      </w:r>
    </w:p>
    <w:p>
      <w:pPr>
        <w:pStyle w:val="ListBullet"/>
      </w:pPr>
      <w:r/>
      <w:r>
        <w:rPr>
          <w:b/>
        </w:rPr>
        <w:t>IV à forte dose</w:t>
      </w:r>
      <w:r>
        <w:t xml:space="preserve"> : risque d'allongement QT majeur et de TdP — réserver à l'usage hospitalier sous surveillance ECG continue.</w:t>
      </w:r>
    </w:p>
    <w:p>
      <w:pPr>
        <w:pStyle w:val="ListBullet"/>
      </w:pPr>
      <w:r/>
      <w:r>
        <w:rPr>
          <w:b/>
        </w:rPr>
        <w:t>Décanoate LP en IV</w:t>
      </w:r>
      <w:r>
        <w:t xml:space="preserve"> : </w:t>
      </w:r>
      <w:r>
        <w:rPr>
          <w:b/>
        </w:rPr>
        <w:t>jamais en IV</w:t>
      </w:r>
      <w:r>
        <w:t xml:space="preserve"> — décès rapportés — uniquement IM profonde.</w:t>
      </w:r>
    </w:p>
    <w:p>
      <w:pPr>
        <w:pStyle w:val="ListBullet"/>
      </w:pPr>
      <w:r/>
      <w:r>
        <w:rPr>
          <w:b/>
        </w:rPr>
        <w:t>Relais per os → decanoate</w:t>
      </w:r>
      <w:r>
        <w:t xml:space="preserve"> : prévoir un chevauchement de 1-2 semaines pour les patients déjà sous per os à dose élevée, ou remplacer directement pour les doses standard — surveiller étroitement.</w:t>
      </w:r>
    </w:p>
    <w:p>
      <w:pPr>
        <w:pStyle w:val="ListBullet"/>
      </w:pPr>
      <w:r/>
      <w:r>
        <w:rPr>
          <w:b/>
        </w:rPr>
        <w:t>Equivalence gouttes/mg</w:t>
      </w:r>
      <w:r>
        <w:t xml:space="preserve"> : 1 mL = 20 gouttes = 2 mg — </w:t>
      </w:r>
      <w:r>
        <w:rPr>
          <w:b/>
        </w:rPr>
        <w:t>erreur fréquente</w:t>
      </w:r>
      <w:r>
        <w:t xml:space="preserve"> au comptoir : confondre gouttes et mL — toujours vérifier la prescription et le nombre de gouttes.</w:t>
      </w:r>
    </w:p>
    <w:p>
      <w:pPr>
        <w:pStyle w:val="ListBullet"/>
      </w:pPr>
      <w:r>
        <w:t>Règle de prise :</w:t>
      </w:r>
    </w:p>
    <w:p>
      <w:pPr>
        <w:pStyle w:val="ListBullet"/>
      </w:pPr>
      <w:r>
        <w:t>Pendant les repas (réduction des troubles digestifs).</w:t>
      </w:r>
    </w:p>
    <w:p>
      <w:pPr>
        <w:pStyle w:val="ListBullet"/>
      </w:pPr>
      <w:r>
        <w:t>Prise du soir privilégiée pour la dose la plus élevée (somnolence aidant le sommeil).</w:t>
      </w:r>
    </w:p>
    <w:p>
      <w:pPr>
        <w:pStyle w:val="ListBullet"/>
      </w:pPr>
      <w:r>
        <w:t>Hydratation 1,5-2 L/j.</w:t>
      </w:r>
    </w:p>
    <w:p>
      <w:pPr>
        <w:pStyle w:val="ListBullet"/>
      </w:pPr>
      <w:r>
        <w:t>Protection solaire systématique.</w:t>
      </w:r>
    </w:p>
    <w:p>
      <w:pPr>
        <w:pStyle w:val="ListBullet"/>
      </w:pPr>
      <w:r>
        <w:t>Éviter l'alcool.</w:t>
      </w:r>
    </w:p>
    <w:p>
      <w:pPr>
        <w:pStyle w:val="ListBullet"/>
      </w:pPr>
      <w:r>
        <w:t>Éviter le pamplemousse (CYP3A4).</w:t>
      </w:r>
    </w:p>
    <w:p>
      <w:pPr>
        <w:pStyle w:val="ListBullet"/>
      </w:pPr>
      <w:r>
        <w:t>Préparation et Conservation :</w:t>
      </w:r>
    </w:p>
    <w:p>
      <w:pPr>
        <w:pStyle w:val="ListBullet"/>
      </w:pPr>
      <w:r>
        <w:t>Solution buvable : flacon bien fermé, température ambiante &lt; 25 °C, à l'abri de la lumière, durée de conservation après ouverture selon RCP (généralement 6 mois).</w:t>
      </w:r>
    </w:p>
    <w:p>
      <w:pPr>
        <w:pStyle w:val="ListBullet"/>
      </w:pPr>
      <w:r>
        <w:t>Solution injectable IM : ampoules à température ambiante &lt; 25 °C, à l'abri de la lumière, ne pas congeler.</w:t>
      </w:r>
    </w:p>
    <w:p>
      <w:pPr>
        <w:pStyle w:val="ListBullet"/>
      </w:pPr>
      <w:r>
        <w:t>Decanoate LP : ampoules à température ambiante &lt; 25 °C, à l'abri de la lumière — ne pas congeler (risque de dégradation de l'ester). Ne pas utiliser si la solution est trouble ou colorée.</w:t>
      </w:r>
    </w:p>
    <w:p>
      <w:pPr>
        <w:pStyle w:val="ListBullet"/>
      </w:pPr>
      <w:r>
        <w:t>Piège du surdosage / Substitution :</w:t>
      </w:r>
    </w:p>
    <w:p>
      <w:pPr>
        <w:pStyle w:val="ListBullet"/>
      </w:pPr>
      <w:r/>
      <w:r>
        <w:rPr>
          <w:b/>
        </w:rPr>
        <w:t>Surdosage aigu</w:t>
      </w:r>
      <w:r>
        <w:t xml:space="preserve"> : somnolence sévère, hypotension, EPS sévères, allongement QT, convulsions, coma — traitement symptomatique en réanimation (pas d'antidote spécifique — l'adrénaline est déconseillée en raison du risque d'effet β2 paradoxal vasodilatateur — </w:t>
      </w:r>
      <w:r>
        <w:rPr>
          <w:b/>
        </w:rPr>
        <w:t>préférer la noradrénaline</w:t>
      </w:r>
      <w:r>
        <w:t>).</w:t>
      </w:r>
    </w:p>
    <w:p>
      <w:pPr>
        <w:pStyle w:val="ListBullet"/>
      </w:pPr>
      <w:r/>
      <w:r>
        <w:rPr>
          <w:b/>
        </w:rPr>
        <w:t>Substitution princeps ↔ générique</w:t>
      </w:r>
      <w:r>
        <w:t xml:space="preserve"> : la substitution est autorisée mais nécessite une surveillance clinique et ECG dans les semaines suivant le switch — les bioéquivalences sont encadrées mais une sensibilité individuelle est possible — privilégier la continuité du même générique chez le patient stable.</w:t>
      </w:r>
    </w:p>
    <w:p>
      <w:pPr>
        <w:pStyle w:val="ListBullet"/>
      </w:pPr>
      <w:r/>
      <w:r>
        <w:rPr>
          <w:b/>
        </w:rPr>
        <w:t>Decanoate LP</w:t>
      </w:r>
      <w:r>
        <w:t xml:space="preserve"> : substitution impossible (une seule marque active — HALDOL DECANOAS Janssen) — surveillance renforcée en cas de rupture d'approvisionnement.</w:t>
      </w:r>
    </w:p>
    <w:p>
      <w:pPr>
        <w:pStyle w:val="Heading2"/>
      </w:pPr>
      <w:r>
        <w:t>4. Introduction à la sous-classe des phénothiazines aliphatiques</w:t>
      </w:r>
    </w:p>
    <w:p>
      <w:pPr>
        <w:pStyle w:val="Heading3"/>
      </w:pPr>
      <w:r>
        <w:t>Définition chimique et positionnement pharmacologique</w:t>
      </w:r>
    </w:p>
    <w:p>
      <w:r>
        <w:t xml:space="preserve">Les </w:t>
      </w:r>
      <w:r>
        <w:rPr>
          <w:b/>
        </w:rPr>
        <w:t>phénothiazines</w:t>
      </w:r>
      <w:r>
        <w:t xml:space="preserve"> forment une famille chimique d'antipsychotiques typiques dérivés du </w:t>
      </w:r>
      <w:r>
        <w:rPr>
          <w:b/>
        </w:rPr>
        <w:t>noyau phénothiazine</w:t>
      </w:r>
      <w:r>
        <w:t xml:space="preserve"> (structure tricyclique : deux cycles benzéniques reliés par un atome de soufre et d'azote formant un cycle central thiazine). Cette structure, identifiée dès le 19e siècle comme colorant industriel (le bleu de méthylène en est un dérivé), fut exploitée pharmacologiquement dès les années 1930-1940 (antihistaminiques H1 de première génération — prométhazine, diéthazine). C'est en </w:t>
      </w:r>
      <w:r>
        <w:rPr>
          <w:b/>
        </w:rPr>
        <w:t>1950</w:t>
      </w:r>
      <w:r>
        <w:t xml:space="preserve"> que le chimiste </w:t>
      </w:r>
      <w:r>
        <w:rPr>
          <w:b/>
        </w:rPr>
        <w:t>Paul Charpentier</w:t>
      </w:r>
      <w:r>
        <w:t xml:space="preserve"> de la société Rhône-Poulenc synthétisa la </w:t>
      </w:r>
      <w:r>
        <w:rPr>
          <w:b/>
        </w:rPr>
        <w:t>chlorpromazine</w:t>
      </w:r>
      <w:r>
        <w:t xml:space="preserve"> — phénothiazine aliphatique substituée en position 10 par une chaîne diméthylaminopropyle — initialement testée comme potentialisateur d'anesthésie par </w:t>
      </w:r>
      <w:r>
        <w:rPr>
          <w:b/>
        </w:rPr>
        <w:t>Henri Laborit</w:t>
      </w:r>
      <w:r>
        <w:t xml:space="preserve"> (chirurgien militaire français à l'hôpital Val-de-Grâce). La mise en évidence de son effet « artificiel hibernation » et de son action psychotroche inattendue conduisit </w:t>
      </w:r>
      <w:r>
        <w:rPr>
          <w:b/>
        </w:rPr>
        <w:t>Jean Delay</w:t>
      </w:r>
      <w:r>
        <w:t xml:space="preserve"> et </w:t>
      </w:r>
      <w:r>
        <w:rPr>
          <w:b/>
        </w:rPr>
        <w:t>Pierre Deniker</w:t>
      </w:r>
      <w:r>
        <w:t xml:space="preserve"> (Hôpital Sainte-Anne, Paris) à l'essayer en psychiatrie dès 1952 — première publication sur l'effet antipsychotique de la chlorpromazine chez 38 patients psychotiques. La commercialisation sous le nom de </w:t>
      </w:r>
      <w:r>
        <w:rPr>
          <w:b/>
        </w:rPr>
        <w:t>Largactil®</w:t>
      </w:r>
      <w:r>
        <w:t xml:space="preserve"> (« large action » — témoignant du profil pharmacologique pluridimensionnel) marqua le </w:t>
      </w:r>
      <w:r>
        <w:rPr>
          <w:b/>
        </w:rPr>
        <w:t>point de départ de la psychopharmacologie moderne</w:t>
      </w:r>
      <w:r>
        <w:t>.</w:t>
      </w:r>
    </w:p>
    <w:p>
      <w:r>
        <w:t xml:space="preserve">La classification des phénothiazines repose sur la </w:t>
      </w:r>
      <w:r>
        <w:rPr>
          <w:b/>
        </w:rPr>
        <w:t>nature du radical substituant en position 10</w:t>
      </w:r>
      <w:r>
        <w:t xml:space="preserve"> du noyau phénothiazine :</w:t>
      </w:r>
    </w:p>
    <w:p>
      <w:pPr>
        <w:pStyle w:val="ListBullet"/>
      </w:pPr>
      <w:r/>
      <w:r>
        <w:rPr>
          <w:b/>
        </w:rPr>
        <w:t>Phénothiazines aliphatiques</w:t>
      </w:r>
      <w:r>
        <w:t xml:space="preserve"> : chaîne aliphatique à 3 carbones terminée par une amine diméthylée (ex. chlorpromazine, promazine, lévomépromazine = énantiomère lévogyre de la méthopromazine). Profil </w:t>
      </w:r>
      <w:r>
        <w:rPr>
          <w:b/>
        </w:rPr>
        <w:t>sédatif et hypotenseur</w:t>
      </w:r>
      <w:r>
        <w:t xml:space="preserve"> marqué, antipsychotique modéré, EPS modérés.</w:t>
      </w:r>
    </w:p>
    <w:p>
      <w:pPr>
        <w:pStyle w:val="ListBullet"/>
      </w:pPr>
      <w:r/>
      <w:r>
        <w:rPr>
          <w:b/>
        </w:rPr>
        <w:t>Phénothiazines pipérazinées</w:t>
      </w:r>
      <w:r>
        <w:t xml:space="preserve"> : chaîne latérale contenant un noyau pipérazine (ex. fluphénazine, trifluopérazine, prochlorpérazine, perphénazine). Profil </w:t>
      </w:r>
      <w:r>
        <w:rPr>
          <w:b/>
        </w:rPr>
        <w:t>incisif</w:t>
      </w:r>
      <w:r>
        <w:t xml:space="preserve"> (puissance D2 élevée), faible sédation, EPS majeurs.</w:t>
      </w:r>
    </w:p>
    <w:p>
      <w:pPr>
        <w:pStyle w:val="ListBullet"/>
      </w:pPr>
      <w:r/>
      <w:r>
        <w:rPr>
          <w:b/>
        </w:rPr>
        <w:t>Phénothiazines pipéridiniques</w:t>
      </w:r>
      <w:r>
        <w:t xml:space="preserve"> : chaîne latérale contenant un noyau pipéridine (ex. thioridazine, méserine, pécazine). Profil </w:t>
      </w:r>
      <w:r>
        <w:rPr>
          <w:b/>
        </w:rPr>
        <w:t>sédatif</w:t>
      </w:r>
      <w:r>
        <w:t xml:space="preserve"> marqué, faible activité D2, </w:t>
      </w:r>
      <w:r>
        <w:rPr>
          <w:b/>
        </w:rPr>
        <w:t>allongement QT majeur</w:t>
      </w:r>
      <w:r>
        <w:t xml:space="preserve"> (spécifique thioridazine).</w:t>
      </w:r>
    </w:p>
    <w:p>
      <w:pPr>
        <w:pStyle w:val="Heading3"/>
      </w:pPr>
      <w:r>
        <w:t>Profil pharmacodynamique des phénothiazines aliphatiques : chlorpromazine et lévomépromazine</w:t>
      </w:r>
    </w:p>
    <w:p>
      <w:r>
        <w:t xml:space="preserve">Les phénothiazines aliphatiques (chlorpromazine, lévomépromazine) partagent un </w:t>
      </w:r>
      <w:r>
        <w:rPr>
          <w:b/>
        </w:rPr>
        <w:t>profil pharmacologique pluridimensionnel</w:t>
      </w:r>
      <w:r>
        <w:t xml:space="preserve"> caractéristique, lié à leur </w:t>
      </w:r>
      <w:r>
        <w:rPr>
          <w:b/>
        </w:rPr>
        <w:t>large spectre d'affinité</w:t>
      </w:r>
      <w:r>
        <w:t xml:space="preserve"> pour de multiples récepteurs :</w:t>
      </w:r>
    </w:p>
    <w:p>
      <w:pPr>
        <w:pStyle w:val="ListBullet"/>
      </w:pPr>
      <w:r/>
      <w:r>
        <w:rPr>
          <w:b/>
        </w:rPr>
        <w:t>Blocage D2</w:t>
      </w:r>
      <w:r>
        <w:t xml:space="preserve"> (mésolimbique, nigro-strié, tubéro-infundibulaire, mésocortical) — activité antipsychotique, EPS, hyperprolactinémie. Affinité </w:t>
      </w:r>
      <w:r>
        <w:rPr>
          <w:b/>
        </w:rPr>
        <w:t>modérée</w:t>
      </w:r>
      <w:r>
        <w:t xml:space="preserve"> (Ki D2 chlorpromazine ≈ 5-20 nM, lévomépromazine ≈ 5-15 nM) — d'où la nécessité de doses élevées (75-800 mg/j pour chlorpromazine, 25-200 mg/j pour lévomépromazine).</w:t>
      </w:r>
    </w:p>
    <w:p>
      <w:pPr>
        <w:pStyle w:val="ListBullet"/>
      </w:pPr>
      <w:r/>
      <w:r>
        <w:rPr>
          <w:b/>
        </w:rPr>
        <w:t>Blocage α1-adrénergique</w:t>
      </w:r>
      <w:r>
        <w:t xml:space="preserve"> (vasculaire) — </w:t>
      </w:r>
      <w:r>
        <w:rPr>
          <w:b/>
        </w:rPr>
        <w:t>hypotension orthostatique</w:t>
      </w:r>
      <w:r>
        <w:t xml:space="preserve"> marquée (incidence 10-30 %), surtout en début de traitement — chute du sujet âgé (risque fracture du col fémoral).</w:t>
      </w:r>
    </w:p>
    <w:p>
      <w:pPr>
        <w:pStyle w:val="ListBullet"/>
      </w:pPr>
      <w:r/>
      <w:r>
        <w:rPr>
          <w:b/>
        </w:rPr>
        <w:t>Blocage H1-histaminique</w:t>
      </w:r>
      <w:r>
        <w:t xml:space="preserve"> — </w:t>
      </w:r>
      <w:r>
        <w:rPr>
          <w:b/>
        </w:rPr>
        <w:t>sédation marquée</w:t>
      </w:r>
      <w:r>
        <w:t>, prise de poids (modérée à marquée), effet antiémétique.</w:t>
      </w:r>
    </w:p>
    <w:p>
      <w:pPr>
        <w:pStyle w:val="ListBullet"/>
      </w:pPr>
      <w:r/>
      <w:r>
        <w:rPr>
          <w:b/>
        </w:rPr>
        <w:t>Blocage muscarinique M1</w:t>
      </w:r>
      <w:r>
        <w:t xml:space="preserve"> — sécheresse buccale, constipation (risque d'occlusion paralytique chez le sujet âgé), rétention urinaire (surtout adénome prostatique), troubles de l'accommodation, tachycardie, troubles cognitifs (confusion gériatrique).</w:t>
      </w:r>
    </w:p>
    <w:p>
      <w:pPr>
        <w:pStyle w:val="ListBullet"/>
      </w:pPr>
      <w:r/>
      <w:r>
        <w:rPr>
          <w:b/>
        </w:rPr>
        <w:t>Blocage des canaux Na+ et K+</w:t>
      </w:r>
      <w:r>
        <w:t xml:space="preserve"> (chlorpromazine à forte dose) — effet anesthésique local, allongement de QT, effet stabilisant de membrane.</w:t>
      </w:r>
    </w:p>
    <w:p>
      <w:pPr>
        <w:pStyle w:val="ListBullet"/>
      </w:pPr>
      <w:r/>
      <w:r>
        <w:rPr>
          <w:b/>
        </w:rPr>
        <w:t>Blocage 5-HT2A et 5-HT2C</w:t>
      </w:r>
      <w:r>
        <w:t xml:space="preserve"> — effet anti-migraineux, potentialisation des effets sédatifs.</w:t>
      </w:r>
    </w:p>
    <w:p>
      <w:r>
        <w:t xml:space="preserve">Ce profil « large spectre » justifie la dénomination princeps </w:t>
      </w:r>
      <w:r>
        <w:rPr>
          <w:b/>
        </w:rPr>
        <w:t>Largactil</w:t>
      </w:r>
      <w:r>
        <w:t xml:space="preserve"> (« large action ») : la chlorpromazine exerce des effets sur de multiples systèmes neurotransmetteurs. Sa traduction clinique est </w:t>
      </w:r>
      <w:r>
        <w:rPr>
          <w:b/>
        </w:rPr>
        <w:t>bénéfique</w:t>
      </w:r>
      <w:r>
        <w:t xml:space="preserve"> (action pluridimensionnelle sur symptômes psychotiques, anxieux, comportementaux — utile dans les psychoses avec composante anxieuse, agitation modérée, insomnie) mais aussi </w:t>
      </w:r>
      <w:r>
        <w:rPr>
          <w:b/>
        </w:rPr>
        <w:t>iâcreté clinique</w:t>
      </w:r>
      <w:r>
        <w:t xml:space="preserve"> (multiplicité d'effets indésirables). La lévomépromazine, énantiomère lévogyre de la méthopromazine (racémique), partage le profil de la chlorpromazine avec une </w:t>
      </w:r>
      <w:r>
        <w:rPr>
          <w:b/>
        </w:rPr>
        <w:t>puissance antipsychotique légèrement supérieure</w:t>
      </w:r>
      <w:r>
        <w:t xml:space="preserve"> et une </w:t>
      </w:r>
      <w:r>
        <w:rPr>
          <w:b/>
        </w:rPr>
        <w:t>sédation plus profonde</w:t>
      </w:r>
      <w:r>
        <w:t xml:space="preserve"> — d'où son utilisation historique en </w:t>
      </w:r>
      <w:r>
        <w:rPr>
          <w:b/>
        </w:rPr>
        <w:t>soins palliatifs</w:t>
      </w:r>
      <w:r>
        <w:t xml:space="preserve"> (sédation terminale, antalgie centrale) et dans les </w:t>
      </w:r>
      <w:r>
        <w:rPr>
          <w:b/>
        </w:rPr>
        <w:t>psychoses chroniques</w:t>
      </w:r>
      <w:r>
        <w:t xml:space="preserve"> avec anxiété/agitation.</w:t>
      </w:r>
    </w:p>
    <w:p>
      <w:pPr>
        <w:pStyle w:val="Heading3"/>
      </w:pPr>
      <w:r>
        <w:t>Indications cliniques privilégiées en Algérie</w:t>
      </w:r>
    </w:p>
    <w:p>
      <w:pPr>
        <w:pStyle w:val="ListBullet"/>
      </w:pPr>
      <w:r/>
      <w:r>
        <w:rPr>
          <w:b/>
        </w:rPr>
        <w:t>Chlorpromazine</w:t>
      </w:r>
      <w:r>
        <w:t xml:space="preserve"> :</w:t>
      </w:r>
    </w:p>
    <w:p>
      <w:pPr>
        <w:pStyle w:val="ListBullet"/>
      </w:pPr>
      <w:r/>
      <w:r>
        <w:rPr>
          <w:b/>
        </w:rPr>
        <w:t>Schizophrénie</w:t>
      </w:r>
      <w:r>
        <w:t xml:space="preserve"> avec symptômes positifs et composante anxieuse/agitation — posologie 75-300 mg/j per os.</w:t>
      </w:r>
    </w:p>
    <w:p>
      <w:pPr>
        <w:pStyle w:val="ListBullet"/>
      </w:pPr>
      <w:r/>
      <w:r>
        <w:rPr>
          <w:b/>
        </w:rPr>
        <w:t>Episode psychotique aigu avec agitation modérée</w:t>
      </w:r>
      <w:r>
        <w:t xml:space="preserve"> — chlorpromazine IM 25-50 mg (aujourd'hui supplantée par l'halopéridol IM en raison du meilleur profil cardiovasculaire).</w:t>
      </w:r>
    </w:p>
    <w:p>
      <w:pPr>
        <w:pStyle w:val="ListBullet"/>
      </w:pPr>
      <w:r/>
      <w:r>
        <w:rPr>
          <w:b/>
        </w:rPr>
        <w:t>Hors psychiatrie</w:t>
      </w:r>
      <w:r>
        <w:t xml:space="preserve"> : </w:t>
      </w:r>
      <w:r>
        <w:rPr>
          <w:b/>
        </w:rPr>
        <w:t>hoicap réfractaire</w:t>
      </w:r>
      <w:r>
        <w:t xml:space="preserve"> (HICP — antagonisme D2 central), </w:t>
      </w:r>
      <w:r>
        <w:rPr>
          <w:b/>
        </w:rPr>
        <w:t>prurit résistant</w:t>
      </w:r>
      <w:r>
        <w:t xml:space="preserve"> (blocage H1 + effet sédatif), </w:t>
      </w:r>
      <w:r>
        <w:rPr>
          <w:b/>
        </w:rPr>
        <w:t>céphalées en grappes</w:t>
      </w:r>
      <w:r>
        <w:t xml:space="preserve"> (hors AMM), </w:t>
      </w:r>
      <w:r>
        <w:rPr>
          <w:b/>
        </w:rPr>
        <w:t>psychose puerpérale</w:t>
      </w:r>
      <w:r>
        <w:t xml:space="preserve"> (à dose modérée — discuter avec psychiatre et obstétricien).</w:t>
      </w:r>
    </w:p>
    <w:p>
      <w:pPr>
        <w:pStyle w:val="ListBullet"/>
      </w:pPr>
      <w:r/>
      <w:r>
        <w:rPr>
          <w:b/>
        </w:rPr>
        <w:t>Lévomépromazine</w:t>
      </w:r>
      <w:r>
        <w:t xml:space="preserve"> :</w:t>
      </w:r>
    </w:p>
    <w:p>
      <w:pPr>
        <w:pStyle w:val="ListBullet"/>
      </w:pPr>
      <w:r/>
      <w:r>
        <w:rPr>
          <w:b/>
        </w:rPr>
        <w:t>Schizophrénie chronique</w:t>
      </w:r>
      <w:r>
        <w:t xml:space="preserve"> avec composante anxieuse, dépressif, ou résistance aux autres typiques — 25-200 mg/j per os.</w:t>
      </w:r>
    </w:p>
    <w:p>
      <w:pPr>
        <w:pStyle w:val="ListBullet"/>
      </w:pPr>
      <w:r/>
      <w:r>
        <w:rPr>
          <w:b/>
        </w:rPr>
        <w:t>Soins palliatifs</w:t>
      </w:r>
      <w:r>
        <w:t xml:space="preserve"> : </w:t>
      </w:r>
      <w:r>
        <w:rPr>
          <w:b/>
        </w:rPr>
        <w:t>antalgie centrale</w:t>
      </w:r>
      <w:r>
        <w:t xml:space="preserve"> (blocage D2 et H1 — action sur composante émotionnelle de la douleur), </w:t>
      </w:r>
      <w:r>
        <w:rPr>
          <w:b/>
        </w:rPr>
        <w:t>sédation terminale</w:t>
      </w:r>
      <w:r>
        <w:t xml:space="preserve"> (en cas d'agonie agitée, détresse respiratoire réfractaire), </w:t>
      </w:r>
      <w:r>
        <w:rPr>
          <w:b/>
        </w:rPr>
        <w:t>confusion terminale</w:t>
      </w:r>
      <w:r>
        <w:t xml:space="preserve"> (delirium en soins palliatifs) — posologie 25-100 mg/j per os ou SC.</w:t>
      </w:r>
    </w:p>
    <w:p>
      <w:pPr>
        <w:pStyle w:val="ListBullet"/>
      </w:pPr>
      <w:r/>
      <w:r>
        <w:rPr>
          <w:b/>
        </w:rPr>
        <w:t>Troubles du comportement</w:t>
      </w:r>
      <w:r>
        <w:t xml:space="preserve"> chez le sujet âgé dément (à dose minimale, prudence en raison du signal FDA/EMA de surmortalité — uniquement en dernière intention).</w:t>
      </w:r>
    </w:p>
    <w:p>
      <w:pPr>
        <w:pStyle w:val="ListBullet"/>
      </w:pPr>
      <w:r/>
      <w:r>
        <w:rPr>
          <w:b/>
        </w:rPr>
        <w:t>Douleur neuropathique</w:t>
      </w:r>
      <w:r>
        <w:t xml:space="preserve"> réfractaire (en association avec les antidépresseurs tricycliques et les anticonvulsivants).</w:t>
      </w:r>
    </w:p>
    <w:p>
      <w:pPr>
        <w:pStyle w:val="Heading3"/>
      </w:pPr>
      <w:r>
        <w:t>Particularités algériennes de disponibilité</w:t>
      </w:r>
    </w:p>
    <w:p>
      <w:r>
        <w:t xml:space="preserve">En Algérie, la </w:t>
      </w:r>
      <w:r>
        <w:rPr>
          <w:b/>
        </w:rPr>
        <w:t>chlorpromazine</w:t>
      </w:r>
      <w:r>
        <w:t xml:space="preserve"> est commercialisée sous 6 marques (4 actives + 1 non renouvelable + 1 retirée) — les laboratoires algériens (Sanofi, Frater-Razes, Gencopharm, Sanamed, Sarl Groupe Sante) assurent une production locale régulière sous forme de comprimés 100 mg et de solution buvable 0,04 (4 gouttes = 1 mg — forme rare en Europe où le 4 % est standard, d'où une vigilance accrue dans la conversion posologique). La </w:t>
      </w:r>
      <w:r>
        <w:rPr>
          <w:b/>
        </w:rPr>
        <w:t>lévomépromazine</w:t>
      </w:r>
      <w:r>
        <w:t xml:space="preserve"> est commercialisée sous 5 marques (4 actives + 1 non renouvelable) — comprimés 25 mg et 100 mg, solution buvable en gouttes 4 % (1 mL = 40 mg, 1 goutte ≈ 2 mg). Les formes injectables IM de chlorpromazine (NEURACTIL Frater-Razes) et de lévomépromazine (NOZINAN Biopharm — retirée) sont rares en Algérie — l'usage IM est aujourd'hui supplanté par l'halopéridol IM.</w:t>
      </w:r>
    </w:p>
    <w:p>
      <w:pPr>
        <w:pStyle w:val="Heading2"/>
      </w:pPr>
      <w:r>
        <w:t>5. Fiches DCI — Phénothiazines aliphatiques</w:t>
      </w:r>
    </w:p>
    <w:p>
      <w:pPr>
        <w:pStyle w:val="Heading3"/>
      </w:pPr>
      <w:r>
        <w:t>2. DCI : Chlorpromazine (Seule)</w:t>
      </w:r>
    </w:p>
    <w:p>
      <w:r/>
      <w:r>
        <w:rPr>
          <w:b/>
        </w:rPr>
        <w:t>Liste des Catégories :</w:t>
      </w:r>
      <w:r>
        <w:t xml:space="preserve"> Antipsychotique typique (1re génération) — Phénothiazine aliphatique — Antagoniste compétitif des récepteurs dopaminergiques D2, α1-adrénergiques, H1-histaminiques et muscariniques M1 — Schizophrénie, troubles psychotiques avec composante anxieuse, hoicap réfractaire — Liste I — Formes orales (comprimés 100 mg, solution buvable 4 % gttes) et injectable IM/IV — Délivrance sur ordonnance.</w:t>
      </w:r>
    </w:p>
    <w:p>
      <w:r>
        <w:t xml:space="preserve">La </w:t>
      </w:r>
      <w:r>
        <w:rPr>
          <w:b/>
        </w:rPr>
        <w:t>chlorpromazine</w:t>
      </w:r>
      <w:r>
        <w:t xml:space="preserve"> (Largactil® — Sanofi-Aventis) est la </w:t>
      </w:r>
      <w:r>
        <w:rPr>
          <w:b/>
        </w:rPr>
        <w:t>toute première phénothiazine antipsychotique</w:t>
      </w:r>
      <w:r>
        <w:t xml:space="preserve"> historique — molécule fondatrice de toute la psychopharmacologie moderne (synthèse Paul Charpentier, Rhône-Poulenc, 1950 ; premier usage clinique par Henri Laborit en 1951 ; première étude psychiatrique par Jean Delay et Pierre Deniker en 1952). Sa structure — phénothiazine substituée en position 10 par une chaîne </w:t>
      </w:r>
      <w:r>
        <w:rPr>
          <w:b/>
        </w:rPr>
        <w:t>3-(diméthylamino)propyle</w:t>
      </w:r>
      <w:r>
        <w:t xml:space="preserve"> — est à l'origine de la sous-classe des </w:t>
      </w:r>
      <w:r>
        <w:rPr>
          <w:b/>
        </w:rPr>
        <w:t>phénothiazines aliphatiques</w:t>
      </w:r>
      <w:r>
        <w:t xml:space="preserve">, caractérisées par un profil pharmacologique </w:t>
      </w:r>
      <w:r>
        <w:rPr>
          <w:b/>
        </w:rPr>
        <w:t>pluridimensionnel « large action »</w:t>
      </w:r>
      <w:r>
        <w:t xml:space="preserve"> (d'où le nom commercial Largactil — « large action » — témoignant du profil à la fois antipsychotique, sédatif, antiémétique, antihistaminique, anticholinergique, hypotenseur). En Algérie, la chlorpromazine reste largement prescrite en raison de son </w:t>
      </w:r>
      <w:r>
        <w:rPr>
          <w:b/>
        </w:rPr>
        <w:t>coût modeste</w:t>
      </w:r>
      <w:r>
        <w:t xml:space="preserve">, de sa </w:t>
      </w:r>
      <w:r>
        <w:rPr>
          <w:b/>
        </w:rPr>
        <w:t>disponibilité en formes orales</w:t>
      </w:r>
      <w:r>
        <w:t xml:space="preserve"> (comprimé 100 mg, solution buvable 4 % en gouttes) et </w:t>
      </w:r>
      <w:r>
        <w:rPr>
          <w:b/>
        </w:rPr>
        <w:t>injectable IM/IV</w:t>
      </w:r>
      <w:r>
        <w:t xml:space="preserve"> (NEURACTIL Frater-Razes), et de son </w:t>
      </w:r>
      <w:r>
        <w:rPr>
          <w:b/>
        </w:rPr>
        <w:t>profil sédatif et anxiolytique utile</w:t>
      </w:r>
      <w:r>
        <w:t xml:space="preserve"> dans les psychoses avec composante anxieuse, l'agitation modérée, et le hoicap réfractaire. Sa puissance antipsychotique est </w:t>
      </w:r>
      <w:r>
        <w:rPr>
          <w:b/>
        </w:rPr>
        <w:t>modérée</w:t>
      </w:r>
      <w:r>
        <w:t xml:space="preserve"> (dose efficace 75-800 mg/j per os, soit environ 10-20 fois moins puissante que l'halopéridol per mg) — d'où une marge thérapeutique plus large mais une sédation/hypotension plus marquée.</w:t>
      </w:r>
    </w:p>
    <w:p>
      <w:r/>
      <w:r>
        <w:rPr>
          <w:b/>
        </w:rPr>
        <w:t>Médicaments disponibles en Algérie (Marques, Laboratoires, Formes et Dosages) :</w:t>
      </w:r>
      <w:r/>
    </w:p>
    <w:p>
      <w:pPr>
        <w:pStyle w:val="ListBullet"/>
      </w:pPr>
      <w:r/>
      <w:r>
        <w:rPr>
          <w:b/>
        </w:rPr>
        <w:t>NEURACTIL</w:t>
      </w:r>
      <w:r>
        <w:t xml:space="preserve"> (LES LABORATOIRES FRATER RAZES)</w:t>
      </w:r>
    </w:p>
    <w:p>
      <w:pPr>
        <w:pStyle w:val="ListBullet"/>
      </w:pPr>
      <w:r>
        <w:t>Formes et Dosages : Solution injectable IM ou perfusion IV 25 mg/5 mL — Boîte de 5 ampoules de 5 mL.</w:t>
      </w:r>
    </w:p>
    <w:p>
      <w:pPr>
        <w:pStyle w:val="ListBullet"/>
      </w:pPr>
      <w:r>
        <w:t>Statut : Actif (LISTE I) — seule forme injectable encore active en Algérie.</w:t>
      </w:r>
    </w:p>
    <w:p>
      <w:pPr>
        <w:pStyle w:val="ListBullet"/>
      </w:pPr>
      <w:r/>
      <w:r>
        <w:rPr>
          <w:b/>
        </w:rPr>
        <w:t>LARGACTIL</w:t>
      </w:r>
      <w:r>
        <w:t xml:space="preserve"> (SANOFI AVENTIS FRANCE)</w:t>
      </w:r>
    </w:p>
    <w:p>
      <w:pPr>
        <w:pStyle w:val="ListBullet"/>
      </w:pPr>
      <w:r>
        <w:t>Formes et Dosages : Comprimé pelliculé sécable 100 mg — Boîte de 30 ; Solution buvable 4 % (0,04 g/gouttes — 1 mL = 40 mg) — Flacon de 30 mL ; Solution injectable 25 mg/5 mL — Boîte de 5 ampoules de 5 mL.</w:t>
      </w:r>
    </w:p>
    <w:p>
      <w:pPr>
        <w:pStyle w:val="ListBullet"/>
      </w:pPr>
      <w:r>
        <w:t>Statut : Comprimé Actif (LISTE I) ; Solution buvable Actif (LISTE I) ; Solution injectable Retirée (R) — princeps historique de la molécule.</w:t>
      </w:r>
    </w:p>
    <w:p>
      <w:pPr>
        <w:pStyle w:val="ListBullet"/>
      </w:pPr>
      <w:r/>
      <w:r>
        <w:rPr>
          <w:b/>
        </w:rPr>
        <w:t>DORMAZINE</w:t>
      </w:r>
      <w:r>
        <w:t xml:space="preserve"> (FARMACEUTICI CROVIS PH.I.L.COM / GENCOPHARM)</w:t>
      </w:r>
    </w:p>
    <w:p>
      <w:pPr>
        <w:pStyle w:val="ListBullet"/>
      </w:pPr>
      <w:r>
        <w:t>Formes et Dosages : Dragées 100 mg — Boîte de 30 ; Solution buvable en gouttes 4 % (1 mL = 40 mg) — Flacon de 30 mL avec pipette graduée.</w:t>
      </w:r>
    </w:p>
    <w:p>
      <w:pPr>
        <w:pStyle w:val="ListBullet"/>
      </w:pPr>
      <w:r>
        <w:t>Statut : Actif (LISTE I).</w:t>
      </w:r>
    </w:p>
    <w:p>
      <w:pPr>
        <w:pStyle w:val="ListBullet"/>
      </w:pPr>
      <w:r/>
      <w:r>
        <w:rPr>
          <w:b/>
        </w:rPr>
        <w:t>LARGAMED 100</w:t>
      </w:r>
      <w:r>
        <w:t xml:space="preserve"> (SANAMED)</w:t>
      </w:r>
    </w:p>
    <w:p>
      <w:pPr>
        <w:pStyle w:val="ListBullet"/>
      </w:pPr>
      <w:r>
        <w:t>Formes et Dosages : Comprimé pelliculé sécable 100 mg — Boîte de 30.</w:t>
      </w:r>
    </w:p>
    <w:p>
      <w:pPr>
        <w:pStyle w:val="ListBullet"/>
      </w:pPr>
      <w:r>
        <w:t>Statut : Actif (LISTE I).</w:t>
      </w:r>
    </w:p>
    <w:p>
      <w:pPr>
        <w:pStyle w:val="ListBullet"/>
      </w:pPr>
      <w:r/>
      <w:r>
        <w:rPr>
          <w:b/>
        </w:rPr>
        <w:t>PROMAZ</w:t>
      </w:r>
      <w:r>
        <w:t xml:space="preserve"> (SARL GROUPE SANTE)</w:t>
      </w:r>
    </w:p>
    <w:p>
      <w:pPr>
        <w:pStyle w:val="ListBullet"/>
      </w:pPr>
      <w:r>
        <w:t>Formes et Dosages : Comprimé 100 mg — Boîte de 20 ; Solution orale en gouttes 4 % — Flacon de 30 mL.</w:t>
      </w:r>
    </w:p>
    <w:p>
      <w:pPr>
        <w:pStyle w:val="ListBullet"/>
      </w:pPr>
      <w:r>
        <w:t>Statut : Actif (LISTE I).</w:t>
      </w:r>
    </w:p>
    <w:p>
      <w:pPr>
        <w:pStyle w:val="ListBullet"/>
      </w:pPr>
      <w:r/>
      <w:r>
        <w:rPr>
          <w:b/>
        </w:rPr>
        <w:t>CHLORPROMAZINE</w:t>
      </w:r>
      <w:r>
        <w:t xml:space="preserve"> (RENAUDIN)</w:t>
      </w:r>
    </w:p>
    <w:p>
      <w:pPr>
        <w:pStyle w:val="ListBullet"/>
      </w:pPr>
      <w:r>
        <w:t>Formes et Dosages : Solution injectable 25 mg — Flacon de 30 mL.</w:t>
      </w:r>
    </w:p>
    <w:p>
      <w:pPr>
        <w:pStyle w:val="ListBullet"/>
      </w:pPr>
      <w:r>
        <w:t>Statut : Non Renouvelable (usage hospitalier).</w:t>
      </w:r>
    </w:p>
    <w:p>
      <w:r/>
      <w:r>
        <w:rPr>
          <w:b/>
        </w:rPr>
        <w:t>Note nomenclature</w:t>
      </w:r>
      <w:r>
        <w:t xml:space="preserve"> : À Avril 2026, la chlorpromazine est disponible en Algérie sous forme de </w:t>
      </w:r>
      <w:r>
        <w:rPr>
          <w:b/>
        </w:rPr>
        <w:t>comprimés 100 mg</w:t>
      </w:r>
      <w:r>
        <w:t xml:space="preserve"> (3 marques actives + princeps LARGACTIL), de </w:t>
      </w:r>
      <w:r>
        <w:rPr>
          <w:b/>
        </w:rPr>
        <w:t>solution buvable en gouttes 4 %</w:t>
      </w:r>
      <w:r>
        <w:t xml:space="preserve"> (4 marques actives), et de </w:t>
      </w:r>
      <w:r>
        <w:rPr>
          <w:b/>
        </w:rPr>
        <w:t>solution injectable IM/IV 25 mg/5 mL</w:t>
      </w:r>
      <w:r>
        <w:t xml:space="preserve"> (NEURACTIL Frater-Razes — seule forme injectable active ; LARGACTIL injectable retiré ; CHLORPROMAZINE Renaudin non renouvelable). La solution injectable est aujourd'hui principalement utilisée en milieu hospitalier (urgences psychiatriques).</w:t>
      </w:r>
    </w:p>
    <w:p>
      <w:r/>
      <w:r>
        <w:rPr>
          <w:b/>
        </w:rPr>
        <w:t>Sous-classe et Mécanisme d'action :</w:t>
      </w:r>
      <w:r/>
    </w:p>
    <w:p>
      <w:pPr>
        <w:pStyle w:val="ListBullet"/>
      </w:pPr>
      <w:r>
        <w:t xml:space="preserve">Sous-classe : </w:t>
      </w:r>
      <w:r>
        <w:rPr>
          <w:b/>
        </w:rPr>
        <w:t>Phénothiazine aliphatique — antipsychotique typique de 1re génération, puissance modérée (« sédatif-hypotenseur »)</w:t>
      </w:r>
      <w:r>
        <w:t xml:space="preserve"> — positionnée en psychiatrie pour le traitement des </w:t>
      </w:r>
      <w:r>
        <w:rPr>
          <w:b/>
        </w:rPr>
        <w:t>psychoses avec composante anxieuse ou agitation modérée</w:t>
      </w:r>
      <w:r>
        <w:t xml:space="preserve">, en soins palliatifs (antalgie centrale, sédation), et en médecine générale pour le </w:t>
      </w:r>
      <w:r>
        <w:rPr>
          <w:b/>
        </w:rPr>
        <w:t>hoicap réfractaire</w:t>
      </w:r>
      <w:r>
        <w:t>. Profil « large action » lié au blocage multiple des récepteurs D2, α1, H1, M1 — d'où ses multiples indications historiques (psychiatrie, anesthésie, gastro-entérologie, dermatologie).</w:t>
      </w:r>
    </w:p>
    <w:p>
      <w:pPr>
        <w:pStyle w:val="ListBullet"/>
      </w:pPr>
      <w:r>
        <w:t xml:space="preserve">Mécanisme d'action : la chlorpromazine est un </w:t>
      </w:r>
      <w:r>
        <w:rPr>
          <w:b/>
        </w:rPr>
        <w:t>antagoniste compétitif plurirécepteur</w:t>
      </w:r>
      <w:r>
        <w:t xml:space="preserve"> des récepteurs :</w:t>
      </w:r>
    </w:p>
    <w:p>
      <w:pPr>
        <w:pStyle w:val="ListBullet"/>
      </w:pPr>
      <w:r/>
      <w:r>
        <w:rPr>
          <w:b/>
        </w:rPr>
        <w:t>D2 dopaminergiques</w:t>
      </w:r>
      <w:r>
        <w:t xml:space="preserve"> (Ki ≈ 5-20 nM — affinité modérée) : blocage mésolimbique → réduction des symptômes positifs (effet antipsychotique) ; blocage nigro-strié → EPS (modérés, dose-dépendants) ; blocage tubéro-infundibulaire → hyperprolactinémie (galactorrhée, aménorrhée) ; blocage mésocortical → aggravation potentielle des symptômes négatifs (apathie, émoussement affectif).</w:t>
      </w:r>
    </w:p>
    <w:p>
      <w:pPr>
        <w:pStyle w:val="ListBullet"/>
      </w:pPr>
      <w:r/>
      <w:r>
        <w:rPr>
          <w:b/>
        </w:rPr>
        <w:t>α1-adrénergiques</w:t>
      </w:r>
      <w:r>
        <w:t xml:space="preserve"> (Ki ≈ 1-5 nM — affinité marquée) : blocage vasculaire → </w:t>
      </w:r>
      <w:r>
        <w:rPr>
          <w:b/>
        </w:rPr>
        <w:t>hypotension orthostatique</w:t>
      </w:r>
      <w:r>
        <w:t xml:space="preserve"> (incidence 10-30 %, surtout en début de traitement) — risque de chute chez le sujet âgé.</w:t>
      </w:r>
    </w:p>
    <w:p>
      <w:pPr>
        <w:pStyle w:val="ListBullet"/>
      </w:pPr>
      <w:r/>
      <w:r>
        <w:rPr>
          <w:b/>
        </w:rPr>
        <w:t>H1-histaminiques</w:t>
      </w:r>
      <w:r>
        <w:t xml:space="preserve"> (Ki ≈ 5-10 nM — affinité marquée) : </w:t>
      </w:r>
      <w:r>
        <w:rPr>
          <w:b/>
        </w:rPr>
        <w:t>sédation marquée</w:t>
      </w:r>
      <w:r>
        <w:t>, prise de poids (modérée à marquée — 2-5 kg sur 6 mois), effet antiémétique (blocage CTZ).</w:t>
      </w:r>
    </w:p>
    <w:p>
      <w:pPr>
        <w:pStyle w:val="ListBullet"/>
      </w:pPr>
      <w:r/>
      <w:r>
        <w:rPr>
          <w:b/>
        </w:rPr>
        <w:t>Muscariniques M1</w:t>
      </w:r>
      <w:r>
        <w:t xml:space="preserve"> (Ki ≈ 50-100 nM — affinité modérée) : sécheresse buccale, constipation (risque d'occlusion paralytique chez le sujet âgé), rétention urinaire (surtout adénome prostatique), troubles de l'accommodation, tachycardie, troubles cognitifs (confusion gériatrique, altération mémoire).</w:t>
      </w:r>
    </w:p>
    <w:p>
      <w:pPr>
        <w:pStyle w:val="ListBullet"/>
      </w:pPr>
      <w:r/>
      <w:r>
        <w:rPr>
          <w:b/>
        </w:rPr>
        <w:t>5-HT2A et 5-HT2C</w:t>
      </w:r>
      <w:r>
        <w:t xml:space="preserve"> (Ki ≈ 50-100 nM — affinité modérée) : effet anti-migraineux, potentialisation des effets sédatifs.</w:t>
      </w:r>
    </w:p>
    <w:p>
      <w:pPr>
        <w:pStyle w:val="ListBullet"/>
      </w:pPr>
      <w:r/>
      <w:r>
        <w:rPr>
          <w:b/>
        </w:rPr>
        <w:t>Canaux Na+ voltage-dépendants</w:t>
      </w:r>
      <w:r>
        <w:t xml:space="preserve"> (à forte dose) : effet stabilisant de membrane (anesthésique local), potentialisation de l'allongement QT.</w:t>
      </w:r>
    </w:p>
    <w:p>
      <w:pPr>
        <w:pStyle w:val="ListBullet"/>
      </w:pPr>
      <w:r/>
      <w:r>
        <w:rPr>
          <w:b/>
        </w:rPr>
        <w:t>Canaux K+ hERG Kv11.1</w:t>
      </w:r>
      <w:r>
        <w:t xml:space="preserve"> (à forte dose) : allongement de l'espace QT — risque de torsades de pointes.</w:t>
      </w:r>
    </w:p>
    <w:p>
      <w:r>
        <w:t xml:space="preserve">  La chlorpromazine est métabolisée par le foie (CYP2D6 et CYP3A4 principalement, accessoirement CYP1A2, CYP2C19) en de multiples métabolites — dont certains sont </w:t>
      </w:r>
      <w:r>
        <w:rPr>
          <w:b/>
        </w:rPr>
        <w:t>actifs</w:t>
      </w:r>
      <w:r>
        <w:t xml:space="preserve"> (7-hydroxychlorpromazine, sulfoxyde chlorpromazine, N-désméthylchlorpromazine). La demi-vie d'élimination est de </w:t>
      </w:r>
      <w:r>
        <w:rPr>
          <w:b/>
        </w:rPr>
        <w:t>30 h</w:t>
      </w:r>
      <w:r>
        <w:t xml:space="preserve"> en moyenne, permettant une monoprise journalière chez le patient stabilisé. La biodisponibilité orale est modeste (20-40 %) en raison du métabolisme de premier passage hépatique. La fixation protéique est élevée (90-95 %), exposant aux interactions de déplacement.</w:t>
      </w:r>
    </w:p>
    <w:p>
      <w:r/>
      <w:r>
        <w:rPr>
          <w:b/>
        </w:rPr>
        <w:t>Profil Pharmacologique :</w:t>
      </w:r>
      <w:r/>
    </w:p>
    <w:p>
      <w:pPr>
        <w:pStyle w:val="ListBullet"/>
      </w:pPr>
      <w:r>
        <w:t>Indications :</w:t>
      </w:r>
    </w:p>
    <w:p>
      <w:pPr>
        <w:pStyle w:val="ListBullet"/>
      </w:pPr>
      <w:r/>
      <w:r>
        <w:rPr>
          <w:b/>
        </w:rPr>
        <w:t>Schizophrénie et troubles psychotiques</w:t>
      </w:r>
      <w:r>
        <w:t xml:space="preserve"> avec composante anxieuse, agitation modérée, insomnie — posologie 75-300 mg/j per os (jusqu'à 800 mg/j dans les formes sévères ou réfractaires).</w:t>
      </w:r>
    </w:p>
    <w:p>
      <w:pPr>
        <w:pStyle w:val="ListBullet"/>
      </w:pPr>
      <w:r/>
      <w:r>
        <w:rPr>
          <w:b/>
        </w:rPr>
        <w:t>Episode psychotique aigu avec agitation modérée</w:t>
      </w:r>
      <w:r>
        <w:t xml:space="preserve"> — chlorpromazine IM 25-50 mg (usage aujourd'hui supplanté par l'halopéridol IM).</w:t>
      </w:r>
    </w:p>
    <w:p>
      <w:pPr>
        <w:pStyle w:val="ListBullet"/>
      </w:pPr>
      <w:r/>
      <w:r>
        <w:rPr>
          <w:b/>
        </w:rPr>
        <w:t>Hors psychiatrie</w:t>
      </w:r>
      <w:r>
        <w:t xml:space="preserve"> : </w:t>
      </w:r>
      <w:r>
        <w:rPr>
          <w:b/>
        </w:rPr>
        <w:t>hoicap réfractaire</w:t>
      </w:r>
      <w:r>
        <w:t xml:space="preserve"> (HICP — antagonisme D2 central), </w:t>
      </w:r>
      <w:r>
        <w:rPr>
          <w:b/>
        </w:rPr>
        <w:t>prurit résistant</w:t>
      </w:r>
      <w:r>
        <w:t xml:space="preserve"> (blocage H1 + effet sédatif), </w:t>
      </w:r>
      <w:r>
        <w:rPr>
          <w:b/>
        </w:rPr>
        <w:t>céphalées en grappes</w:t>
      </w:r>
      <w:r>
        <w:t xml:space="preserve"> (hors AMM), </w:t>
      </w:r>
      <w:r>
        <w:rPr>
          <w:b/>
        </w:rPr>
        <w:t>psychose puerpérale</w:t>
      </w:r>
      <w:r>
        <w:t xml:space="preserve"> (à dose modérée — discuter avec psychiatre et obstétricien).</w:t>
      </w:r>
    </w:p>
    <w:p>
      <w:pPr>
        <w:pStyle w:val="ListBullet"/>
      </w:pPr>
      <w:r>
        <w:t>Contre-indications :</w:t>
      </w:r>
    </w:p>
    <w:p>
      <w:pPr>
        <w:pStyle w:val="ListBullet"/>
      </w:pPr>
      <w:r>
        <w:t xml:space="preserve">(i) </w:t>
      </w:r>
      <w:r>
        <w:rPr>
          <w:b/>
        </w:rPr>
        <w:t>Hypersensibilité à la chlorpromazine</w:t>
      </w:r>
      <w:r>
        <w:t xml:space="preserve"> ou aux phénothiazines.</w:t>
      </w:r>
    </w:p>
    <w:p>
      <w:pPr>
        <w:pStyle w:val="ListBullet"/>
      </w:pPr>
      <w:r>
        <w:t xml:space="preserve">(ii) </w:t>
      </w:r>
      <w:r>
        <w:rPr>
          <w:b/>
        </w:rPr>
        <w:t>Maladie de Parkinson</w:t>
      </w:r>
      <w:r>
        <w:t xml:space="preserve"> — aggravation brutale (CI absolue).</w:t>
      </w:r>
    </w:p>
    <w:p>
      <w:pPr>
        <w:pStyle w:val="ListBullet"/>
      </w:pPr>
      <w:r>
        <w:t xml:space="preserve">(iii) </w:t>
      </w:r>
      <w:r>
        <w:rPr>
          <w:b/>
        </w:rPr>
        <w:t>Démence à corps de Lewy</w:t>
      </w:r>
      <w:r>
        <w:t xml:space="preserve"> (DCL) — hypersensibilité extrême — CI absolue.</w:t>
      </w:r>
    </w:p>
    <w:p>
      <w:pPr>
        <w:pStyle w:val="ListBullet"/>
      </w:pPr>
      <w:r>
        <w:t xml:space="preserve">(iv) </w:t>
      </w:r>
      <w:r>
        <w:rPr>
          <w:b/>
        </w:rPr>
        <w:t>Syndrome malin des neuroleptiques (SMN)</w:t>
      </w:r>
      <w:r>
        <w:t xml:space="preserve"> personnel antérieur ou en cours.</w:t>
      </w:r>
    </w:p>
    <w:p>
      <w:pPr>
        <w:pStyle w:val="ListBullet"/>
      </w:pPr>
      <w:r>
        <w:t xml:space="preserve">(v) </w:t>
      </w:r>
      <w:r>
        <w:rPr>
          <w:b/>
        </w:rPr>
        <w:t>Allongement préexistant du QT</w:t>
      </w:r>
      <w:r>
        <w:t xml:space="preserve"> (QTc &gt; 450 ms homme, &gt; 470 ms femme), antécédents de </w:t>
      </w:r>
      <w:r>
        <w:rPr>
          <w:b/>
        </w:rPr>
        <w:t>torsades de pointes (TdP)</w:t>
      </w:r>
      <w:r>
        <w:t>, hypokaliémie non corrigée, hypomagnésémie.</w:t>
      </w:r>
    </w:p>
    <w:p>
      <w:pPr>
        <w:pStyle w:val="ListBullet"/>
      </w:pPr>
      <w:r>
        <w:t xml:space="preserve">(vi) </w:t>
      </w:r>
      <w:r>
        <w:rPr>
          <w:b/>
        </w:rPr>
        <w:t>Association avec d'autres allongeurs de QT</w:t>
      </w:r>
      <w:r>
        <w:t xml:space="preserve"> (amiodarone, sotalol, méthadone, macrolides, fluoroquinolones, antidépresseurs tricycliques, autres antipsychotiques) — CI absolue.</w:t>
      </w:r>
    </w:p>
    <w:p>
      <w:pPr>
        <w:pStyle w:val="ListBullet"/>
      </w:pPr>
      <w:r>
        <w:t xml:space="preserve">(vii) </w:t>
      </w:r>
      <w:r>
        <w:rPr>
          <w:b/>
        </w:rPr>
        <w:t>Myasthénie</w:t>
      </w:r>
      <w:r>
        <w:t xml:space="preserve"> (blocage muscarinique potentialisé).</w:t>
      </w:r>
    </w:p>
    <w:p>
      <w:pPr>
        <w:pStyle w:val="ListBullet"/>
      </w:pPr>
      <w:r>
        <w:t xml:space="preserve">(viii) </w:t>
      </w:r>
      <w:r>
        <w:rPr>
          <w:b/>
        </w:rPr>
        <w:t>Hypertrophie bénigne de la prostate</w:t>
      </w:r>
      <w:r>
        <w:t xml:space="preserve"> sévère (rétention urinaire).</w:t>
      </w:r>
    </w:p>
    <w:p>
      <w:pPr>
        <w:pStyle w:val="ListBullet"/>
      </w:pPr>
      <w:r>
        <w:t xml:space="preserve">(ix) </w:t>
      </w:r>
      <w:r>
        <w:rPr>
          <w:b/>
        </w:rPr>
        <w:t>Glaucome à angle fermé</w:t>
      </w:r>
      <w:r>
        <w:t xml:space="preserve"> (effet anticholinergique — risque de crise aiguë).</w:t>
      </w:r>
    </w:p>
    <w:p>
      <w:pPr>
        <w:pStyle w:val="ListBullet"/>
      </w:pPr>
      <w:r>
        <w:t xml:space="preserve">(x) </w:t>
      </w:r>
      <w:r>
        <w:rPr>
          <w:b/>
        </w:rPr>
        <w:t>Insuffisance hépatique sévère</w:t>
      </w:r>
      <w:r>
        <w:t xml:space="preserve"> (métabolisme hépatique dominant).</w:t>
      </w:r>
    </w:p>
    <w:p>
      <w:pPr>
        <w:pStyle w:val="ListBullet"/>
      </w:pPr>
      <w:r>
        <w:t xml:space="preserve">(xi) </w:t>
      </w:r>
      <w:r>
        <w:rPr>
          <w:b/>
        </w:rPr>
        <w:t>Insuffisance rénale sévère</w:t>
      </w:r>
      <w:r>
        <w:t xml:space="preserve"> (prudence — adaptation posologique).</w:t>
      </w:r>
    </w:p>
    <w:p>
      <w:pPr>
        <w:pStyle w:val="ListBullet"/>
      </w:pPr>
      <w:r>
        <w:t xml:space="preserve">(xii) </w:t>
      </w:r>
      <w:r>
        <w:rPr>
          <w:b/>
        </w:rPr>
        <w:t>Épilepsie non contrôlée</w:t>
      </w:r>
      <w:r>
        <w:t xml:space="preserve"> (abaissement du seuil épileptogène).</w:t>
      </w:r>
    </w:p>
    <w:p>
      <w:pPr>
        <w:pStyle w:val="ListBullet"/>
      </w:pPr>
      <w:r>
        <w:t xml:space="preserve">(xiii) </w:t>
      </w:r>
      <w:r>
        <w:rPr>
          <w:b/>
        </w:rPr>
        <w:t>Phéochromocytome</w:t>
      </w:r>
      <w:r>
        <w:t xml:space="preserve"> (risque de crise hypertensive).</w:t>
      </w:r>
    </w:p>
    <w:p>
      <w:pPr>
        <w:pStyle w:val="ListBullet"/>
      </w:pPr>
      <w:r>
        <w:t xml:space="preserve">(xiv) </w:t>
      </w:r>
      <w:r>
        <w:rPr>
          <w:b/>
        </w:rPr>
        <w:t>Association avec lévodopa/agonistes dopaminergiques</w:t>
      </w:r>
      <w:r>
        <w:t xml:space="preserve"> (CI absolue — antagonisme pharmacodynamique).</w:t>
      </w:r>
    </w:p>
    <w:p>
      <w:pPr>
        <w:pStyle w:val="ListBullet"/>
      </w:pPr>
      <w:r>
        <w:t xml:space="preserve">(xv) </w:t>
      </w:r>
      <w:r>
        <w:rPr>
          <w:b/>
        </w:rPr>
        <w:t>Allaitement</w:t>
      </w:r>
      <w:r>
        <w:t xml:space="preserve"> : en cas de traitement au long cours à dose élevée — discuter l'arrêt de l'allaitement selon le CRAT.</w:t>
      </w:r>
    </w:p>
    <w:p>
      <w:pPr>
        <w:pStyle w:val="ListBullet"/>
      </w:pPr>
      <w:r>
        <w:t>Effets Indésirables :</w:t>
      </w:r>
    </w:p>
    <w:p>
      <w:pPr>
        <w:pStyle w:val="ListBullet"/>
      </w:pPr>
      <w:r/>
      <w:r>
        <w:rPr>
          <w:b/>
        </w:rPr>
        <w:t>Très fréquents (≥ 1/10)</w:t>
      </w:r>
      <w:r>
        <w:t xml:space="preserve"> :</w:t>
      </w:r>
    </w:p>
    <w:p>
      <w:pPr>
        <w:pStyle w:val="ListBullet"/>
      </w:pPr>
      <w:r/>
      <w:r>
        <w:rPr>
          <w:b/>
        </w:rPr>
        <w:t>Sédation, somnolence</w:t>
      </w:r>
      <w:r>
        <w:t xml:space="preserve"> (incidence 30-50 % — effet H1 dominant, surtout en début de traitement, transitoire).</w:t>
      </w:r>
    </w:p>
    <w:p>
      <w:pPr>
        <w:pStyle w:val="ListBullet"/>
      </w:pPr>
      <w:r/>
      <w:r>
        <w:rPr>
          <w:b/>
        </w:rPr>
        <w:t>Hypotension orthostatique</w:t>
      </w:r>
      <w:r>
        <w:t xml:space="preserve"> (incidence 10-30 % — surtout en début de traitement, chez le sujet âgé, à dose élevée).</w:t>
      </w:r>
    </w:p>
    <w:p>
      <w:pPr>
        <w:pStyle w:val="ListBullet"/>
      </w:pPr>
      <w:r/>
      <w:r>
        <w:rPr>
          <w:b/>
        </w:rPr>
        <w:t>Sécheresse buccale</w:t>
      </w:r>
      <w:r>
        <w:t xml:space="preserve"> (incidence 20-40 % — effet M1).</w:t>
      </w:r>
    </w:p>
    <w:p>
      <w:pPr>
        <w:pStyle w:val="ListBullet"/>
      </w:pPr>
      <w:r/>
      <w:r>
        <w:rPr>
          <w:b/>
        </w:rPr>
        <w:t>Constipation</w:t>
      </w:r>
      <w:r>
        <w:t xml:space="preserve"> (incidence 15-30 % — effet M1 — risque d'occlusion paralytique chez le sujet âgé).</w:t>
      </w:r>
    </w:p>
    <w:p>
      <w:pPr>
        <w:pStyle w:val="ListBullet"/>
      </w:pPr>
      <w:r/>
      <w:r>
        <w:rPr>
          <w:b/>
        </w:rPr>
        <w:t>Prise de poids</w:t>
      </w:r>
      <w:r>
        <w:t xml:space="preserve"> (modérée à marquée — 2-5 kg sur 6 mois — effet H1 et 5-HT2C).</w:t>
      </w:r>
    </w:p>
    <w:p>
      <w:pPr>
        <w:pStyle w:val="ListBullet"/>
      </w:pPr>
      <w:r/>
      <w:r>
        <w:rPr>
          <w:b/>
        </w:rPr>
        <w:t>Troubles de l'accommodation</w:t>
      </w:r>
      <w:r>
        <w:t xml:space="preserve"> (incidence 10-20 % — effet M1).</w:t>
      </w:r>
    </w:p>
    <w:p>
      <w:pPr>
        <w:pStyle w:val="ListBullet"/>
      </w:pPr>
      <w:r/>
      <w:r>
        <w:rPr>
          <w:b/>
        </w:rPr>
        <w:t>Akathisie</w:t>
      </w:r>
      <w:r>
        <w:t xml:space="preserve"> (incidence 10-20 % — effet D2 striatale).</w:t>
      </w:r>
    </w:p>
    <w:p>
      <w:pPr>
        <w:pStyle w:val="ListBullet"/>
      </w:pPr>
      <w:r/>
      <w:r>
        <w:rPr>
          <w:b/>
        </w:rPr>
        <w:t>Parkinsonisme</w:t>
      </w:r>
      <w:r>
        <w:t xml:space="preserve"> (incidence 5-15 % — effet D2 striatale).</w:t>
      </w:r>
    </w:p>
    <w:p>
      <w:pPr>
        <w:pStyle w:val="ListBullet"/>
      </w:pPr>
      <w:r/>
      <w:r>
        <w:rPr>
          <w:b/>
        </w:rPr>
        <w:t>Fréquents (≥ 1/100 à &lt; 1/10)</w:t>
      </w:r>
      <w:r>
        <w:t xml:space="preserve"> :</w:t>
      </w:r>
    </w:p>
    <w:p>
      <w:pPr>
        <w:pStyle w:val="ListBullet"/>
      </w:pPr>
      <w:r/>
      <w:r>
        <w:rPr>
          <w:b/>
        </w:rPr>
        <w:t>Dystonie aiguë</w:t>
      </w:r>
      <w:r>
        <w:t xml:space="preserve"> (incidence 5-10 % — surtout sujet jeune homme — urgence).</w:t>
      </w:r>
    </w:p>
    <w:p>
      <w:pPr>
        <w:pStyle w:val="ListBullet"/>
      </w:pPr>
      <w:r/>
      <w:r>
        <w:rPr>
          <w:b/>
        </w:rPr>
        <w:t>Dyskinésie tardive</w:t>
      </w:r>
      <w:r>
        <w:t xml:space="preserve"> (incidence 5-10 % par an — potentiellement irréversible).</w:t>
      </w:r>
    </w:p>
    <w:p>
      <w:pPr>
        <w:pStyle w:val="ListBullet"/>
      </w:pPr>
      <w:r/>
      <w:r>
        <w:rPr>
          <w:b/>
        </w:rPr>
        <w:t>Hyperprolactinémie</w:t>
      </w:r>
      <w:r>
        <w:t xml:space="preserve"> (incidence 10-30 % — galactorrhée, aménorrhée, gynécomastie, troubles sexuels).</w:t>
      </w:r>
    </w:p>
    <w:p>
      <w:pPr>
        <w:pStyle w:val="ListBullet"/>
      </w:pPr>
      <w:r/>
      <w:r>
        <w:rPr>
          <w:b/>
        </w:rPr>
        <w:t>Tachycardie sinusale</w:t>
      </w:r>
      <w:r>
        <w:t xml:space="preserve"> (effet M1 et α1).</w:t>
      </w:r>
    </w:p>
    <w:p>
      <w:pPr>
        <w:pStyle w:val="ListBullet"/>
      </w:pPr>
      <w:r/>
      <w:r>
        <w:rPr>
          <w:b/>
        </w:rPr>
        <w:t>Réactions cutanées</w:t>
      </w:r>
      <w:r>
        <w:t xml:space="preserve"> : photosensibilité (fréquente — pigmentation gris-bleu au long cours, éruptions, urticaire).</w:t>
      </w:r>
    </w:p>
    <w:p>
      <w:pPr>
        <w:pStyle w:val="ListBullet"/>
      </w:pPr>
      <w:r/>
      <w:r>
        <w:rPr>
          <w:b/>
        </w:rPr>
        <w:t>Pigmentation rétinienne</w:t>
      </w:r>
      <w:r>
        <w:t xml:space="preserve"> (au très long cours à dose élevée — dépôts pigmentaires rétiniens et cornéens — surveillance ophtalmologique).</w:t>
      </w:r>
    </w:p>
    <w:p>
      <w:pPr>
        <w:pStyle w:val="ListBullet"/>
      </w:pPr>
      <w:r/>
      <w:r>
        <w:rPr>
          <w:b/>
        </w:rPr>
        <w:t>Ictère cholestatique</w:t>
      </w:r>
      <w:r>
        <w:t xml:space="preserve"> (incidence 0,1-1 % — mécanisme immunoallergique, surtout 1er-3e mois).</w:t>
      </w:r>
    </w:p>
    <w:p>
      <w:pPr>
        <w:pStyle w:val="ListBullet"/>
      </w:pPr>
      <w:r/>
      <w:r>
        <w:rPr>
          <w:b/>
        </w:rPr>
        <w:t>Leucopénie</w:t>
      </w:r>
      <w:r>
        <w:t xml:space="preserve"> (incidence 1-5 % — surveillance NFS).</w:t>
      </w:r>
    </w:p>
    <w:p>
      <w:pPr>
        <w:pStyle w:val="ListBullet"/>
      </w:pPr>
      <w:r/>
      <w:r>
        <w:rPr>
          <w:b/>
        </w:rPr>
        <w:t>Hypothermie</w:t>
      </w:r>
      <w:r>
        <w:t xml:space="preserve"> (surtout sujet âgé — effet H1 et D2 hypothalamique).</w:t>
      </w:r>
    </w:p>
    <w:p>
      <w:pPr>
        <w:pStyle w:val="ListBullet"/>
      </w:pPr>
      <w:r/>
      <w:r>
        <w:rPr>
          <w:b/>
        </w:rPr>
        <w:t>Peu fréquents (≥ 1/1000 à &lt; 1/100)</w:t>
      </w:r>
      <w:r>
        <w:t xml:space="preserve"> :</w:t>
      </w:r>
    </w:p>
    <w:p>
      <w:pPr>
        <w:pStyle w:val="ListBullet"/>
      </w:pPr>
      <w:r/>
      <w:r>
        <w:rPr>
          <w:b/>
        </w:rPr>
        <w:t>Syndrome malin des neuroleptiques (SMN)</w:t>
      </w:r>
      <w:r>
        <w:t xml:space="preserve"> — urgence vitale (mortalité 10-20 %).</w:t>
      </w:r>
    </w:p>
    <w:p>
      <w:pPr>
        <w:pStyle w:val="ListBullet"/>
      </w:pPr>
      <w:r/>
      <w:r>
        <w:rPr>
          <w:b/>
        </w:rPr>
        <w:t>Allongement de l'espace QT</w:t>
      </w:r>
      <w:r>
        <w:t xml:space="preserve"> — risque de </w:t>
      </w:r>
      <w:r>
        <w:rPr>
          <w:b/>
        </w:rPr>
        <w:t>torsades de pointes (TdP)</w:t>
      </w:r>
      <w:r>
        <w:t xml:space="preserve"> (surtout à dose élevée ou association).</w:t>
      </w:r>
    </w:p>
    <w:p>
      <w:pPr>
        <w:pStyle w:val="ListBullet"/>
      </w:pPr>
      <w:r/>
      <w:r>
        <w:rPr>
          <w:b/>
        </w:rPr>
        <w:t>Convulsions</w:t>
      </w:r>
      <w:r>
        <w:t xml:space="preserve"> (abaissement du seuil épileptogène).</w:t>
      </w:r>
    </w:p>
    <w:p>
      <w:pPr>
        <w:pStyle w:val="ListBullet"/>
      </w:pPr>
      <w:r/>
      <w:r>
        <w:rPr>
          <w:b/>
        </w:rPr>
        <w:t>Rétention urinaire</w:t>
      </w:r>
      <w:r>
        <w:t xml:space="preserve"> (surtout sujet âgé avec adénome prostatique).</w:t>
      </w:r>
    </w:p>
    <w:p>
      <w:pPr>
        <w:pStyle w:val="ListBullet"/>
      </w:pPr>
      <w:r/>
      <w:r>
        <w:rPr>
          <w:b/>
        </w:rPr>
        <w:t>Troubles hépatiques</w:t>
      </w:r>
      <w:r>
        <w:t xml:space="preserve"> : cytolyse, cholestase (rare — surveillance ALAT/ASAT, PAL, γGT, bilirubine).</w:t>
      </w:r>
    </w:p>
    <w:p>
      <w:pPr>
        <w:pStyle w:val="ListBullet"/>
      </w:pPr>
      <w:r/>
      <w:r>
        <w:rPr>
          <w:b/>
        </w:rPr>
        <w:t>Agranulocytose</w:t>
      </w:r>
      <w:r>
        <w:t xml:space="preserve"> (rare mais grave — surveillance NFS).</w:t>
      </w:r>
    </w:p>
    <w:p>
      <w:pPr>
        <w:pStyle w:val="ListBullet"/>
      </w:pPr>
      <w:r/>
      <w:r>
        <w:rPr>
          <w:b/>
        </w:rPr>
        <w:t>Rares (≥ 1/10000 à &lt; 1/1000)</w:t>
      </w:r>
      <w:r>
        <w:t xml:space="preserve"> :</w:t>
      </w:r>
    </w:p>
    <w:p>
      <w:pPr>
        <w:pStyle w:val="ListBullet"/>
      </w:pPr>
      <w:r/>
      <w:r>
        <w:rPr>
          <w:b/>
        </w:rPr>
        <w:t>Syndrome de Stevens-Johnson</w:t>
      </w:r>
      <w:r>
        <w:t xml:space="preserve">, </w:t>
      </w:r>
      <w:r>
        <w:rPr>
          <w:b/>
        </w:rPr>
        <w:t>nécrolyse épidermique toxique (Lyell)</w:t>
      </w:r>
      <w:r>
        <w:t>.</w:t>
      </w:r>
    </w:p>
    <w:p>
      <w:pPr>
        <w:pStyle w:val="ListBullet"/>
      </w:pPr>
      <w:r/>
      <w:r>
        <w:rPr>
          <w:b/>
        </w:rPr>
        <w:t>Réactions anaphylactiques</w:t>
      </w:r>
      <w:r>
        <w:t>, angio-œdème.</w:t>
      </w:r>
    </w:p>
    <w:p>
      <w:pPr>
        <w:pStyle w:val="ListBullet"/>
      </w:pPr>
      <w:r/>
      <w:r>
        <w:rPr>
          <w:b/>
        </w:rPr>
        <w:t>Hépatite fulminante</w:t>
      </w:r>
      <w:r>
        <w:t>.</w:t>
      </w:r>
    </w:p>
    <w:p>
      <w:pPr>
        <w:pStyle w:val="ListBullet"/>
      </w:pPr>
      <w:r/>
      <w:r>
        <w:rPr>
          <w:b/>
        </w:rPr>
        <w:t>Aplasie médullaire</w:t>
      </w:r>
      <w:r>
        <w:t>.</w:t>
      </w:r>
    </w:p>
    <w:p>
      <w:pPr>
        <w:pStyle w:val="ListBullet"/>
      </w:pPr>
      <w:r/>
      <w:r>
        <w:rPr>
          <w:b/>
        </w:rPr>
        <w:t>Effets paradoxaux</w:t>
      </w:r>
      <w:r>
        <w:t xml:space="preserve"> : agitation paradoxale, manie induite (rare).</w:t>
      </w:r>
    </w:p>
    <w:p>
      <w:r/>
      <w:r>
        <w:rPr>
          <w:b/>
        </w:rPr>
        <w:t>Prévention et Gestion des Effets Indésirables :</w:t>
      </w:r>
      <w:r/>
    </w:p>
    <w:p>
      <w:pPr>
        <w:pStyle w:val="ListBullet"/>
      </w:pPr>
      <w:r>
        <w:t>Mesures Préventives :</w:t>
      </w:r>
    </w:p>
    <w:p>
      <w:pPr>
        <w:pStyle w:val="ListBullet"/>
      </w:pPr>
      <w:r>
        <w:t xml:space="preserve">(i) </w:t>
      </w:r>
      <w:r>
        <w:rPr>
          <w:b/>
        </w:rPr>
        <w:t>Dose minimale efficace</w:t>
      </w:r>
      <w:r>
        <w:t xml:space="preserve"> : démarrer à 25-50 mg/j per os (sujet âgé : 10-25 mg/j) et titrer progressivement par paliers de 25-50 mg tous les 5-7 jours selon la réponse clinique et la tolérance. Dose maximale recommandée : 800 mg/j per os (au-delà, surveillance renforcée).</w:t>
      </w:r>
    </w:p>
    <w:p>
      <w:pPr>
        <w:pStyle w:val="ListBullet"/>
      </w:pPr>
      <w:r>
        <w:t xml:space="preserve">(ii) </w:t>
      </w:r>
      <w:r>
        <w:rPr>
          <w:b/>
        </w:rPr>
        <w:t>Surveillance EPS systématique</w:t>
      </w:r>
      <w:r>
        <w:t xml:space="preserve"> : évaluation clinique aux 1er, 7e, 15e jours, puis mensuelle — échelles Simpson-Angus (parkinsonisme), Barnes (akathisie), AIMS (dyskinésie tardive).</w:t>
      </w:r>
    </w:p>
    <w:p>
      <w:pPr>
        <w:pStyle w:val="ListBullet"/>
      </w:pPr>
      <w:r>
        <w:t xml:space="preserve">(iii) </w:t>
      </w:r>
      <w:r>
        <w:rPr>
          <w:b/>
        </w:rPr>
        <w:t>Surveillance ECG</w:t>
      </w:r>
      <w:r>
        <w:t xml:space="preserve"> : ECG initial, à 1 semaine, puis mensuel si dose élevée (&gt; 300 mg/j) ou antécédent cardiaque. Surveillance kaliémie et magnésémie.</w:t>
      </w:r>
    </w:p>
    <w:p>
      <w:pPr>
        <w:pStyle w:val="ListBullet"/>
      </w:pPr>
      <w:r>
        <w:t xml:space="preserve">(iv) </w:t>
      </w:r>
      <w:r>
        <w:rPr>
          <w:b/>
        </w:rPr>
        <w:t>Surveillance température</w:t>
      </w:r>
      <w:r>
        <w:t xml:space="preserve"> : mesure biquotidienne en début de traitement (1re semaine) — toute élévation &gt; 38 °C + rigidité = suspicion SMN → arrêt immédiat.</w:t>
      </w:r>
    </w:p>
    <w:p>
      <w:pPr>
        <w:pStyle w:val="ListBullet"/>
      </w:pPr>
      <w:r>
        <w:t xml:space="preserve">(v) </w:t>
      </w:r>
      <w:r>
        <w:rPr>
          <w:b/>
        </w:rPr>
        <w:t>Surveillance biologique</w:t>
      </w:r>
      <w:r>
        <w:t xml:space="preserve"> : NFS, bilan hépatique, prolactinémie à l'initiation puis à 3 mois, puis semestriel. Surveillance glycémie et bilan lipidique (modestes effets métaboliques).</w:t>
      </w:r>
    </w:p>
    <w:p>
      <w:pPr>
        <w:pStyle w:val="ListBullet"/>
      </w:pPr>
      <w:r>
        <w:t xml:space="preserve">(vi) </w:t>
      </w:r>
      <w:r>
        <w:rPr>
          <w:b/>
        </w:rPr>
        <w:t>Surveillance ophtalmologique</w:t>
      </w:r>
      <w:r>
        <w:t xml:space="preserve"> : examen ophtalmo annuel au long cours (recherche de dépôts pigmentaires rétiniens et cornéens).</w:t>
      </w:r>
    </w:p>
    <w:p>
      <w:pPr>
        <w:pStyle w:val="ListBullet"/>
      </w:pPr>
      <w:r>
        <w:t xml:space="preserve">(vii) </w:t>
      </w:r>
      <w:r>
        <w:rPr>
          <w:b/>
        </w:rPr>
        <w:t>Hydratation</w:t>
      </w:r>
      <w:r>
        <w:t xml:space="preserve"> : recommander 1,5-2 L/j — prévention de la déshydratation (risque majoré d'hypotension et d'IR).</w:t>
      </w:r>
    </w:p>
    <w:p>
      <w:pPr>
        <w:pStyle w:val="ListBullet"/>
      </w:pPr>
      <w:r>
        <w:t xml:space="preserve">(viii) </w:t>
      </w:r>
      <w:r>
        <w:rPr>
          <w:b/>
        </w:rPr>
        <w:t>Protection solaire</w:t>
      </w:r>
      <w:r>
        <w:t xml:space="preserve"> : crème solaire écran total, vêtements couvrants, évitement de l'exposition directe (photosensibilité).</w:t>
      </w:r>
    </w:p>
    <w:p>
      <w:pPr>
        <w:pStyle w:val="ListBullet"/>
      </w:pPr>
      <w:r>
        <w:t xml:space="preserve">(ix) </w:t>
      </w:r>
      <w:r>
        <w:rPr>
          <w:b/>
        </w:rPr>
        <w:t>Lutte contre la constipation</w:t>
      </w:r>
      <w:r>
        <w:t xml:space="preserve"> : alimentation riche en fibres, hydratation, activité physique régulière, laxatif si nécessaire.</w:t>
      </w:r>
    </w:p>
    <w:p>
      <w:pPr>
        <w:pStyle w:val="ListBullet"/>
      </w:pPr>
      <w:r>
        <w:t xml:space="preserve">(x) </w:t>
      </w:r>
      <w:r>
        <w:rPr>
          <w:b/>
        </w:rPr>
        <w:t>Levier positionnel</w:t>
      </w:r>
      <w:r>
        <w:t xml:space="preserve"> : se lever progressivement du lit/assis (prévention de l'hypotension orthostatique).</w:t>
      </w:r>
    </w:p>
    <w:p>
      <w:pPr>
        <w:pStyle w:val="ListBullet"/>
      </w:pPr>
      <w:r>
        <w:t>Conduite à Tenir :</w:t>
      </w:r>
    </w:p>
    <w:p>
      <w:pPr>
        <w:pStyle w:val="ListBullet"/>
      </w:pPr>
      <w:r>
        <w:t xml:space="preserve">(i) En cas de </w:t>
      </w:r>
      <w:r>
        <w:rPr>
          <w:b/>
        </w:rPr>
        <w:t>SMN</w:t>
      </w:r>
      <w:r>
        <w:t xml:space="preserve"> (fièvre + rigidité + troubles de la conscience) : </w:t>
      </w:r>
      <w:r>
        <w:rPr>
          <w:b/>
        </w:rPr>
        <w:t>arrêt IMMÉDIAT</w:t>
      </w:r>
      <w:r>
        <w:t xml:space="preserve"> de la chlorpromazine, hospitalisation en réanimation, dantrolène IV + bromocriptine PO/NG, refroidissement actif, hydratation.</w:t>
      </w:r>
    </w:p>
    <w:p>
      <w:pPr>
        <w:pStyle w:val="ListBullet"/>
      </w:pPr>
      <w:r>
        <w:t xml:space="preserve">(ii) En cas de </w:t>
      </w:r>
      <w:r>
        <w:rPr>
          <w:b/>
        </w:rPr>
        <w:t>dystonie aiguë</w:t>
      </w:r>
      <w:r>
        <w:t xml:space="preserve"> : bipéridène IM/IV 5 mg (urgence).</w:t>
      </w:r>
    </w:p>
    <w:p>
      <w:pPr>
        <w:pStyle w:val="ListBullet"/>
      </w:pPr>
      <w:r>
        <w:t>(iii) En cas d'</w:t>
      </w:r>
      <w:r>
        <w:rPr>
          <w:b/>
        </w:rPr>
        <w:t>akathisie</w:t>
      </w:r>
      <w:r>
        <w:t xml:space="preserve"> : réduction de dose, propranolol 10-30 mg/j ou lorazépam, switch vers un atypique.</w:t>
      </w:r>
    </w:p>
    <w:p>
      <w:pPr>
        <w:pStyle w:val="ListBullet"/>
      </w:pPr>
      <w:r>
        <w:t xml:space="preserve">(iv) En cas de </w:t>
      </w:r>
      <w:r>
        <w:rPr>
          <w:b/>
        </w:rPr>
        <w:t>parkinsonisme</w:t>
      </w:r>
      <w:r>
        <w:t xml:space="preserve"> : réduction de dose, trihexyphénidyle 2-6 mg/j ou bipéridène 2-6 mg/j — prudence gériatrique.</w:t>
      </w:r>
    </w:p>
    <w:p>
      <w:pPr>
        <w:pStyle w:val="ListBullet"/>
      </w:pPr>
      <w:r>
        <w:t>(v) En cas d'</w:t>
      </w:r>
      <w:r>
        <w:rPr>
          <w:b/>
        </w:rPr>
        <w:t>hypotension orthostatique symptomatique</w:t>
      </w:r>
      <w:r>
        <w:t xml:space="preserve"> : réduction de dose, lever progressif, hydratation, contenseur veineux (bas de contention), éviter l'association avec d'autres hypotenseurs.</w:t>
      </w:r>
    </w:p>
    <w:p>
      <w:pPr>
        <w:pStyle w:val="ListBullet"/>
      </w:pPr>
      <w:r>
        <w:t>(vi) En cas d'</w:t>
      </w:r>
      <w:r>
        <w:rPr>
          <w:b/>
        </w:rPr>
        <w:t>allongement QT &gt; 500 ms</w:t>
      </w:r>
      <w:r>
        <w:t xml:space="preserve"> ou d'</w:t>
      </w:r>
      <w:r>
        <w:rPr>
          <w:b/>
        </w:rPr>
        <w:t>extrasystoles ventriculaires</w:t>
      </w:r>
      <w:r>
        <w:t xml:space="preserve"> : arrêt de la chlorpromazine, contrôle électrolytique, ECG de contrôle, évaluation cardiologique.</w:t>
      </w:r>
    </w:p>
    <w:p>
      <w:pPr>
        <w:pStyle w:val="ListBullet"/>
      </w:pPr>
      <w:r>
        <w:t xml:space="preserve">(vii) En cas de </w:t>
      </w:r>
      <w:r>
        <w:rPr>
          <w:b/>
        </w:rPr>
        <w:t>rétention urinaire</w:t>
      </w:r>
      <w:r>
        <w:t xml:space="preserve"> (sujet âgé avec adénome prostatique) : réduction de dose ou arrêt, sondage urinaire transitoire si nécessaire, switch vers un antipsychotique moins anticholinergique (halopéridol).</w:t>
      </w:r>
    </w:p>
    <w:p>
      <w:pPr>
        <w:pStyle w:val="ListBullet"/>
      </w:pPr>
      <w:r>
        <w:t>(viii) En cas d'</w:t>
      </w:r>
      <w:r>
        <w:rPr>
          <w:b/>
        </w:rPr>
        <w:t>occlusion paralytique</w:t>
      </w:r>
      <w:r>
        <w:t xml:space="preserve"> (constipation sévère) : arrêt immédiat, hospitalisation en urgence, lavement évacuateur, switch vers un antipsychotique moins anticholinergique.</w:t>
      </w:r>
    </w:p>
    <w:p>
      <w:pPr>
        <w:pStyle w:val="ListBullet"/>
      </w:pPr>
      <w:r>
        <w:t>(ix) En cas d'</w:t>
      </w:r>
      <w:r>
        <w:rPr>
          <w:b/>
        </w:rPr>
        <w:t>ictère cholestatique</w:t>
      </w:r>
      <w:r>
        <w:t xml:space="preserve"> ou d'</w:t>
      </w:r>
      <w:r>
        <w:rPr>
          <w:b/>
        </w:rPr>
        <w:t>hépatite</w:t>
      </w:r>
      <w:r>
        <w:t xml:space="preserve"> : arrêt définitif de la chlorpromazine, bilan hépatique, switch vers un atypique (aripiprazole, rispéridone).</w:t>
      </w:r>
    </w:p>
    <w:p>
      <w:pPr>
        <w:pStyle w:val="ListBullet"/>
      </w:pPr>
      <w:r>
        <w:t>(x) En cas d'</w:t>
      </w:r>
      <w:r>
        <w:rPr>
          <w:b/>
        </w:rPr>
        <w:t>agranulocytose</w:t>
      </w:r>
      <w:r>
        <w:t xml:space="preserve"> : arrêt immédiat, hospitalisation en hématologie, antibiothérapie prophylactique, switch vers un atypique.</w:t>
      </w:r>
    </w:p>
    <w:p>
      <w:pPr>
        <w:pStyle w:val="ListBullet"/>
      </w:pPr>
      <w:r>
        <w:t xml:space="preserve">(xi) En cas de </w:t>
      </w:r>
      <w:r>
        <w:rPr>
          <w:b/>
        </w:rPr>
        <w:t>photosensibilité sévère</w:t>
      </w:r>
      <w:r>
        <w:t xml:space="preserve"> ou de </w:t>
      </w:r>
      <w:r>
        <w:rPr>
          <w:b/>
        </w:rPr>
        <w:t>pigmentation cutanée</w:t>
      </w:r>
      <w:r>
        <w:t xml:space="preserve"> : arrêt au long cours, dermatologue, switch vers un antipsychotique non photosensibilisant (halopéridol).</w:t>
      </w:r>
    </w:p>
    <w:p>
      <w:r/>
      <w:r>
        <w:rPr>
          <w:b/>
        </w:rPr>
        <w:t>Interactions Importantes :</w:t>
      </w:r>
      <w:r/>
    </w:p>
    <w:p>
      <w:pPr>
        <w:pStyle w:val="ListBullet"/>
      </w:pPr>
      <w:r/>
      <w:r>
        <w:rPr>
          <w:b/>
        </w:rPr>
        <w:t>Chlorpromazine + lévodopa</w:t>
      </w:r>
      <w:r>
        <w:t xml:space="preserve"> (et agonistes dopaminergiques : bromocriptine, pergolide, ropinirole, pramipexole, rotigotine, apomorphine) : </w:t>
      </w:r>
      <w:r>
        <w:rPr>
          <w:b/>
        </w:rPr>
        <w:t>antagonisme pharmacodynamique complet</w:t>
      </w:r>
      <w:r>
        <w:t xml:space="preserve"> — CI absolue. La lévodopa est le traitement de référence de la maladie de Parkinson (transformée en dopamine endogène dans le striatum par la DOPA-décarboxylase), les agonistes dopaminergiques stimulent directement les D2 striatales pour compenser la perte neuronale substantique. La chlorpromazine bloque ces mêmes D2 striatales, </w:t>
      </w:r>
      <w:r>
        <w:rPr>
          <w:b/>
        </w:rPr>
        <w:t>annulant l'effet antiparkinsonien</w:t>
      </w:r>
      <w:r>
        <w:t xml:space="preserve"> et pouvant déclencher un </w:t>
      </w:r>
      <w:r>
        <w:rPr>
          <w:b/>
        </w:rPr>
        <w:t>syndrome akinétique sévère</w:t>
      </w:r>
      <w:r>
        <w:t xml:space="preserve">. En cas de psychose parkinsonienne, préférer la </w:t>
      </w:r>
      <w:r>
        <w:rPr>
          <w:b/>
        </w:rPr>
        <w:t>clozapine</w:t>
      </w:r>
      <w:r>
        <w:t xml:space="preserve"> (référence — pas de blocage striatal), </w:t>
      </w:r>
      <w:r>
        <w:rPr>
          <w:b/>
        </w:rPr>
        <w:t>quetiapine</w:t>
      </w:r>
      <w:r>
        <w:t xml:space="preserve"> (alternative — peu de blocage striatal), ou </w:t>
      </w:r>
      <w:r>
        <w:rPr>
          <w:b/>
        </w:rPr>
        <w:t>pimavansérine</w:t>
      </w:r>
      <w:r>
        <w:t xml:space="preserve"> (antipsychotique atypique anti-5HT2A sélectif — non disponible en Algérie).</w:t>
      </w:r>
    </w:p>
    <w:p>
      <w:pPr>
        <w:pStyle w:val="ListBullet"/>
      </w:pPr>
      <w:r/>
      <w:r>
        <w:rPr>
          <w:b/>
        </w:rPr>
        <w:t>Chlorpromazine + autres allongeurs de QT</w:t>
      </w:r>
      <w:r>
        <w:t xml:space="preserve"> : </w:t>
      </w:r>
      <w:r>
        <w:rPr>
          <w:b/>
        </w:rPr>
        <w:t>CI absolue</w:t>
      </w:r>
      <w:r>
        <w:t xml:space="preserve"> ou </w:t>
      </w:r>
      <w:r>
        <w:rPr>
          <w:b/>
        </w:rPr>
        <w:t>déconseillé</w:t>
      </w:r>
      <w:r>
        <w:t xml:space="preserve"> selon l'agent (cf. section Halopéridol pour la liste exhaustive). L'effet est synergique avec la chlorpromazine (blocage hERG additif).</w:t>
      </w:r>
    </w:p>
    <w:p>
      <w:pPr>
        <w:pStyle w:val="ListBullet"/>
      </w:pPr>
      <w:r/>
      <w:r>
        <w:rPr>
          <w:b/>
        </w:rPr>
        <w:t>Chlorpromazine + dépresseurs du SNC</w:t>
      </w:r>
      <w:r>
        <w:t xml:space="preserve"> (alcool, benzodiazépines, opioïdes, barbituriques, anesthésiques généraux, antihistaminiques H1 sédatifs) : </w:t>
      </w:r>
      <w:r>
        <w:rPr>
          <w:b/>
        </w:rPr>
        <w:t>sédation additive</w:t>
      </w:r>
      <w:r>
        <w:t>, risque de dépression respiratoire — déconseillé, prudence, surveillance.</w:t>
      </w:r>
    </w:p>
    <w:p>
      <w:pPr>
        <w:pStyle w:val="ListBullet"/>
      </w:pPr>
      <w:r/>
      <w:r>
        <w:rPr>
          <w:b/>
        </w:rPr>
        <w:t>Chlorpromazine + antihypertenseurs</w:t>
      </w:r>
      <w:r>
        <w:t xml:space="preserve"> (IEC, ARA2, diurétiques, bêta-bloquants, inhibiteurs calciques, alpha-bloquants urologiques) : </w:t>
      </w:r>
      <w:r>
        <w:rPr>
          <w:b/>
        </w:rPr>
        <w:t>potentialisation majeure de l'hypotension orthostatique</w:t>
      </w:r>
      <w:r>
        <w:t xml:space="preserve"> — surveillance PA, adaptation posologique. L'association avec la </w:t>
      </w:r>
      <w:r>
        <w:rPr>
          <w:b/>
        </w:rPr>
        <w:t>doxazosine</w:t>
      </w:r>
      <w:r>
        <w:t xml:space="preserve"> ou la </w:t>
      </w:r>
      <w:r>
        <w:rPr>
          <w:b/>
        </w:rPr>
        <w:t>tamsulosine</w:t>
      </w:r>
      <w:r>
        <w:t xml:space="preserve"> (alpha-bloquants urologiques — Chapitre 71 HBP) expose à un risque d'hypotension sévère.</w:t>
      </w:r>
    </w:p>
    <w:p>
      <w:pPr>
        <w:pStyle w:val="ListBullet"/>
      </w:pPr>
      <w:r/>
      <w:r>
        <w:rPr>
          <w:b/>
        </w:rPr>
        <w:t>Chlorpromazine + anticholinergiques</w:t>
      </w:r>
      <w:r>
        <w:t xml:space="preserve"> (atropine, tropatépine, trihexyphénidyle, bipéridène, antidépresseurs tricycliques, antihistaminiques H1 sédatifs, oxybutynine, solifénacine) : potentialisation des effets anticholinergiques — risque de </w:t>
      </w:r>
      <w:r>
        <w:rPr>
          <w:b/>
        </w:rPr>
        <w:t>rétention urinaire</w:t>
      </w:r>
      <w:r>
        <w:t xml:space="preserve">, </w:t>
      </w:r>
      <w:r>
        <w:rPr>
          <w:b/>
        </w:rPr>
        <w:t>occlusion paralytique</w:t>
      </w:r>
      <w:r>
        <w:t xml:space="preserve">, </w:t>
      </w:r>
      <w:r>
        <w:rPr>
          <w:b/>
        </w:rPr>
        <w:t>glaucome aigu</w:t>
      </w:r>
      <w:r>
        <w:t xml:space="preserve">, </w:t>
      </w:r>
      <w:r>
        <w:rPr>
          <w:b/>
        </w:rPr>
        <w:t>confusion gériatrique</w:t>
      </w:r>
      <w:r>
        <w:t xml:space="preserve">, </w:t>
      </w:r>
      <w:r>
        <w:rPr>
          <w:b/>
        </w:rPr>
        <w:t>syndrome anticholinergique</w:t>
      </w:r>
      <w:r>
        <w:t xml:space="preserve"> (bouffée de chaleur, sécheresse, mydriase, tachycardie, delirium). Prudence, surveillance clinique.</w:t>
      </w:r>
    </w:p>
    <w:p>
      <w:pPr>
        <w:pStyle w:val="ListBullet"/>
      </w:pPr>
      <w:r/>
      <w:r>
        <w:rPr>
          <w:b/>
        </w:rPr>
        <w:t>Chlorpromazine + lithium</w:t>
      </w:r>
      <w:r>
        <w:t xml:space="preserve"> : potentialisation de l'effet antipsychotique (indication de la manie aiguë), mais augmentation du risque d'</w:t>
      </w:r>
      <w:r>
        <w:rPr>
          <w:b/>
        </w:rPr>
        <w:t>encéphalopathie toxique</w:t>
      </w:r>
      <w:r>
        <w:t xml:space="preserve"> (syndrome neuroleptique malin-like) — surveillance clinique étroite, contrôle de la lithiémie.</w:t>
      </w:r>
    </w:p>
    <w:p>
      <w:pPr>
        <w:pStyle w:val="ListBullet"/>
      </w:pPr>
      <w:r/>
      <w:r>
        <w:rPr>
          <w:b/>
        </w:rPr>
        <w:t>Chlorpromazine + carbamazépine, phénytoïne, phénobarbital, rifampicine</w:t>
      </w:r>
      <w:r>
        <w:t xml:space="preserve"> (inducteurs enzymatiques CYP3A4) : </w:t>
      </w:r>
      <w:r>
        <w:rPr>
          <w:b/>
        </w:rPr>
        <w:t>réduction des concentrations de chlorpromazine</w:t>
      </w:r>
      <w:r>
        <w:t xml:space="preserve"> — risque d'inefficacité — adapter la posologie.</w:t>
      </w:r>
    </w:p>
    <w:p>
      <w:pPr>
        <w:pStyle w:val="ListBullet"/>
      </w:pPr>
      <w:r/>
      <w:r>
        <w:rPr>
          <w:b/>
        </w:rPr>
        <w:t>Chlorpromazine + inhibiteurs puissants du CYP2D6 et CYP3A4</w:t>
      </w:r>
      <w:r>
        <w:t xml:space="preserve"> (paroxétine, fluoxétine, fluvoxamine, duloxétine, kétoconazole, itraconazole, ritonavir, clarithromycine, érythromycine) : </w:t>
      </w:r>
      <w:r>
        <w:rPr>
          <w:b/>
        </w:rPr>
        <w:t>augmentation des concentrations de chlorpromazine</w:t>
      </w:r>
      <w:r>
        <w:t xml:space="preserve"> — risque de majoration des EI — surveillance clinique et ECG, envisager réduction de dose.</w:t>
      </w:r>
    </w:p>
    <w:p>
      <w:pPr>
        <w:pStyle w:val="ListBullet"/>
      </w:pPr>
      <w:r/>
      <w:r>
        <w:rPr>
          <w:b/>
        </w:rPr>
        <w:t>Chlorpromazine + adrénaline</w:t>
      </w:r>
      <w:r>
        <w:t xml:space="preserve"> : blocage α1 par la chlorpromazine — l'adrénaline peut avoir un effet </w:t>
      </w:r>
      <w:r>
        <w:rPr>
          <w:b/>
        </w:rPr>
        <w:t>vasodilatateur paradoxal</w:t>
      </w:r>
      <w:r>
        <w:t xml:space="preserve"> (blocage α1 prédominant → effet β2 vasodilatateur) — </w:t>
      </w:r>
      <w:r>
        <w:rPr>
          <w:b/>
        </w:rPr>
        <w:t>utiliser la noradrénaline</w:t>
      </w:r>
      <w:r>
        <w:t xml:space="preserve"> plutôt que l'adrénaline en cas d'hypotension sévère.</w:t>
      </w:r>
    </w:p>
    <w:p>
      <w:pPr>
        <w:pStyle w:val="ListBullet"/>
      </w:pPr>
      <w:r/>
      <w:r>
        <w:rPr>
          <w:b/>
        </w:rPr>
        <w:t>Chlorpromazine + anticoagulants oraux</w:t>
      </w:r>
      <w:r>
        <w:t xml:space="preserve"> (warfarine, acénocoumarol) : déplacement de la fixation protéique — surveillance INR.</w:t>
      </w:r>
    </w:p>
    <w:p>
      <w:pPr>
        <w:pStyle w:val="ListBullet"/>
      </w:pPr>
      <w:r/>
      <w:r>
        <w:rPr>
          <w:b/>
        </w:rPr>
        <w:t>Chlorpromazine + antidiabétiques</w:t>
      </w:r>
      <w:r>
        <w:t xml:space="preserve"> : la chlorpromazine peut déséquilibrer un diabète (prise de poids, modification de la sensibilité insulinique) — surveillance glycémique.</w:t>
      </w:r>
    </w:p>
    <w:p>
      <w:pPr>
        <w:pStyle w:val="ListBullet"/>
      </w:pPr>
      <w:r/>
      <w:r>
        <w:rPr>
          <w:b/>
        </w:rPr>
        <w:t>Chlorpromazine + topiramate</w:t>
      </w:r>
      <w:r>
        <w:t xml:space="preserve"> : potentialisation de l'hypothermie (effet additif sur la thermorégulation).</w:t>
      </w:r>
    </w:p>
    <w:p>
      <w:r/>
      <w:r>
        <w:rPr>
          <w:b/>
        </w:rPr>
        <w:t>Grossesse et Allaitement :</w:t>
      </w:r>
      <w:r/>
    </w:p>
    <w:p>
      <w:pPr>
        <w:pStyle w:val="ListBullet"/>
      </w:pPr>
      <w:r>
        <w:t xml:space="preserve">Grossesse : selon le </w:t>
      </w:r>
      <w:r>
        <w:rPr>
          <w:b/>
        </w:rPr>
        <w:t>CRAT</w:t>
      </w:r>
      <w:r>
        <w:t xml:space="preserve">, la chlorpromazine a un </w:t>
      </w:r>
      <w:r>
        <w:rPr>
          <w:b/>
        </w:rPr>
        <w:t>recul important</w:t>
      </w:r>
      <w:r>
        <w:t xml:space="preserve"> (utilisé depuis 1952) — les données de cohortes prospectives n'ont pas montré d'augmentation du risque de </w:t>
      </w:r>
      <w:r>
        <w:rPr>
          <w:b/>
        </w:rPr>
        <w:t>malformations congénitales majeures</w:t>
      </w:r>
      <w:r>
        <w:t xml:space="preserve"> par rapport à la population générale. Elle n'est pas tératogène chez l'animal. Cependant, elle traverse la </w:t>
      </w:r>
      <w:r>
        <w:rPr>
          <w:b/>
        </w:rPr>
        <w:t>barrière placentaire</w:t>
      </w:r>
      <w:r>
        <w:t xml:space="preserve"> et expose le nouveau-né à un risque de </w:t>
      </w:r>
      <w:r>
        <w:rPr>
          <w:b/>
        </w:rPr>
        <w:t>symptômes néonatals transitoires</w:t>
      </w:r>
      <w:r>
        <w:t xml:space="preserve"> : hypotonie, hyperréflexie, tremblements, agitation, distention abdominale, iléus paralytique (effet anticholinergique) — syndrome de </w:t>
      </w:r>
      <w:r>
        <w:rPr>
          <w:b/>
        </w:rPr>
        <w:t>retrait néonatal</w:t>
      </w:r>
      <w:r>
        <w:t xml:space="preserve"> — en cas de prise jusqu'au 3e trimestre. Recommandations : si traitement nécessaire pendant la grossesse, </w:t>
      </w:r>
      <w:r>
        <w:rPr>
          <w:b/>
        </w:rPr>
        <w:t>privilégier l'halopéridol à dose minimale efficace</w:t>
      </w:r>
      <w:r>
        <w:t xml:space="preserve"> plutôt que la chlorpromazine (profil mieux documenté et moins d'effets anticholinergiques), en évitant si possible le 1er trimestre, surveiller le nouveau-né en maternité. La chlorpromazine peut être utilisée en cas de psychose puerpérale sévère (post-partum) — en discutant l'arrêt de l'allaitement.</w:t>
      </w:r>
    </w:p>
    <w:p>
      <w:pPr>
        <w:pStyle w:val="ListBullet"/>
      </w:pPr>
      <w:r>
        <w:t xml:space="preserve">Allaitement : selon le </w:t>
      </w:r>
      <w:r>
        <w:rPr>
          <w:b/>
        </w:rPr>
        <w:t>CRAT</w:t>
      </w:r>
      <w:r>
        <w:t xml:space="preserve">, la chlorpromazine passe dans le lait maternel (rapport lait/plasma ≈ 0,3-0,5) — la dose ingérée par le nourrisson est estimée à </w:t>
      </w:r>
      <w:r>
        <w:rPr>
          <w:b/>
        </w:rPr>
        <w:t>2-5 % de la dose maternelle pondérée par le poids</w:t>
      </w:r>
      <w:r>
        <w:t xml:space="preserve">. Aux doses thérapeutiques habituelles (75-300 mg/j), l'allaitement est </w:t>
      </w:r>
      <w:r>
        <w:rPr>
          <w:b/>
        </w:rPr>
        <w:t>théoriquement possible</w:t>
      </w:r>
      <w:r>
        <w:t xml:space="preserve"> mais expose à un risque de </w:t>
      </w:r>
      <w:r>
        <w:rPr>
          <w:b/>
        </w:rPr>
        <w:t>somnolence néonatale, hypotonie, troubles de la succion</w:t>
      </w:r>
      <w:r>
        <w:t>. Le CRAT recommande d'</w:t>
      </w:r>
      <w:r>
        <w:rPr>
          <w:b/>
        </w:rPr>
        <w:t>éviter l'allaitement</w:t>
      </w:r>
      <w:r>
        <w:t xml:space="preserve"> en cas de chlorpromazine à dose élevée (&gt; 300 mg/j) ou de traitement au long cours, en raison du risque d'accumulation chez le nourrisson (demi-vie longue, métabolisme néonatal immature). Recommandation : privilégier si possible l'halopéridol (meilleur profil lacté selon le CRAT) ou un atypique (aripiprazole, quetiapine), surveiller le nourrisson (somnolence, hypotonie), recueillir l'avis pédopsychiatrique en cas d'effet indésirable néonatal.</w:t>
      </w:r>
    </w:p>
    <w:p>
      <w:pPr>
        <w:pStyle w:val="ListBullet"/>
      </w:pPr>
      <w:r>
        <w:t xml:space="preserve">Précisions : évaluation </w:t>
      </w:r>
      <w:r>
        <w:rPr>
          <w:b/>
        </w:rPr>
        <w:t>bénéfice/risque</w:t>
      </w:r>
      <w:r>
        <w:t xml:space="preserve"> individuelle au cas par cas avec le psychiatre et l'obstétricien. Pour une femme en âge de procréer avec projet de grossesse, </w:t>
      </w:r>
      <w:r>
        <w:rPr>
          <w:b/>
        </w:rPr>
        <w:t>privilégier l'halopéridol ou un atypique</w:t>
      </w:r>
      <w:r>
        <w:t xml:space="preserve"> selon le CRAT — la chlorpromazine est une option de 2e intention. </w:t>
      </w:r>
      <w:r>
        <w:rPr>
          <w:b/>
        </w:rPr>
        <w:t>Pas de changement thérapeutique brutal</w:t>
      </w:r>
      <w:r>
        <w:t xml:space="preserve"> pendant une grossesse en cours si la patiente est stable.</w:t>
      </w:r>
    </w:p>
    <w:p>
      <w:r/>
      <w:r>
        <w:rPr>
          <w:b/>
        </w:rPr>
        <w:t>Posologie et Mode d'administration (Standard) :</w:t>
      </w:r>
      <w:r/>
    </w:p>
    <w:p>
      <w:pPr>
        <w:pStyle w:val="ListBullet"/>
      </w:pPr>
      <w:r>
        <w:t>Adulte (per os — comprimés 100 mg ou solution buvable 4 % gttes) :</w:t>
      </w:r>
    </w:p>
    <w:p>
      <w:pPr>
        <w:pStyle w:val="ListBullet"/>
      </w:pPr>
      <w:r/>
      <w:r>
        <w:rPr>
          <w:b/>
        </w:rPr>
        <w:t>Initiation</w:t>
      </w:r>
      <w:r>
        <w:t xml:space="preserve"> : 25-50 mg/jour (1/4 à 1/2 comprimé 100 mg, ou 6-12 gouttes de solution 4 %) en 2-3 prises, à augmenter progressivement par paliers de 25-50 mg tous les 5-7 jours selon la réponse clinique et la tolérance.</w:t>
      </w:r>
    </w:p>
    <w:p>
      <w:pPr>
        <w:pStyle w:val="ListBullet"/>
      </w:pPr>
      <w:r/>
      <w:r>
        <w:rPr>
          <w:b/>
        </w:rPr>
        <w:t>Dose d'entretien</w:t>
      </w:r>
      <w:r>
        <w:t xml:space="preserve"> : 75-300 mg/jour (1-3 comprimés 100 mg, ou 20-75 gouttes de solution 4 %) en 2-3 prises — dose moyenne habituelle 200 mg/j.</w:t>
      </w:r>
    </w:p>
    <w:p>
      <w:pPr>
        <w:pStyle w:val="ListBullet"/>
      </w:pPr>
      <w:r/>
      <w:r>
        <w:rPr>
          <w:b/>
        </w:rPr>
        <w:t>Dose maximale</w:t>
      </w:r>
      <w:r>
        <w:t xml:space="preserve"> : 800 mg/jour per os (au-delà, surveillance renforcée ECG, EPS, biologie).</w:t>
      </w:r>
    </w:p>
    <w:p>
      <w:pPr>
        <w:pStyle w:val="ListBullet"/>
      </w:pPr>
      <w:r/>
      <w:r>
        <w:rPr>
          <w:b/>
        </w:rPr>
        <w:t>Equivalence gouttes ↔ mg</w:t>
      </w:r>
      <w:r>
        <w:t xml:space="preserve"> : solution buvable 4 % = 4 g/100 mL = 40 mg/mL ; 1 mL = 25 gouttes = 40 mg ; 1 goutte ≈ 1,6 mg. Donc 100 mg/j = ~62-65 gouttes/j (en 2-3 prises) ; 200 mg/j = ~125 gouttes/j ; 300 mg/j = ~190 gouttes/j.</w:t>
      </w:r>
    </w:p>
    <w:p>
      <w:pPr>
        <w:pStyle w:val="ListBullet"/>
      </w:pPr>
      <w:r>
        <w:t>Adulte (IM aigu — solution injectable 25 mg/5 mL = 5 mg/mL) :</w:t>
      </w:r>
    </w:p>
    <w:p>
      <w:pPr>
        <w:pStyle w:val="ListBullet"/>
      </w:pPr>
      <w:r/>
      <w:r>
        <w:rPr>
          <w:b/>
        </w:rPr>
        <w:t>Agitation psychotique aiguë</w:t>
      </w:r>
      <w:r>
        <w:t xml:space="preserve"> : 25-50 mg IM (5-10 mL), à répéter éventuellement toutes les 4-8 h, sans dépasser 200 mg/24 h. Effet en 15-30 min, pic à 30-60 min, durée 4-6 h.</w:t>
      </w:r>
    </w:p>
    <w:p>
      <w:pPr>
        <w:pStyle w:val="ListBullet"/>
      </w:pPr>
      <w:r/>
      <w:r>
        <w:rPr>
          <w:b/>
        </w:rPr>
        <w:t>Prudence hypotension</w:t>
      </w:r>
      <w:r>
        <w:t xml:space="preserve"> : surveillance PA allongé/assis/debout pendant 4-6 h post-injection (risque d'hypotension orthostatique majeure).</w:t>
      </w:r>
    </w:p>
    <w:p>
      <w:pPr>
        <w:pStyle w:val="ListBullet"/>
      </w:pPr>
      <w:r>
        <w:t>Adulte (IV — perfusion) :</w:t>
      </w:r>
    </w:p>
    <w:p>
      <w:pPr>
        <w:pStyle w:val="ListBullet"/>
      </w:pPr>
      <w:r>
        <w:t>Réservé à l'usage hospitalier (réanimation psychiatrique) — 25-100 mg dans 250 mL de NaCl 0,9 % sur 1-2 h — surveillance ECG continue.</w:t>
      </w:r>
    </w:p>
    <w:p>
      <w:pPr>
        <w:pStyle w:val="ListBullet"/>
      </w:pPr>
      <w:r>
        <w:t>Sujet âgé (&gt; 65 ans) :</w:t>
      </w:r>
    </w:p>
    <w:p>
      <w:pPr>
        <w:pStyle w:val="ListBullet"/>
      </w:pPr>
      <w:r/>
      <w:r>
        <w:rPr>
          <w:b/>
        </w:rPr>
        <w:t>Per os</w:t>
      </w:r>
      <w:r>
        <w:t xml:space="preserve"> : 10-25 mg/jour en 1-2 prises, à titrer très lentement par paliers de 10-25 mg tous les 7 jours. Dose maximale recommandée : 100 mg/jour.</w:t>
      </w:r>
    </w:p>
    <w:p>
      <w:pPr>
        <w:pStyle w:val="ListBullet"/>
      </w:pPr>
      <w:r/>
      <w:r>
        <w:rPr>
          <w:b/>
        </w:rPr>
        <w:t>IM</w:t>
      </w:r>
      <w:r>
        <w:t xml:space="preserve"> : 12,5-25 mg IM, à répéter éventuellement toutes les 8-12 h.</w:t>
      </w:r>
    </w:p>
    <w:p>
      <w:pPr>
        <w:pStyle w:val="ListBullet"/>
      </w:pPr>
      <w:r>
        <w:t>Insuffisant rénal : pas d'adaptation posologique stricte, mais prudence chez le sujet âgé ou en cas d'IR sévère — surveillance clinique renforcée.</w:t>
      </w:r>
    </w:p>
    <w:p>
      <w:pPr>
        <w:pStyle w:val="ListBullet"/>
      </w:pPr>
      <w:r>
        <w:t xml:space="preserve">Insuffisant hépatique : </w:t>
      </w:r>
      <w:r>
        <w:rPr>
          <w:b/>
        </w:rPr>
        <w:t>prudence</w:t>
      </w:r>
      <w:r>
        <w:t xml:space="preserve">, envisager une </w:t>
      </w:r>
      <w:r>
        <w:rPr>
          <w:b/>
        </w:rPr>
        <w:t>réduction de dose de moitié</w:t>
      </w:r>
      <w:r>
        <w:t xml:space="preserve"> (métabolisme hépatique dominant) — surveillance clinique et ECG. </w:t>
      </w:r>
      <w:r>
        <w:rPr>
          <w:b/>
        </w:rPr>
        <w:t>CI absolue en cas d'insuffisance hépatique sévère</w:t>
      </w:r>
      <w:r>
        <w:t xml:space="preserve"> (Child-Pugh C).</w:t>
      </w:r>
    </w:p>
    <w:p>
      <w:pPr>
        <w:pStyle w:val="ListBullet"/>
      </w:pPr>
      <w:r>
        <w:t xml:space="preserve">Insuffisant cardiaque : </w:t>
      </w:r>
      <w:r>
        <w:rPr>
          <w:b/>
        </w:rPr>
        <w:t>prudence</w:t>
      </w:r>
      <w:r>
        <w:t>, surveillance ECG, dose minimale efficace.</w:t>
      </w:r>
    </w:p>
    <w:p>
      <w:pPr>
        <w:pStyle w:val="ListBullet"/>
      </w:pPr>
      <w:r>
        <w:t xml:space="preserve">Durée : </w:t>
      </w:r>
      <w:r>
        <w:rPr>
          <w:b/>
        </w:rPr>
        <w:t>au long cours</w:t>
      </w:r>
      <w:r>
        <w:t xml:space="preserve"> — traitement chronique de la schizophrénie (parfois à vie). Aucun arrêt programmé (sauf effet indésirable grave ou switch). La réduction de dose ou l'arrêt doivent se faire </w:t>
      </w:r>
      <w:r>
        <w:rPr>
          <w:b/>
        </w:rPr>
        <w:t>très progressivement</w:t>
      </w:r>
      <w:r>
        <w:t xml:space="preserve"> par paliers sur 4-8 semaines pour éviter le syndrome de sevrage.</w:t>
      </w:r>
    </w:p>
    <w:p>
      <w:pPr>
        <w:pStyle w:val="ListBullet"/>
      </w:pPr>
      <w:r>
        <w:t>Moment de la prise : per os pendant les repas (réduction des troubles digestifs), en 2-3 prises selon la dose. Si dose unique : le soir (somnolence aidant le sommeil). Si dose multiple : répartir matin-midi-soir, en privilégiant le soir pour la dose la plus élevée.</w:t>
      </w:r>
    </w:p>
    <w:p>
      <w:r/>
      <w:r>
        <w:rPr>
          <w:b/>
        </w:rPr>
        <w:t>Arbitrage et Bénéfices des Formes Galéniques :</w:t>
      </w:r>
      <w:r/>
    </w:p>
    <w:p>
      <w:pPr>
        <w:pStyle w:val="ListBullet"/>
      </w:pPr>
      <w:r/>
      <w:r>
        <w:rPr>
          <w:b/>
        </w:rPr>
        <w:t>Comprimés 100 mg sécables</w:t>
      </w:r>
      <w:r>
        <w:t xml:space="preserve"> : forme la plus prescrite en Algérie pour la maintenance au long cours — titration par quart ou demi-comprimé, administration aisée. Inconvénient : difficulté d'adaptation posologique fine chez le sujet âgé (préférer la solution buvable en gouttes).</w:t>
      </w:r>
    </w:p>
    <w:p>
      <w:pPr>
        <w:pStyle w:val="ListBullet"/>
      </w:pPr>
      <w:r/>
      <w:r>
        <w:rPr>
          <w:b/>
        </w:rPr>
        <w:t>Solution buvable en gouttes 4 %</w:t>
      </w:r>
      <w:r>
        <w:t xml:space="preserve"> : titration fine (1 goutte ≈ 1,6 mg), administration aisée chez le sujet âgé (difficulté à avaler les comprimés), pédiatrie (rare en Algérie — hors AMM), relais per os après IM aigu. Inconvénient : goût métallique, conservation à température ambiante &lt; 25 °C (vérifier RCP), flacon compte-gouttes parfois peu précis (préférer pipette graduée — forme DORMAZINE Gencopharm).</w:t>
      </w:r>
    </w:p>
    <w:p>
      <w:pPr>
        <w:pStyle w:val="ListBullet"/>
      </w:pPr>
      <w:r/>
      <w:r>
        <w:rPr>
          <w:b/>
        </w:rPr>
        <w:t>Solution injectable IM 25 mg/5 mL</w:t>
      </w:r>
      <w:r>
        <w:t xml:space="preserve"> : forme aiguë urgences psychiatriques — sédation rapide en 15-30 min. Inconvénient : administration par personnel médical ou paramédical formé, surveillance post-injection 4-6 h (risque d'hypotension, dystonie aiguë), aujourd'hui supplantée par l'halopéridol IM en raison du meilleur profil cardiovasculaire.</w:t>
      </w:r>
    </w:p>
    <w:p>
      <w:r/>
      <w:r>
        <w:rPr>
          <w:b/>
        </w:rPr>
        <w:t>Instructions et Conseils au Patient :</w:t>
      </w:r>
      <w:r/>
    </w:p>
    <w:p>
      <w:pPr>
        <w:pStyle w:val="ListBullet"/>
      </w:pPr>
      <w:r>
        <w:t>Communication au comptoir :</w:t>
      </w:r>
    </w:p>
    <w:p>
      <w:pPr>
        <w:pStyle w:val="ListBullet"/>
      </w:pPr>
      <w:r>
        <w:t>Expliquer la nature du traitement : « C'est un médicament antipsychotique qui restaure l'équilibre de certaines substances dans le cerveau (dopamine, mais aussi d'autres) pour réduire les symptômes et favoriser le calme. »</w:t>
      </w:r>
    </w:p>
    <w:p>
      <w:pPr>
        <w:pStyle w:val="ListBullet"/>
      </w:pPr>
      <w:r>
        <w:t xml:space="preserve">Informer sur les </w:t>
      </w:r>
      <w:r>
        <w:rPr>
          <w:b/>
        </w:rPr>
        <w:t>effets indésirables attendus</w:t>
      </w:r>
      <w:r>
        <w:t xml:space="preserve"> en début de traitement : somnolence transitoire, sensation de vertige au lever (hypotension orthostatique — se lever progressivement), sécheresse buccale (boire de l'eau, sucer des glaçons), constipation (alimentation riche en fibres, hydratation, laxatif si nécessaire), troubles de l'accommodation (ne pas conduire la nuit), prise de poids modérée (surveiller alimentation, activité physique).</w:t>
      </w:r>
    </w:p>
    <w:p>
      <w:pPr>
        <w:pStyle w:val="ListBullet"/>
      </w:pPr>
      <w:r/>
      <w:r>
        <w:rPr>
          <w:b/>
        </w:rPr>
        <w:t>Surveillance fièvre</w:t>
      </w:r>
      <w:r>
        <w:t xml:space="preserve"> : « Si vous présentez de la fièvre (&gt; 38,5 °C) avec raideur musculaire, confusion, sueurs, </w:t>
      </w:r>
      <w:r>
        <w:rPr>
          <w:b/>
        </w:rPr>
        <w:t>arrêtez le traitement et consultez en urgence</w:t>
      </w:r>
      <w:r>
        <w:t xml:space="preserve"> (SMN — syndrome malin des neuroleptiques — urgence vitale). »</w:t>
      </w:r>
    </w:p>
    <w:p>
      <w:pPr>
        <w:pStyle w:val="ListBullet"/>
      </w:pPr>
      <w:r/>
      <w:r>
        <w:rPr>
          <w:b/>
        </w:rPr>
        <w:t>Interdiction d'arrêt brutal</w:t>
      </w:r>
      <w:r>
        <w:t xml:space="preserve"> : « Ne jamais arrêter ce traitement d'un seul coup. »</w:t>
      </w:r>
    </w:p>
    <w:p>
      <w:pPr>
        <w:pStyle w:val="ListBullet"/>
      </w:pPr>
      <w:r/>
      <w:r>
        <w:rPr>
          <w:b/>
        </w:rPr>
        <w:t>Hydratation</w:t>
      </w:r>
      <w:r>
        <w:t xml:space="preserve"> : « Buvez 1,5-2 L d'eau par jour. »</w:t>
      </w:r>
    </w:p>
    <w:p>
      <w:pPr>
        <w:pStyle w:val="ListBullet"/>
      </w:pPr>
      <w:r/>
      <w:r>
        <w:rPr>
          <w:b/>
        </w:rPr>
        <w:t>Soleil</w:t>
      </w:r>
      <w:r>
        <w:t xml:space="preserve"> : « Évitez le soleil, crème solaire écran total, vêtements couvrants. »</w:t>
      </w:r>
    </w:p>
    <w:p>
      <w:pPr>
        <w:pStyle w:val="ListBullet"/>
      </w:pPr>
      <w:r/>
      <w:r>
        <w:rPr>
          <w:b/>
        </w:rPr>
        <w:t>Alcool</w:t>
      </w:r>
      <w:r>
        <w:t xml:space="preserve"> : « Évitez l'alcool — somnolence dangereuse. »</w:t>
      </w:r>
    </w:p>
    <w:p>
      <w:pPr>
        <w:pStyle w:val="ListBullet"/>
      </w:pPr>
      <w:r/>
      <w:r>
        <w:rPr>
          <w:b/>
        </w:rPr>
        <w:t>Lever progressif</w:t>
      </w:r>
      <w:r>
        <w:t xml:space="preserve"> : « Levez-vous doucement du lit ou de la chaise — restez assis 1-2 min avant de vous lever pour éviter les vertiges. »</w:t>
      </w:r>
    </w:p>
    <w:p>
      <w:pPr>
        <w:pStyle w:val="ListBullet"/>
      </w:pPr>
      <w:r/>
      <w:r>
        <w:rPr>
          <w:b/>
        </w:rPr>
        <w:t>Conduite automobile</w:t>
      </w:r>
      <w:r>
        <w:t xml:space="preserve"> : « Pas de conduite sans avis médical, surtout les premiers jours. »</w:t>
      </w:r>
    </w:p>
    <w:p>
      <w:pPr>
        <w:pStyle w:val="ListBullet"/>
      </w:pPr>
      <w:r/>
      <w:r>
        <w:rPr>
          <w:b/>
        </w:rPr>
        <w:t>Constipation</w:t>
      </w:r>
      <w:r>
        <w:t xml:space="preserve"> : « Mangez des fibres (légumes, fruits, céréales complètes), buvez de l'eau, marchez — prévenez votre médecin si vous êtes constipé plus de 3 jours. »</w:t>
      </w:r>
    </w:p>
    <w:p>
      <w:pPr>
        <w:pStyle w:val="ListBullet"/>
      </w:pPr>
      <w:r>
        <w:t>Mode d'utilisation pratique :</w:t>
      </w:r>
    </w:p>
    <w:p>
      <w:pPr>
        <w:pStyle w:val="ListBullet"/>
      </w:pPr>
      <w:r/>
      <w:r>
        <w:rPr>
          <w:b/>
        </w:rPr>
        <w:t>Comprimés</w:t>
      </w:r>
      <w:r>
        <w:t xml:space="preserve"> : avaler pendant les repas avec un grand verre d'eau — ne pas écraser ni mâcher.</w:t>
      </w:r>
    </w:p>
    <w:p>
      <w:pPr>
        <w:pStyle w:val="ListBullet"/>
      </w:pPr>
      <w:r/>
      <w:r>
        <w:rPr>
          <w:b/>
        </w:rPr>
        <w:t>Solution buvable en gouttes</w:t>
      </w:r>
      <w:r>
        <w:t xml:space="preserve"> : agiter le flacon, utiliser le compte-gouttes ou pipette, diluer dans un demi-verre d'eau ou de jus (sauf pamplemousse), prendre pendant les repas. Conservation &lt; 25 °C, à l'abri de la lumière.</w:t>
      </w:r>
    </w:p>
    <w:p>
      <w:pPr>
        <w:pStyle w:val="ListBullet"/>
      </w:pPr>
      <w:r/>
      <w:r>
        <w:rPr>
          <w:b/>
        </w:rPr>
        <w:t>En cas d'oubli</w:t>
      </w:r>
      <w:r>
        <w:t xml:space="preserve"> : ne pas doubler la dose suivante — prendre la dose oubliée si elle est dans les 4 h, sinon attendre la prochaine prise.</w:t>
      </w:r>
    </w:p>
    <w:p>
      <w:r/>
      <w:r>
        <w:rPr>
          <w:b/>
        </w:rPr>
        <w:t>Notes, Règles d'Or &amp; Pièges au Comptoir :</w:t>
      </w:r>
      <w:r/>
    </w:p>
    <w:p>
      <w:pPr>
        <w:pStyle w:val="ListBullet"/>
      </w:pPr>
      <w:r>
        <w:t>Piège classique :</w:t>
      </w:r>
    </w:p>
    <w:p>
      <w:pPr>
        <w:pStyle w:val="ListBullet"/>
      </w:pPr>
      <w:r/>
      <w:r>
        <w:rPr>
          <w:b/>
        </w:rPr>
        <w:t>Hypotension orthostatique — chute sujet âgé</w:t>
      </w:r>
      <w:r>
        <w:t xml:space="preserve"> : risque majeur (10-30 %) — informer le patient âgé et son entourage, préconiser le lever progressif, vérifier l'absence d'association avec un autre hypotenseur (IEC, ARA2, diurétiques, alpha-bloquants — Chapitre 71 HBP).</w:t>
      </w:r>
    </w:p>
    <w:p>
      <w:pPr>
        <w:pStyle w:val="ListBullet"/>
      </w:pPr>
      <w:r/>
      <w:r>
        <w:rPr>
          <w:b/>
        </w:rPr>
        <w:t>Photosensibilité — pigmentation</w:t>
      </w:r>
      <w:r>
        <w:t xml:space="preserve"> : protection solaire absolue, surveillance cutanée au long cours, pigmentation gris-bleu (lavage de peau) possible au long cours.</w:t>
      </w:r>
    </w:p>
    <w:p>
      <w:pPr>
        <w:pStyle w:val="ListBullet"/>
      </w:pPr>
      <w:r/>
      <w:r>
        <w:rPr>
          <w:b/>
        </w:rPr>
        <w:t>Pigmentation rétinienne</w:t>
      </w:r>
      <w:r>
        <w:t xml:space="preserve"> au très long cours à dose élevée — surveillance ophtalmologique annuelle (fond d'œil).</w:t>
      </w:r>
    </w:p>
    <w:p>
      <w:pPr>
        <w:pStyle w:val="ListBullet"/>
      </w:pPr>
      <w:r/>
      <w:r>
        <w:rPr>
          <w:b/>
        </w:rPr>
        <w:t>Rétention urinaire</w:t>
      </w:r>
      <w:r>
        <w:t xml:space="preserve"> chez le sujet âgé avec adénome prostatique — préférer l'halopéridol (moins anticholinergique).</w:t>
      </w:r>
    </w:p>
    <w:p>
      <w:pPr>
        <w:pStyle w:val="ListBullet"/>
      </w:pPr>
      <w:r/>
      <w:r>
        <w:rPr>
          <w:b/>
        </w:rPr>
        <w:t>Occlusion paralytique</w:t>
      </w:r>
      <w:r>
        <w:t xml:space="preserve"> chez le sujet âgé — constipation sévère pouvant aller jusqu'à l'occlusion — prévention par hydratation, fibres, laxatifs.</w:t>
      </w:r>
    </w:p>
    <w:p>
      <w:pPr>
        <w:pStyle w:val="ListBullet"/>
      </w:pPr>
      <w:r/>
      <w:r>
        <w:rPr>
          <w:b/>
        </w:rPr>
        <w:t>Glaucome à angle fermé</w:t>
      </w:r>
      <w:r>
        <w:t xml:space="preserve"> — CI absolue (effet anticholinergique — risque de crise aiguë).</w:t>
      </w:r>
    </w:p>
    <w:p>
      <w:pPr>
        <w:pStyle w:val="ListBullet"/>
      </w:pPr>
      <w:r/>
      <w:r>
        <w:rPr>
          <w:b/>
        </w:rPr>
        <w:t>Hypertrophie bénigne de la prostate sévère</w:t>
      </w:r>
      <w:r>
        <w:t xml:space="preserve"> — CI relative (rétention urinaire).</w:t>
      </w:r>
    </w:p>
    <w:p>
      <w:pPr>
        <w:pStyle w:val="ListBullet"/>
      </w:pPr>
      <w:r/>
      <w:r>
        <w:rPr>
          <w:b/>
        </w:rPr>
        <w:t>Ictère cholestatique</w:t>
      </w:r>
      <w:r>
        <w:t xml:space="preserve"> — surveillance hépatique mensuelle les 3 premiers mois — arrêt définitif en cas d'ictère.</w:t>
      </w:r>
    </w:p>
    <w:p>
      <w:pPr>
        <w:pStyle w:val="ListBullet"/>
      </w:pPr>
      <w:r/>
      <w:r>
        <w:rPr>
          <w:b/>
        </w:rPr>
        <w:t>Leucopénie/agranulocytose</w:t>
      </w:r>
      <w:r>
        <w:t xml:space="preserve"> — surveillance NFS mensuelle les 3 premiers mois.</w:t>
      </w:r>
    </w:p>
    <w:p>
      <w:pPr>
        <w:pStyle w:val="ListBullet"/>
      </w:pPr>
      <w:r/>
      <w:r>
        <w:rPr>
          <w:b/>
        </w:rPr>
        <w:t>SMN</w:t>
      </w:r>
      <w:r>
        <w:t xml:space="preserve"> — urgence vitale.</w:t>
      </w:r>
    </w:p>
    <w:p>
      <w:pPr>
        <w:pStyle w:val="ListBullet"/>
      </w:pPr>
      <w:r/>
      <w:r>
        <w:rPr>
          <w:b/>
        </w:rPr>
        <w:t>Dyskinésie tardive</w:t>
      </w:r>
      <w:r>
        <w:t xml:space="preserve"> — potentiellement irréversible.</w:t>
      </w:r>
    </w:p>
    <w:p>
      <w:pPr>
        <w:pStyle w:val="ListBullet"/>
      </w:pPr>
      <w:r/>
      <w:r>
        <w:rPr>
          <w:b/>
        </w:rPr>
        <w:t>Allongement QT</w:t>
      </w:r>
      <w:r>
        <w:t xml:space="preserve"> — surveillance ECG, surtout à dose élevée ou association.</w:t>
      </w:r>
    </w:p>
    <w:p>
      <w:pPr>
        <w:pStyle w:val="ListBullet"/>
      </w:pPr>
      <w:r/>
      <w:r>
        <w:rPr>
          <w:b/>
        </w:rPr>
        <w:t>Maladie de Parkinson / Démence à corps de Lewy</w:t>
      </w:r>
      <w:r>
        <w:t xml:space="preserve"> — CI absolue.</w:t>
      </w:r>
    </w:p>
    <w:p>
      <w:pPr>
        <w:pStyle w:val="ListBullet"/>
      </w:pPr>
      <w:r/>
      <w:r>
        <w:rPr>
          <w:b/>
        </w:rPr>
        <w:t>Association avec lévodopa/agonistes dopaminergiques</w:t>
      </w:r>
      <w:r>
        <w:t xml:space="preserve"> — CI absolue (antagonisme pharmacodynamique).</w:t>
      </w:r>
    </w:p>
    <w:p>
      <w:pPr>
        <w:pStyle w:val="ListBullet"/>
      </w:pPr>
      <w:r/>
      <w:r>
        <w:rPr>
          <w:b/>
        </w:rPr>
        <w:t>Association avec allongeurs de QT</w:t>
      </w:r>
      <w:r>
        <w:t xml:space="preserve"> — CI absolue.</w:t>
      </w:r>
    </w:p>
    <w:p>
      <w:pPr>
        <w:pStyle w:val="ListBullet"/>
      </w:pPr>
      <w:r/>
      <w:r>
        <w:rPr>
          <w:b/>
        </w:rPr>
        <w:t>Adrénaline déconseillée en cas d'hypotension</w:t>
      </w:r>
      <w:r>
        <w:t xml:space="preserve"> — préférer noradrénaline (effet β2 paradoxal vasodilatateur de l'adrénaline en cas de blocage α1).</w:t>
      </w:r>
    </w:p>
    <w:p>
      <w:pPr>
        <w:pStyle w:val="ListBullet"/>
      </w:pPr>
      <w:r>
        <w:t>Règle de prise :</w:t>
      </w:r>
    </w:p>
    <w:p>
      <w:pPr>
        <w:pStyle w:val="ListBullet"/>
      </w:pPr>
      <w:r>
        <w:t>Pendant les repas.</w:t>
      </w:r>
    </w:p>
    <w:p>
      <w:pPr>
        <w:pStyle w:val="ListBullet"/>
      </w:pPr>
      <w:r>
        <w:t>Prise du soir privilégiée pour la dose la plus élevée.</w:t>
      </w:r>
    </w:p>
    <w:p>
      <w:pPr>
        <w:pStyle w:val="ListBullet"/>
      </w:pPr>
      <w:r>
        <w:t>Hydratation 1,5-2 L/j.</w:t>
      </w:r>
    </w:p>
    <w:p>
      <w:pPr>
        <w:pStyle w:val="ListBullet"/>
      </w:pPr>
      <w:r>
        <w:t>Protection solaire.</w:t>
      </w:r>
    </w:p>
    <w:p>
      <w:pPr>
        <w:pStyle w:val="ListBullet"/>
      </w:pPr>
      <w:r>
        <w:t>Lutte contre la constipation (fibres, eau, laxatif).</w:t>
      </w:r>
    </w:p>
    <w:p>
      <w:pPr>
        <w:pStyle w:val="ListBullet"/>
      </w:pPr>
      <w:r>
        <w:t>Lever progressif.</w:t>
      </w:r>
    </w:p>
    <w:p>
      <w:pPr>
        <w:pStyle w:val="ListBullet"/>
      </w:pPr>
      <w:r>
        <w:t>Éviter l'alcool et le pamplemousse.</w:t>
      </w:r>
    </w:p>
    <w:p>
      <w:pPr>
        <w:pStyle w:val="ListBullet"/>
      </w:pPr>
      <w:r>
        <w:t>Préparation et Conservation :</w:t>
      </w:r>
    </w:p>
    <w:p>
      <w:pPr>
        <w:pStyle w:val="ListBullet"/>
      </w:pPr>
      <w:r>
        <w:t>Comprimés : température ambiante &lt; 25 °C, à l'abri de l'humidité et de la lumière.</w:t>
      </w:r>
    </w:p>
    <w:p>
      <w:pPr>
        <w:pStyle w:val="ListBullet"/>
      </w:pPr>
      <w:r>
        <w:t>Solution buvable : flacon bien fermé, &lt; 25 °C, à l'abri de la lumière, conservation après ouverture selon RCP (généralement 6 mois).</w:t>
      </w:r>
    </w:p>
    <w:p>
      <w:pPr>
        <w:pStyle w:val="ListBullet"/>
      </w:pPr>
      <w:r>
        <w:t>Solution injectable : ampoules &lt; 25 °C, à l'abri de la lumière, ne pas congeler. Ne pas utiliser si la solution est trouble ou colorée.</w:t>
      </w:r>
    </w:p>
    <w:p>
      <w:pPr>
        <w:pStyle w:val="ListBullet"/>
      </w:pPr>
      <w:r>
        <w:t>Piège du surdosage / Substitution :</w:t>
      </w:r>
    </w:p>
    <w:p>
      <w:pPr>
        <w:pStyle w:val="ListBullet"/>
      </w:pPr>
      <w:r/>
      <w:r>
        <w:rPr>
          <w:b/>
        </w:rPr>
        <w:t>Surdosage aigu</w:t>
      </w:r>
      <w:r>
        <w:t xml:space="preserve"> : somnolence sévère, hypotension, EPS sévères, allongement QT, convulsions, coma — traitement symptomatique en réanimation (pas d'antidote spécifique — </w:t>
      </w:r>
      <w:r>
        <w:rPr>
          <w:b/>
        </w:rPr>
        <w:t>préférer la noradrénaline</w:t>
      </w:r>
      <w:r>
        <w:t xml:space="preserve"> à l'adrénaline en cas d'hypotension).</w:t>
      </w:r>
    </w:p>
    <w:p>
      <w:pPr>
        <w:pStyle w:val="ListBullet"/>
      </w:pPr>
      <w:r/>
      <w:r>
        <w:rPr>
          <w:b/>
        </w:rPr>
        <w:t>Substitution princeps ↔ générique</w:t>
      </w:r>
      <w:r>
        <w:t xml:space="preserve"> : autorisée mais surveillance clinique et ECG dans les semaines suivant le switch.</w:t>
      </w:r>
    </w:p>
    <w:p>
      <w:pPr>
        <w:pStyle w:val="Heading3"/>
      </w:pPr>
      <w:r>
        <w:t>3. DCI : Lévomépromazine (Seule)</w:t>
      </w:r>
    </w:p>
    <w:p>
      <w:r/>
      <w:r>
        <w:rPr>
          <w:b/>
        </w:rPr>
        <w:t>Liste des Catégories :</w:t>
      </w:r>
      <w:r>
        <w:t xml:space="preserve"> Antipsychotique typique (1re génération) — Phénothiazine aliphatique — Antagoniste compétitif des récepteurs dopaminergiques D2, α1-adrénergiques, H1-histaminiques et muscariniques M1 — Schizophrénie chronique avec composante anxieuse, soins palliatifs (antalgie centrale, sédation terminale, confusion terminale) — Liste I — Formes orales (comprimés 25 et 100 mg, solution buvable 4 % gttes) — Délivrance sur ordonnance.</w:t>
      </w:r>
    </w:p>
    <w:p>
      <w:r>
        <w:t xml:space="preserve">La </w:t>
      </w:r>
      <w:r>
        <w:rPr>
          <w:b/>
        </w:rPr>
        <w:t>lévomépromazine</w:t>
      </w:r>
      <w:r>
        <w:t xml:space="preserve"> (Nozinan® — Biopharm en Algérie) est l'</w:t>
      </w:r>
      <w:r>
        <w:rPr>
          <w:b/>
        </w:rPr>
        <w:t>énantiomère lévogyre</w:t>
      </w:r>
      <w:r>
        <w:t xml:space="preserve"> de la </w:t>
      </w:r>
      <w:r>
        <w:rPr>
          <w:b/>
        </w:rPr>
        <w:t>méthopromazine</w:t>
      </w:r>
      <w:r>
        <w:t xml:space="preserve"> (racémique) — phénothiazine aliphatique dont la structure diffère de la chlorpromazine par la présence d'un </w:t>
      </w:r>
      <w:r>
        <w:rPr>
          <w:b/>
        </w:rPr>
        <w:t>groupement méthoxy</w:t>
      </w:r>
      <w:r>
        <w:t xml:space="preserve"> en position 2 du noyau phénothiazine et d'une </w:t>
      </w:r>
      <w:r>
        <w:rPr>
          <w:b/>
        </w:rPr>
        <w:t>chaîne diméthylamino-2-méthylpropyle</w:t>
      </w:r>
      <w:r>
        <w:t xml:space="preserve"> en position 10. Cette modification structurale lui confère un </w:t>
      </w:r>
      <w:r>
        <w:rPr>
          <w:b/>
        </w:rPr>
        <w:t>profil pharmacologique proche de la chlorpromazine</w:t>
      </w:r>
      <w:r>
        <w:t xml:space="preserve"> mais avec une </w:t>
      </w:r>
      <w:r>
        <w:rPr>
          <w:b/>
        </w:rPr>
        <w:t>puissance antipsychotique légèrement supérieure</w:t>
      </w:r>
      <w:r>
        <w:t xml:space="preserve"> (dose efficace 25-200 mg/j per os, soit environ 2-4 fois plus puissante que la chlorpromazine par mg) et une </w:t>
      </w:r>
      <w:r>
        <w:rPr>
          <w:b/>
        </w:rPr>
        <w:t>sédation plus profonde</w:t>
      </w:r>
      <w:r>
        <w:t xml:space="preserve"> (effet H1 marqué). La lévomépromazine est particulièrement utilisée en Algérie dans deux indications principales : (i) </w:t>
      </w:r>
      <w:r>
        <w:rPr>
          <w:b/>
        </w:rPr>
        <w:t>schizophrénie chronique</w:t>
      </w:r>
      <w:r>
        <w:t xml:space="preserve"> avec composante anxieuse, dépressive, ou résistance aux autres typiques (effet sédatif utile, modulation des symptômes négatifs et positifs) ; (ii) </w:t>
      </w:r>
      <w:r>
        <w:rPr>
          <w:b/>
        </w:rPr>
        <w:t>soins palliatifs</w:t>
      </w:r>
      <w:r>
        <w:t xml:space="preserve"> où sa triple action </w:t>
      </w:r>
      <w:r>
        <w:rPr>
          <w:b/>
        </w:rPr>
        <w:t>antalgie centrale</w:t>
      </w:r>
      <w:r>
        <w:t xml:space="preserve"> (blocage D2 et H1 — action sur composante émotionnelle de la douleur), </w:t>
      </w:r>
      <w:r>
        <w:rPr>
          <w:b/>
        </w:rPr>
        <w:t>sédation</w:t>
      </w:r>
      <w:r>
        <w:t xml:space="preserve"> (effet H1), et </w:t>
      </w:r>
      <w:r>
        <w:rPr>
          <w:b/>
        </w:rPr>
        <w:t>anxiolyse</w:t>
      </w:r>
      <w:r>
        <w:t xml:space="preserve"> (effet D2 mésolimbique) en fait une molécule de référence pour la sédation terminale, le contrôle de la confusion terminale (delirium en soins palliatifs), et l'antalgie des douleurs neuropathiques réfractaires. Sa disponibilité en </w:t>
      </w:r>
      <w:r>
        <w:rPr>
          <w:b/>
        </w:rPr>
        <w:t>solution buvable en gouttes 4 %</w:t>
      </w:r>
      <w:r>
        <w:t xml:space="preserve"> (1 mL = 40 mg, 1 goutte ≈ 2 mg) permet une titration fine et une administration aisée chez le sujet âgé, en soins palliatifs (administration sous-cutanée possible — hors AMM en France mais pratique courante). En Algérie, la lévomépromazine est disponible sous 5 marques (4 actives + 1 non renouvelable) — comprimés 25 et 100 mg, solution buvable en gouttes 4 %. La forme injectable IM (NOZINAN Biopharm) est aujourd'hui </w:t>
      </w:r>
      <w:r>
        <w:rPr>
          <w:b/>
        </w:rPr>
        <w:t>non renouvelable</w:t>
      </w:r>
      <w:r>
        <w:t xml:space="preserve"> en Algérie.</w:t>
      </w:r>
    </w:p>
    <w:p>
      <w:r/>
      <w:r>
        <w:rPr>
          <w:b/>
        </w:rPr>
        <w:t>Médicaments disponibles en Algérie (Marques, Laboratoires, Formes et Dosages) :</w:t>
      </w:r>
      <w:r/>
    </w:p>
    <w:p>
      <w:pPr>
        <w:pStyle w:val="ListBullet"/>
      </w:pPr>
      <w:r/>
      <w:r>
        <w:rPr>
          <w:b/>
        </w:rPr>
        <w:t>NOZINAN</w:t>
      </w:r>
      <w:r>
        <w:t xml:space="preserve"> (BIOPHARM)</w:t>
      </w:r>
    </w:p>
    <w:p>
      <w:pPr>
        <w:pStyle w:val="ListBullet"/>
      </w:pPr>
      <w:r>
        <w:t>Formes et Dosages : Comprimé pelliculé sécable 25 mg — Boîte de 20 ; Comprimé pelliculé sécable 100 mg — Boîte de 20 ; Solution buvable en gouttes 4 % — Flacon de 30 mL avec compte-gouttes ; Solution injectable 25 mg/mL — Boîte de 5 ampoules.</w:t>
      </w:r>
    </w:p>
    <w:p>
      <w:pPr>
        <w:pStyle w:val="ListBullet"/>
      </w:pPr>
      <w:r>
        <w:t>Statut : Comprimés Actif (LISTE I) ; Solution buvable Actif (LISTE I) ; Solution injectable Non Renouvelable — princeps historique de la molécule en Algérie.</w:t>
      </w:r>
    </w:p>
    <w:p>
      <w:pPr>
        <w:pStyle w:val="ListBullet"/>
      </w:pPr>
      <w:r/>
      <w:r>
        <w:rPr>
          <w:b/>
        </w:rPr>
        <w:t>BIOZINAN BR</w:t>
      </w:r>
      <w:r>
        <w:t xml:space="preserve"> (SARL BIOREM)</w:t>
      </w:r>
    </w:p>
    <w:p>
      <w:pPr>
        <w:pStyle w:val="ListBullet"/>
      </w:pPr>
      <w:r>
        <w:t>Formes et Dosages : Comprimé pelliculé 25 mg — Boîte de 20 ; Comprimé pelliculé 100 mg — Boîte de 20.</w:t>
      </w:r>
    </w:p>
    <w:p>
      <w:pPr>
        <w:pStyle w:val="ListBullet"/>
      </w:pPr>
      <w:r>
        <w:t>Statut : Actif (LISTE I).</w:t>
      </w:r>
    </w:p>
    <w:p>
      <w:pPr>
        <w:pStyle w:val="ListBullet"/>
      </w:pPr>
      <w:r/>
      <w:r>
        <w:rPr>
          <w:b/>
        </w:rPr>
        <w:t>LEVONON BGL</w:t>
      </w:r>
      <w:r>
        <w:t xml:space="preserve"> (BIOGALENIC)</w:t>
      </w:r>
    </w:p>
    <w:p>
      <w:pPr>
        <w:pStyle w:val="ListBullet"/>
      </w:pPr>
      <w:r>
        <w:t>Formes et Dosages : Comprimé pelliculé sécable 25 mg — Boîte de 20 ; Comprimé pelliculé sécable 100 mg — Boîte de 20 ; Solution buvable en gouttes 4 % — Flacon de 30 mL avec compte-gouttes.</w:t>
      </w:r>
    </w:p>
    <w:p>
      <w:pPr>
        <w:pStyle w:val="ListBullet"/>
      </w:pPr>
      <w:r>
        <w:t>Statut : Actif (LISTE I).</w:t>
      </w:r>
    </w:p>
    <w:p>
      <w:pPr>
        <w:pStyle w:val="ListBullet"/>
      </w:pPr>
      <w:r/>
      <w:r>
        <w:rPr>
          <w:b/>
        </w:rPr>
        <w:t>NOVAZIN</w:t>
      </w:r>
      <w:r>
        <w:t xml:space="preserve"> (INDUSTRIA FARMACEUTICA NOVA ARGENTIA SPA / NOVA ARGENTIA)</w:t>
      </w:r>
    </w:p>
    <w:p>
      <w:pPr>
        <w:pStyle w:val="ListBullet"/>
      </w:pPr>
      <w:r>
        <w:t>Formes et Dosages : Comprimé enrobé 100 mg — Boîte de 20 et Boîte de 500 ; Comprimé pelliculé 25 mg — Boîte de 20.</w:t>
      </w:r>
    </w:p>
    <w:p>
      <w:pPr>
        <w:pStyle w:val="ListBullet"/>
      </w:pPr>
      <w:r>
        <w:t>Statut : Comprimé 100 mg Actif (LISTE I) ; Comprimé 25 mg Non Renouvelable.</w:t>
      </w:r>
    </w:p>
    <w:p>
      <w:pPr>
        <w:pStyle w:val="ListBullet"/>
      </w:pPr>
      <w:r/>
      <w:r>
        <w:rPr>
          <w:b/>
        </w:rPr>
        <w:t>LEVOZAN</w:t>
      </w:r>
      <w:r>
        <w:t xml:space="preserve"> (SARL GROUPE SANTE)</w:t>
      </w:r>
    </w:p>
    <w:p>
      <w:pPr>
        <w:pStyle w:val="ListBullet"/>
      </w:pPr>
      <w:r>
        <w:t>Formes et Dosages : Solution buvable en gouttes 4 % — Flacon de 30 mL avec compte-gouttes.</w:t>
      </w:r>
    </w:p>
    <w:p>
      <w:pPr>
        <w:pStyle w:val="ListBullet"/>
      </w:pPr>
      <w:r>
        <w:t>Statut : Actif (LISTE I).</w:t>
      </w:r>
    </w:p>
    <w:p>
      <w:r/>
      <w:r>
        <w:rPr>
          <w:b/>
        </w:rPr>
        <w:t>Note nomenclature</w:t>
      </w:r>
      <w:r>
        <w:t xml:space="preserve"> : À Avril 2026, la lévomépromazine est disponible en Algérie sous forme de </w:t>
      </w:r>
      <w:r>
        <w:rPr>
          <w:b/>
        </w:rPr>
        <w:t>comprimés 25 et 100 mg</w:t>
      </w:r>
      <w:r>
        <w:t xml:space="preserve"> (3 marques actives), de </w:t>
      </w:r>
      <w:r>
        <w:rPr>
          <w:b/>
        </w:rPr>
        <w:t>solution buvable en gouttes 4 %</w:t>
      </w:r>
      <w:r>
        <w:t xml:space="preserve"> (3 marques actives), et de </w:t>
      </w:r>
      <w:r>
        <w:rPr>
          <w:b/>
        </w:rPr>
        <w:t>solution injectable IM 25 mg/mL</w:t>
      </w:r>
      <w:r>
        <w:t xml:space="preserve"> (NOZINAN Biopharm — non renouvelable, principalement usage hospitalier). La solution buvable est la forme la plus polyvalente — utile en pédiatrie, gériatrie, et soins palliatifs (administration sous-cutanée possible).</w:t>
      </w:r>
    </w:p>
    <w:p>
      <w:r/>
      <w:r>
        <w:rPr>
          <w:b/>
        </w:rPr>
        <w:t>Sous-classe et Mécanisme d'action :</w:t>
      </w:r>
      <w:r/>
    </w:p>
    <w:p>
      <w:pPr>
        <w:pStyle w:val="ListBullet"/>
      </w:pPr>
      <w:r>
        <w:t xml:space="preserve">Sous-classe : </w:t>
      </w:r>
      <w:r>
        <w:rPr>
          <w:b/>
        </w:rPr>
        <w:t>Phénothiazine aliphatique — antipsychotique typique de 1re génération, puissance modérée à élevée (« sédatif-hypotenseur profond »)</w:t>
      </w:r>
      <w:r>
        <w:t xml:space="preserve"> — positionnée en psychiatrie pour le traitement des </w:t>
      </w:r>
      <w:r>
        <w:rPr>
          <w:b/>
        </w:rPr>
        <w:t>psychoses chroniques avec composante anxieuse ou dépressive</w:t>
      </w:r>
      <w:r>
        <w:t>, en soins palliatifs (</w:t>
      </w:r>
      <w:r>
        <w:rPr>
          <w:b/>
        </w:rPr>
        <w:t>antalgie centrale, sédation terminale, confusion terminale</w:t>
      </w:r>
      <w:r>
        <w:t xml:space="preserve">), et en médecine générale pour les </w:t>
      </w:r>
      <w:r>
        <w:rPr>
          <w:b/>
        </w:rPr>
        <w:t>douleurs neuropathiques réfractaires</w:t>
      </w:r>
      <w:r>
        <w:t xml:space="preserve"> (en association). Profil pharmacologique proche de la chlorpromazine mais avec une </w:t>
      </w:r>
      <w:r>
        <w:rPr>
          <w:b/>
        </w:rPr>
        <w:t>puissance antipsychotique légèrement supérieure</w:t>
      </w:r>
      <w:r>
        <w:t xml:space="preserve"> et une </w:t>
      </w:r>
      <w:r>
        <w:rPr>
          <w:b/>
        </w:rPr>
        <w:t>sédation plus profonde</w:t>
      </w:r>
      <w:r>
        <w:t>.</w:t>
      </w:r>
    </w:p>
    <w:p>
      <w:pPr>
        <w:pStyle w:val="ListBullet"/>
      </w:pPr>
      <w:r>
        <w:t xml:space="preserve">Mécanisme d'action : la lévomépromazine est un </w:t>
      </w:r>
      <w:r>
        <w:rPr>
          <w:b/>
        </w:rPr>
        <w:t>antagoniste compétitif plurirécepteur</w:t>
      </w:r>
      <w:r>
        <w:t xml:space="preserve"> des récepteurs D2, α1, H1, M1, 5-HT2A/2C — profil comparable à la chlorpromazine. Le blocage D2 mésolimbique → réduction des symptômes positifs (effet antipsychotique) ; le blocage H1 → </w:t>
      </w:r>
      <w:r>
        <w:rPr>
          <w:b/>
        </w:rPr>
        <w:t>sédation profonde</w:t>
      </w:r>
      <w:r>
        <w:t xml:space="preserve"> (effet anesthésique central modéré — utile en soins palliatifs) ; le blocage D2 et H1 → </w:t>
      </w:r>
      <w:r>
        <w:rPr>
          <w:b/>
        </w:rPr>
        <w:t>antalgie centrale</w:t>
      </w:r>
      <w:r>
        <w:t xml:space="preserve"> (action sur composante émotionnelle de la douleur, modulation thalamo-corticale de la perception douloureuse) ; le blocage α1 → hypotension orthostatique ; le blocage M1 → effets anticholinergiques. La lévomépromazine est métabolisée par le foie (CYP2D6 principalement) en métabolites actifs (sulfoxyde, N-désméthyl). La demi-vie d'élimination est de </w:t>
      </w:r>
      <w:r>
        <w:rPr>
          <w:b/>
        </w:rPr>
        <w:t>15-30 h</w:t>
      </w:r>
      <w:r>
        <w:t>, permettant une monoprise journalière chez le patient stabilisé. La biodisponibilité orale est modeste (20-50 %) en raison du métabolisme de premier passage hépatique. La fixation protéique est élevée (90 %).</w:t>
      </w:r>
    </w:p>
    <w:p>
      <w:r/>
      <w:r>
        <w:rPr>
          <w:b/>
        </w:rPr>
        <w:t>Profil Pharmacologique :</w:t>
      </w:r>
      <w:r/>
    </w:p>
    <w:p>
      <w:pPr>
        <w:pStyle w:val="ListBullet"/>
      </w:pPr>
      <w:r>
        <w:t>Indications :</w:t>
      </w:r>
    </w:p>
    <w:p>
      <w:pPr>
        <w:pStyle w:val="ListBullet"/>
      </w:pPr>
      <w:r/>
      <w:r>
        <w:rPr>
          <w:b/>
        </w:rPr>
        <w:t>Schizophrénie chronique</w:t>
      </w:r>
      <w:r>
        <w:t xml:space="preserve"> avec composante anxieuse, dépressive, ou résistance aux autres typiques — 25-200 mg/j per os.</w:t>
      </w:r>
    </w:p>
    <w:p>
      <w:pPr>
        <w:pStyle w:val="ListBullet"/>
      </w:pPr>
      <w:r/>
      <w:r>
        <w:rPr>
          <w:b/>
        </w:rPr>
        <w:t>Soins palliatifs</w:t>
      </w:r>
      <w:r>
        <w:t xml:space="preserve"> : antalgie centrale (blocage D2 et H1 — action sur composante émotionnelle de la douleur), sédation terminale (en cas d'agonie agitée, détresse respiratoire réfractaire), confusion terminale (delirium en soins palliatifs) — posologie 25-100 mg/j per os ou SC.</w:t>
      </w:r>
    </w:p>
    <w:p>
      <w:pPr>
        <w:pStyle w:val="ListBullet"/>
      </w:pPr>
      <w:r/>
      <w:r>
        <w:rPr>
          <w:b/>
        </w:rPr>
        <w:t>Troubles du comportement</w:t>
      </w:r>
      <w:r>
        <w:t xml:space="preserve"> chez le sujet âgé dément (à dose minimale, prudence en raison du signal FDA/EMA de surmortalité — uniquement en dernière intention).</w:t>
      </w:r>
    </w:p>
    <w:p>
      <w:pPr>
        <w:pStyle w:val="ListBullet"/>
      </w:pPr>
      <w:r/>
      <w:r>
        <w:rPr>
          <w:b/>
        </w:rPr>
        <w:t>Douleur neuropathique</w:t>
      </w:r>
      <w:r>
        <w:t xml:space="preserve"> réfractaire (en association avec les antidépresseurs tricycliques et les anticonvulsivants).</w:t>
      </w:r>
    </w:p>
    <w:p>
      <w:pPr>
        <w:pStyle w:val="ListBullet"/>
      </w:pPr>
      <w:r>
        <w:t>Contre-indications :</w:t>
      </w:r>
    </w:p>
    <w:p>
      <w:pPr>
        <w:pStyle w:val="ListBullet"/>
      </w:pPr>
      <w:r>
        <w:t>(i) Hypersensibilité à la lévomépromazine ou aux phénothiazines.</w:t>
      </w:r>
    </w:p>
    <w:p>
      <w:pPr>
        <w:pStyle w:val="ListBullet"/>
      </w:pPr>
      <w:r>
        <w:t xml:space="preserve">(ii) </w:t>
      </w:r>
      <w:r>
        <w:rPr>
          <w:b/>
        </w:rPr>
        <w:t>Maladie de Parkinson</w:t>
      </w:r>
      <w:r>
        <w:t xml:space="preserve"> — CI absolue.</w:t>
      </w:r>
    </w:p>
    <w:p>
      <w:pPr>
        <w:pStyle w:val="ListBullet"/>
      </w:pPr>
      <w:r>
        <w:t xml:space="preserve">(iii) </w:t>
      </w:r>
      <w:r>
        <w:rPr>
          <w:b/>
        </w:rPr>
        <w:t>Démence à corps de Lewy</w:t>
      </w:r>
      <w:r>
        <w:t xml:space="preserve"> — CI absolue.</w:t>
      </w:r>
    </w:p>
    <w:p>
      <w:pPr>
        <w:pStyle w:val="ListBullet"/>
      </w:pPr>
      <w:r>
        <w:t xml:space="preserve">(iv) </w:t>
      </w:r>
      <w:r>
        <w:rPr>
          <w:b/>
        </w:rPr>
        <w:t>Syndrome malin des neuroleptiques (SMN)</w:t>
      </w:r>
      <w:r>
        <w:t xml:space="preserve"> personnel antérieur.</w:t>
      </w:r>
    </w:p>
    <w:p>
      <w:pPr>
        <w:pStyle w:val="ListBullet"/>
      </w:pPr>
      <w:r>
        <w:t xml:space="preserve">(v) </w:t>
      </w:r>
      <w:r>
        <w:rPr>
          <w:b/>
        </w:rPr>
        <w:t>Allongement préexistant du QT</w:t>
      </w:r>
      <w:r>
        <w:t xml:space="preserve"> — CI absolue.</w:t>
      </w:r>
    </w:p>
    <w:p>
      <w:pPr>
        <w:pStyle w:val="ListBullet"/>
      </w:pPr>
      <w:r>
        <w:t xml:space="preserve">(vi) </w:t>
      </w:r>
      <w:r>
        <w:rPr>
          <w:b/>
        </w:rPr>
        <w:t>Association avec d'autres allongeurs de QT</w:t>
      </w:r>
      <w:r>
        <w:t xml:space="preserve"> — CI absolue.</w:t>
      </w:r>
    </w:p>
    <w:p>
      <w:pPr>
        <w:pStyle w:val="ListBullet"/>
      </w:pPr>
      <w:r>
        <w:t xml:space="preserve">(vii) </w:t>
      </w:r>
      <w:r>
        <w:rPr>
          <w:b/>
        </w:rPr>
        <w:t>Myasthénie</w:t>
      </w:r>
      <w:r>
        <w:t xml:space="preserve"> — CI absolue.</w:t>
      </w:r>
    </w:p>
    <w:p>
      <w:pPr>
        <w:pStyle w:val="ListBullet"/>
      </w:pPr>
      <w:r>
        <w:t xml:space="preserve">(viii) </w:t>
      </w:r>
      <w:r>
        <w:rPr>
          <w:b/>
        </w:rPr>
        <w:t>Hypertrophie bénigne de la prostate</w:t>
      </w:r>
      <w:r>
        <w:t xml:space="preserve"> sévère — CI relative.</w:t>
      </w:r>
    </w:p>
    <w:p>
      <w:pPr>
        <w:pStyle w:val="ListBullet"/>
      </w:pPr>
      <w:r>
        <w:t xml:space="preserve">(ix) </w:t>
      </w:r>
      <w:r>
        <w:rPr>
          <w:b/>
        </w:rPr>
        <w:t>Glaucome à angle fermé</w:t>
      </w:r>
      <w:r>
        <w:t xml:space="preserve"> — CI absolue.</w:t>
      </w:r>
    </w:p>
    <w:p>
      <w:pPr>
        <w:pStyle w:val="ListBullet"/>
      </w:pPr>
      <w:r>
        <w:t xml:space="preserve">(x) </w:t>
      </w:r>
      <w:r>
        <w:rPr>
          <w:b/>
        </w:rPr>
        <w:t>Insuffisance hépatique sévère</w:t>
      </w:r>
      <w:r>
        <w:t xml:space="preserve"> — CI absolue.</w:t>
      </w:r>
    </w:p>
    <w:p>
      <w:pPr>
        <w:pStyle w:val="ListBullet"/>
      </w:pPr>
      <w:r>
        <w:t xml:space="preserve">(xi) </w:t>
      </w:r>
      <w:r>
        <w:rPr>
          <w:b/>
        </w:rPr>
        <w:t>Épilepsie non contrôlée</w:t>
      </w:r>
      <w:r>
        <w:t>.</w:t>
      </w:r>
    </w:p>
    <w:p>
      <w:pPr>
        <w:pStyle w:val="ListBullet"/>
      </w:pPr>
      <w:r>
        <w:t xml:space="preserve">(xii) </w:t>
      </w:r>
      <w:r>
        <w:rPr>
          <w:b/>
        </w:rPr>
        <w:t>Phéochromocytome</w:t>
      </w:r>
      <w:r>
        <w:t>.</w:t>
      </w:r>
    </w:p>
    <w:p>
      <w:pPr>
        <w:pStyle w:val="ListBullet"/>
      </w:pPr>
      <w:r>
        <w:t xml:space="preserve">(xiii) </w:t>
      </w:r>
      <w:r>
        <w:rPr>
          <w:b/>
        </w:rPr>
        <w:t>Association avec lévodopa/agonistes dopaminergiques</w:t>
      </w:r>
      <w:r>
        <w:t xml:space="preserve"> — CI absolue.</w:t>
      </w:r>
    </w:p>
    <w:p>
      <w:pPr>
        <w:pStyle w:val="ListBullet"/>
      </w:pPr>
      <w:r>
        <w:t xml:space="preserve">(xiv) </w:t>
      </w:r>
      <w:r>
        <w:rPr>
          <w:b/>
        </w:rPr>
        <w:t>Allaitement</w:t>
      </w:r>
      <w:r>
        <w:t xml:space="preserve"> à dose élevée au long cours — discuter.</w:t>
      </w:r>
    </w:p>
    <w:p>
      <w:pPr>
        <w:pStyle w:val="ListBullet"/>
      </w:pPr>
      <w:r>
        <w:t>Effets Indésirables :</w:t>
      </w:r>
    </w:p>
    <w:p>
      <w:pPr>
        <w:pStyle w:val="ListBullet"/>
      </w:pPr>
      <w:r/>
      <w:r>
        <w:rPr>
          <w:b/>
        </w:rPr>
        <w:t>Très fréquents (≥ 1/10)</w:t>
      </w:r>
      <w:r>
        <w:t xml:space="preserve"> : sédation profonde, hypotension orthostatique (parfois sévère), sécheresse buccale, constipation (risque d'occlusion paralytique), prise de poids (modérée à marquée), troubles de l'accommodation, akathisie, parkinsonisme.</w:t>
      </w:r>
    </w:p>
    <w:p>
      <w:pPr>
        <w:pStyle w:val="ListBullet"/>
      </w:pPr>
      <w:r/>
      <w:r>
        <w:rPr>
          <w:b/>
        </w:rPr>
        <w:t>Fréquents (≥ 1/100 à &lt; 1/10)</w:t>
      </w:r>
      <w:r>
        <w:t xml:space="preserve"> : dystonie aiguë, dyskinésie tardive, hyperprolactinémie, tachycardie sinusale, réactions cutanées (photosensibilité), hypothermie (surtout sujet âgé).</w:t>
      </w:r>
    </w:p>
    <w:p>
      <w:pPr>
        <w:pStyle w:val="ListBullet"/>
      </w:pPr>
      <w:r/>
      <w:r>
        <w:rPr>
          <w:b/>
        </w:rPr>
        <w:t>Peu fréquents (≥ 1/1000 à &lt; 1/100)</w:t>
      </w:r>
      <w:r>
        <w:t xml:space="preserve"> : SMN (urgence vitale), allongement de l'espace QT, convulsions, rétention urinaire, troubles hépatiques (cytolyse, cholestase), leucopénie, agranulocytose.</w:t>
      </w:r>
    </w:p>
    <w:p>
      <w:pPr>
        <w:pStyle w:val="ListBullet"/>
      </w:pPr>
      <w:r/>
      <w:r>
        <w:rPr>
          <w:b/>
        </w:rPr>
        <w:t>Rares (≥ 1/10000 à &lt; 1/1000)</w:t>
      </w:r>
      <w:r>
        <w:t xml:space="preserve"> : syndrome de Stevens-Johnson, nécrolyse épidermique toxique (Lyell), réactions anaphylactiques, hépatite fulminante, aplasie médullaire.</w:t>
      </w:r>
    </w:p>
    <w:p>
      <w:pPr>
        <w:pStyle w:val="ListBullet"/>
      </w:pPr>
      <w:r/>
      <w:r>
        <w:rPr>
          <w:b/>
        </w:rPr>
        <w:t>Particularité</w:t>
      </w:r>
      <w:r>
        <w:t xml:space="preserve"> : la lévomépromazine expose à un risque d'</w:t>
      </w:r>
      <w:r>
        <w:rPr>
          <w:b/>
        </w:rPr>
        <w:t>hypothermie</w:t>
      </w:r>
      <w:r>
        <w:t xml:space="preserve"> plus marqué que la chlorpromazine (effet H1 et D2 hypothalamique) — surveillance température chez le sujet âgé.</w:t>
      </w:r>
    </w:p>
    <w:p>
      <w:r/>
      <w:r>
        <w:rPr>
          <w:b/>
        </w:rPr>
        <w:t>Prévention et Gestion des Effets Indésirables :</w:t>
      </w:r>
      <w:r/>
    </w:p>
    <w:p>
      <w:pPr>
        <w:pStyle w:val="ListBullet"/>
      </w:pPr>
      <w:r>
        <w:t>Mesures Préventives : profil identique à la chlorpromazine — dose minimale efficace (25-50 mg/j en initiation, titration lente par paliers de 25 mg tous les 7 jours), surveillance EPS, ECG, température (SMN, hypothermie), biologie (NFS, hépatique, prolactinémie), hydratation, protection solaire, lutte contre la constipation, lever progressif. En soins palliatifs : titration progressive selon la douleur/sédation, surveillance PA (risque d'hypotension sévère chez le patient palliatif déshydraté).</w:t>
      </w:r>
    </w:p>
    <w:p>
      <w:pPr>
        <w:pStyle w:val="ListBullet"/>
      </w:pPr>
      <w:r>
        <w:t>Conduite à Tenir : identique à la chlorpromazine — arrêt immédiat en cas de SMN, dystonie aiguë (bipéridène IM/IV), hypothermie sévère (réchauffement progressif), allongement QT, rétention urinaire, occlusion paralytique, ictère cholestatique, agranulocytose. En soins palliatifs : adaptation posologique selon la tolérance, switch vers un autre antipsychotique ou antalgique si EI limitant.</w:t>
      </w:r>
    </w:p>
    <w:p>
      <w:r/>
      <w:r>
        <w:rPr>
          <w:b/>
        </w:rPr>
        <w:t>Interactions Importantes :</w:t>
      </w:r>
      <w:r/>
    </w:p>
    <w:p>
      <w:pPr>
        <w:pStyle w:val="ListBullet"/>
      </w:pPr>
      <w:r>
        <w:t>Identiques à la chlorpromazine (lévomépromazine partage le profil d'interactions de la sous-classe des phénothiazines aliphatiques).</w:t>
      </w:r>
    </w:p>
    <w:p>
      <w:pPr>
        <w:pStyle w:val="ListBullet"/>
      </w:pPr>
      <w:r/>
      <w:r>
        <w:rPr>
          <w:b/>
        </w:rPr>
        <w:t>Lévomépromazine + lévodopa/agonistes dopaminergiques</w:t>
      </w:r>
      <w:r>
        <w:t xml:space="preserve"> : CI absolue (antagonisme pharmacodynamique).</w:t>
      </w:r>
    </w:p>
    <w:p>
      <w:pPr>
        <w:pStyle w:val="ListBullet"/>
      </w:pPr>
      <w:r/>
      <w:r>
        <w:rPr>
          <w:b/>
        </w:rPr>
        <w:t>Lévomépromazine + allongeurs de QT</w:t>
      </w:r>
      <w:r>
        <w:t xml:space="preserve"> : CI absolue.</w:t>
      </w:r>
    </w:p>
    <w:p>
      <w:pPr>
        <w:pStyle w:val="ListBullet"/>
      </w:pPr>
      <w:r/>
      <w:r>
        <w:rPr>
          <w:b/>
        </w:rPr>
        <w:t>Lévomépromazine + dépresseurs du SNC</w:t>
      </w:r>
      <w:r>
        <w:t xml:space="preserve"> (alcool, benzodiazépines, opioïdes) : sédation additive, dépression respiratoire — </w:t>
      </w:r>
      <w:r>
        <w:rPr>
          <w:b/>
        </w:rPr>
        <w:t>attention particulière en soins palliatifs</w:t>
      </w:r>
      <w:r>
        <w:t xml:space="preserve"> (association fréquente avec les opioïdes — surveiller sédation et fréquence respiratoire).</w:t>
      </w:r>
    </w:p>
    <w:p>
      <w:pPr>
        <w:pStyle w:val="ListBullet"/>
      </w:pPr>
      <w:r/>
      <w:r>
        <w:rPr>
          <w:b/>
        </w:rPr>
        <w:t>Lévomépromazine + morphiniques</w:t>
      </w:r>
      <w:r>
        <w:t xml:space="preserve"> : potentialisation de l'antalgie (effet synergique sur la composante émotionnelle de la douleur), mais majoration de la sédation et du risque de dépression respiratoire — adapter posologie, surveillance.</w:t>
      </w:r>
    </w:p>
    <w:p>
      <w:pPr>
        <w:pStyle w:val="ListBullet"/>
      </w:pPr>
      <w:r/>
      <w:r>
        <w:rPr>
          <w:b/>
        </w:rPr>
        <w:t>Lévomépromazine + antihypertenseurs</w:t>
      </w:r>
      <w:r>
        <w:t xml:space="preserve"> : potentialisation de l'hypotension orthostatique.</w:t>
      </w:r>
    </w:p>
    <w:p>
      <w:pPr>
        <w:pStyle w:val="ListBullet"/>
      </w:pPr>
      <w:r/>
      <w:r>
        <w:rPr>
          <w:b/>
        </w:rPr>
        <w:t>Lévomépromazine + anticholinergiques</w:t>
      </w:r>
      <w:r>
        <w:t xml:space="preserve"> : potentialisation des effets anticholinergiques.</w:t>
      </w:r>
    </w:p>
    <w:p>
      <w:pPr>
        <w:pStyle w:val="ListBullet"/>
      </w:pPr>
      <w:r/>
      <w:r>
        <w:rPr>
          <w:b/>
        </w:rPr>
        <w:t>Lévomépromazine + inducteurs/inhibiteurs enzymatiques</w:t>
      </w:r>
      <w:r>
        <w:t xml:space="preserve"> : adapter posologie selon le métabolisme (CYP2D6).</w:t>
      </w:r>
    </w:p>
    <w:p>
      <w:r/>
      <w:r>
        <w:rPr>
          <w:b/>
        </w:rPr>
        <w:t>Grossesse et Allaitement :</w:t>
      </w:r>
      <w:r/>
    </w:p>
    <w:p>
      <w:pPr>
        <w:pStyle w:val="ListBullet"/>
      </w:pPr>
      <w:r>
        <w:t xml:space="preserve">Grossesse : selon le </w:t>
      </w:r>
      <w:r>
        <w:rPr>
          <w:b/>
        </w:rPr>
        <w:t>CRAT</w:t>
      </w:r>
      <w:r>
        <w:t xml:space="preserve">, la lévomépromazine a un </w:t>
      </w:r>
      <w:r>
        <w:rPr>
          <w:b/>
        </w:rPr>
        <w:t>recul limité</w:t>
      </w:r>
      <w:r>
        <w:t xml:space="preserve"> mais rassurant — aucune donnée d'augmentation du risque de malformations congénitales majeures. Cependant, en raison du profil </w:t>
      </w:r>
      <w:r>
        <w:rPr>
          <w:b/>
        </w:rPr>
        <w:t>sédatif profond</w:t>
      </w:r>
      <w:r>
        <w:t xml:space="preserve"> (effet H1), elle expose le nouveau-né à un risque de </w:t>
      </w:r>
      <w:r>
        <w:rPr>
          <w:b/>
        </w:rPr>
        <w:t>sédation néonatale marquée</w:t>
      </w:r>
      <w:r>
        <w:t xml:space="preserve">, hypotonie, troubles de la succion, en cas de prise jusqu'au 3e trimestre. Recommandations : si traitement nécessaire pendant la grossesse, </w:t>
      </w:r>
      <w:r>
        <w:rPr>
          <w:b/>
        </w:rPr>
        <w:t>privilégier l'halopéridol à dose minimale efficace</w:t>
      </w:r>
      <w:r>
        <w:t xml:space="preserve"> — la lévomépromazine est une option de 2e intention (en cas d'échec ou d'indisponibilité de l'halopéridol), à dose minimale, en évitant le 1er trimestre, surveiller le nouveau-né.</w:t>
      </w:r>
    </w:p>
    <w:p>
      <w:pPr>
        <w:pStyle w:val="ListBullet"/>
      </w:pPr>
      <w:r>
        <w:t xml:space="preserve">Allaitement : selon le </w:t>
      </w:r>
      <w:r>
        <w:rPr>
          <w:b/>
        </w:rPr>
        <w:t>CRAT</w:t>
      </w:r>
      <w:r>
        <w:t xml:space="preserve">, la lévomépromazine passe dans le lait maternel — la dose ingérée par le nourrisson est estimée à </w:t>
      </w:r>
      <w:r>
        <w:rPr>
          <w:b/>
        </w:rPr>
        <w:t>2-5 % de la dose maternelle pondérée par le poids</w:t>
      </w:r>
      <w:r>
        <w:t xml:space="preserve">. Aux doses thérapeutiques habituelles (25-200 mg/j), l'allaitement est </w:t>
      </w:r>
      <w:r>
        <w:rPr>
          <w:b/>
        </w:rPr>
        <w:t>déconseillé</w:t>
      </w:r>
      <w:r>
        <w:t xml:space="preserve"> en raison du risque de </w:t>
      </w:r>
      <w:r>
        <w:rPr>
          <w:b/>
        </w:rPr>
        <w:t>sédation néonatale marquée, hypotonie, troubles de la succion</w:t>
      </w:r>
      <w:r>
        <w:t>. Préférer si possible l'halopéridol (meilleur profil lacté selon le CRAT) ou un atypique.</w:t>
      </w:r>
    </w:p>
    <w:p>
      <w:pPr>
        <w:pStyle w:val="ListBullet"/>
      </w:pPr>
      <w:r>
        <w:t xml:space="preserve">Précisions : évaluation </w:t>
      </w:r>
      <w:r>
        <w:rPr>
          <w:b/>
        </w:rPr>
        <w:t>bénéfice/risque</w:t>
      </w:r>
      <w:r>
        <w:t xml:space="preserve"> individuelle au cas par cas. Pour une femme en âge de procréer avec projet de grossesse, </w:t>
      </w:r>
      <w:r>
        <w:rPr>
          <w:b/>
        </w:rPr>
        <w:t>privilégier l'halopéridol ou un atypique</w:t>
      </w:r>
      <w:r>
        <w:t>.</w:t>
      </w:r>
    </w:p>
    <w:p>
      <w:r/>
      <w:r>
        <w:rPr>
          <w:b/>
        </w:rPr>
        <w:t>Posologie et Mode d'administration (Standard) :</w:t>
      </w:r>
      <w:r/>
    </w:p>
    <w:p>
      <w:pPr>
        <w:pStyle w:val="ListBullet"/>
      </w:pPr>
      <w:r>
        <w:t>Adulte (per os — comprimés 25 ou 100 mg, ou solution buvable 4 % gttes) :</w:t>
      </w:r>
    </w:p>
    <w:p>
      <w:pPr>
        <w:pStyle w:val="ListBullet"/>
      </w:pPr>
      <w:r/>
      <w:r>
        <w:rPr>
          <w:b/>
        </w:rPr>
        <w:t>Initiation</w:t>
      </w:r>
      <w:r>
        <w:t xml:space="preserve"> : 25-50 mg/jour (1-2 comprimés 25 mg, ou 12-25 gouttes de solution 4 %) en 2-3 prises, à augmenter progressivement par paliers de 25 mg tous les 5-7 jours.</w:t>
      </w:r>
    </w:p>
    <w:p>
      <w:pPr>
        <w:pStyle w:val="ListBullet"/>
      </w:pPr>
      <w:r/>
      <w:r>
        <w:rPr>
          <w:b/>
        </w:rPr>
        <w:t>Dose d'entretien</w:t>
      </w:r>
      <w:r>
        <w:t xml:space="preserve"> : 50-200 mg/jour (1-2 comprimés 100 mg + 1 comprimé 25 mg, ou 25-100 gouttes de solution 4 %) en 2-3 prises — dose moyenne habituelle 100 mg/j.</w:t>
      </w:r>
    </w:p>
    <w:p>
      <w:pPr>
        <w:pStyle w:val="ListBullet"/>
      </w:pPr>
      <w:r/>
      <w:r>
        <w:rPr>
          <w:b/>
        </w:rPr>
        <w:t>Dose maximale</w:t>
      </w:r>
      <w:r>
        <w:t xml:space="preserve"> : 300-400 mg/jour per os (au-delà, surveillance renforcée ECG, EPS, biologie).</w:t>
      </w:r>
    </w:p>
    <w:p>
      <w:pPr>
        <w:pStyle w:val="ListBullet"/>
      </w:pPr>
      <w:r/>
      <w:r>
        <w:rPr>
          <w:b/>
        </w:rPr>
        <w:t>Equivalence gouttes ↔ mg</w:t>
      </w:r>
      <w:r>
        <w:t xml:space="preserve"> : solution buvable 4 % = 4 g/100 mL = 40 mg/mL ; 1 mL = 25 gouttes = 40 mg ; 1 goutte ≈ 1,6 mg. Donc 100 mg/j = ~62-65 gouttes/j (en 2-3 prises) ; 200 mg/j = ~125 gouttes/j.</w:t>
      </w:r>
    </w:p>
    <w:p>
      <w:pPr>
        <w:pStyle w:val="ListBullet"/>
      </w:pPr>
      <w:r>
        <w:t>Adulte (IM aigu — solution injectable 25 mg/mL — non renouvelable en Algérie) :</w:t>
      </w:r>
    </w:p>
    <w:p>
      <w:pPr>
        <w:pStyle w:val="ListBullet"/>
      </w:pPr>
      <w:r/>
      <w:r>
        <w:rPr>
          <w:b/>
        </w:rPr>
        <w:t>Agitation psychotique aiguë</w:t>
      </w:r>
      <w:r>
        <w:t xml:space="preserve"> : 25-50 mg IM (1-2 mL), à répéter éventuellement toutes les 6-8 h, sans dépasser 150 mg/24 h.</w:t>
      </w:r>
    </w:p>
    <w:p>
      <w:pPr>
        <w:pStyle w:val="ListBullet"/>
      </w:pPr>
      <w:r>
        <w:t>Adulte (SC — soins palliatifs — hors AMM en France, pratique courante) :</w:t>
      </w:r>
    </w:p>
    <w:p>
      <w:pPr>
        <w:pStyle w:val="ListBullet"/>
      </w:pPr>
      <w:r/>
      <w:r>
        <w:rPr>
          <w:b/>
        </w:rPr>
        <w:t>Sédation terminale / antalgie</w:t>
      </w:r>
      <w:r>
        <w:t xml:space="preserve"> : 25-100 mg/24 h en perfusion SC continue (seringue électrique), à titrer selon la réponse.</w:t>
      </w:r>
    </w:p>
    <w:p>
      <w:pPr>
        <w:pStyle w:val="ListBullet"/>
      </w:pPr>
      <w:r>
        <w:t>Sujet âgé (&gt; 65 ans) :</w:t>
      </w:r>
    </w:p>
    <w:p>
      <w:pPr>
        <w:pStyle w:val="ListBullet"/>
      </w:pPr>
      <w:r/>
      <w:r>
        <w:rPr>
          <w:b/>
        </w:rPr>
        <w:t>Per os</w:t>
      </w:r>
      <w:r>
        <w:t xml:space="preserve"> : 10-25 mg/jour en 1-2 prises, à titrer très lentement par paliers de 10 mg tous les 7 jours. Dose maximale recommandée : 100 mg/jour.</w:t>
      </w:r>
    </w:p>
    <w:p>
      <w:pPr>
        <w:pStyle w:val="ListBullet"/>
      </w:pPr>
      <w:r/>
      <w:r>
        <w:rPr>
          <w:b/>
        </w:rPr>
        <w:t>Soins palliatifs</w:t>
      </w:r>
      <w:r>
        <w:t xml:space="preserve"> : adaptation selon la tolérance, surveillance PA, température, sédation.</w:t>
      </w:r>
    </w:p>
    <w:p>
      <w:pPr>
        <w:pStyle w:val="ListBullet"/>
      </w:pPr>
      <w:r>
        <w:t>Insuffisant rénal : pas d'adaptation stricte, prudence chez le sujet âgé.</w:t>
      </w:r>
    </w:p>
    <w:p>
      <w:pPr>
        <w:pStyle w:val="ListBullet"/>
      </w:pPr>
      <w:r>
        <w:t xml:space="preserve">Insuffisant hépatique : </w:t>
      </w:r>
      <w:r>
        <w:rPr>
          <w:b/>
        </w:rPr>
        <w:t>prudence, réduction de dose de moitié</w:t>
      </w:r>
      <w:r>
        <w:t xml:space="preserve"> — </w:t>
      </w:r>
      <w:r>
        <w:rPr>
          <w:b/>
        </w:rPr>
        <w:t>CI absolue en cas d'insuffisance hépatique sévère</w:t>
      </w:r>
      <w:r>
        <w:t>.</w:t>
      </w:r>
    </w:p>
    <w:p>
      <w:pPr>
        <w:pStyle w:val="ListBullet"/>
      </w:pPr>
      <w:r>
        <w:t xml:space="preserve">Durée : </w:t>
      </w:r>
      <w:r>
        <w:rPr>
          <w:b/>
        </w:rPr>
        <w:t>au long cours</w:t>
      </w:r>
      <w:r>
        <w:t xml:space="preserve"> en psychiatrie — au long cours ou jusqu'au décès en soins palliatifs. Aucun arrêt programmé (sauf effet indésirable grave ou switch). Réduction progressive par paliers sur 4-8 semaines en cas d'arrêt.</w:t>
      </w:r>
    </w:p>
    <w:p>
      <w:pPr>
        <w:pStyle w:val="ListBullet"/>
      </w:pPr>
      <w:r>
        <w:t>Moment de la prise : per os pendant les repas, en 2-3 prises selon la dose. Prise du soir privilégiée pour la dose la plus élevée (sédation). En soins palliatifs SC : perfusion continue 24 h.</w:t>
      </w:r>
    </w:p>
    <w:p>
      <w:r/>
      <w:r>
        <w:rPr>
          <w:b/>
        </w:rPr>
        <w:t>Arbitrage et Bénéfices des Formes Galéniques :</w:t>
      </w:r>
      <w:r/>
    </w:p>
    <w:p>
      <w:pPr>
        <w:pStyle w:val="ListBullet"/>
      </w:pPr>
      <w:r/>
      <w:r>
        <w:rPr>
          <w:b/>
        </w:rPr>
        <w:t>Comprimés 25 et 100 mg sécables</w:t>
      </w:r>
      <w:r>
        <w:t xml:space="preserve"> : titration fine (quart ou demi-comprimé 25 mg), administration aisée. Forme la plus prescrite en psychiatrie.</w:t>
      </w:r>
    </w:p>
    <w:p>
      <w:pPr>
        <w:pStyle w:val="ListBullet"/>
      </w:pPr>
      <w:r/>
      <w:r>
        <w:rPr>
          <w:b/>
        </w:rPr>
        <w:t>Solution buvable en gouttes 4 %</w:t>
      </w:r>
      <w:r>
        <w:t xml:space="preserve"> : titration fine (1 goutte ≈ 1,6 mg), administration aisée chez le sujet âgé, pédiatrie, relais per os après IM. Forme de référence en soins palliatifs (administration SC possible — hors AMM en France, pratique courante en unité de soins palliatifs). Inconvénient : goût métallique, conservation &lt; 25 °C.</w:t>
      </w:r>
    </w:p>
    <w:p>
      <w:pPr>
        <w:pStyle w:val="ListBullet"/>
      </w:pPr>
      <w:r/>
      <w:r>
        <w:rPr>
          <w:b/>
        </w:rPr>
        <w:t>Solution injectable IM 25 mg/mL</w:t>
      </w:r>
      <w:r>
        <w:t xml:space="preserve"> : forme aiguë urgences psychiatriques et soins palliatifs — aujourd'hui </w:t>
      </w:r>
      <w:r>
        <w:rPr>
          <w:b/>
        </w:rPr>
        <w:t>non renouvelable</w:t>
      </w:r>
      <w:r>
        <w:t xml:space="preserve"> en Algérie, à surveiller pour réapprovisionnement.</w:t>
      </w:r>
    </w:p>
    <w:p>
      <w:r/>
      <w:r>
        <w:rPr>
          <w:b/>
        </w:rPr>
        <w:t>Instructions et Conseils au Patient :</w:t>
      </w:r>
      <w:r/>
    </w:p>
    <w:p>
      <w:pPr>
        <w:pStyle w:val="ListBullet"/>
      </w:pPr>
      <w:r>
        <w:t>Communication au comptoir : identique à la chlorpromazine — expliquer la nature du traitement (antipsychotique sédatif), les effets indésirables attendus (sédation, hypotension, sécheresse buccale, constipation), la surveillance fièvre (SMN), l'interdiction d'arrêt brutal, l'hydratation, la protection solaire, le lever progressif, l'éviction de l'alcool.</w:t>
      </w:r>
    </w:p>
    <w:p>
      <w:pPr>
        <w:pStyle w:val="ListBullet"/>
      </w:pPr>
      <w:r>
        <w:t>En soins palliatifs : information du patient et de la famille sur l'objectif de confort (antalgie, sédation), les effets attendus (somnolence, baisse de vigilance — parfois recherche délibérée pour sédation terminale), le mode d'administration (per os si possible, SC si hypoactive), l'adaptation posologique selon la réponse.</w:t>
      </w:r>
    </w:p>
    <w:p>
      <w:pPr>
        <w:pStyle w:val="ListBullet"/>
      </w:pPr>
      <w:r>
        <w:t>Mode d'utilisation pratique : comprimés pendant les repas avec un grand verre d'eau ; solution buvable en gouttes diluée dans un demi-verre d'eau ou de jus (sauf pamplemousse), conservation &lt; 25 °C.</w:t>
      </w:r>
    </w:p>
    <w:p>
      <w:r/>
      <w:r>
        <w:rPr>
          <w:b/>
        </w:rPr>
        <w:t>Notes, Règles d'Or &amp; Pièges au Comptoir :</w:t>
      </w:r>
      <w:r/>
    </w:p>
    <w:p>
      <w:pPr>
        <w:pStyle w:val="ListBullet"/>
      </w:pPr>
      <w:r>
        <w:t>Piège classique :</w:t>
      </w:r>
    </w:p>
    <w:p>
      <w:pPr>
        <w:pStyle w:val="ListBullet"/>
      </w:pPr>
      <w:r/>
      <w:r>
        <w:rPr>
          <w:b/>
        </w:rPr>
        <w:t>Hypotension sévère en soins palliatifs</w:t>
      </w:r>
      <w:r>
        <w:t xml:space="preserve"> : risque majeur chez le patient palliatif déshydraté, hypovolémique, ou sous opioïdes — surveillance PA, adaptation posologique, hydratation adaptée.</w:t>
      </w:r>
    </w:p>
    <w:p>
      <w:pPr>
        <w:pStyle w:val="ListBullet"/>
      </w:pPr>
      <w:r/>
      <w:r>
        <w:rPr>
          <w:b/>
        </w:rPr>
        <w:t>Sédation excessive</w:t>
      </w:r>
      <w:r>
        <w:t xml:space="preserve"> : risque de coma pharmacologique si surdosage — particulièrement marqué avec la lévomépromazine (effet H1 profond) — adapter posologie selon la réponse clinique.</w:t>
      </w:r>
    </w:p>
    <w:p>
      <w:pPr>
        <w:pStyle w:val="ListBullet"/>
      </w:pPr>
      <w:r/>
      <w:r>
        <w:rPr>
          <w:b/>
        </w:rPr>
        <w:t>Hypothermie</w:t>
      </w:r>
      <w:r>
        <w:t xml:space="preserve"> : surveillance température chez le sujet âgé — plus marquée qu'avec la chlorpromazine.</w:t>
      </w:r>
    </w:p>
    <w:p>
      <w:pPr>
        <w:pStyle w:val="ListBullet"/>
      </w:pPr>
      <w:r/>
      <w:r>
        <w:rPr>
          <w:b/>
        </w:rPr>
        <w:t>Dépression respiratoire en association avec opioïdes</w:t>
      </w:r>
      <w:r>
        <w:t xml:space="preserve"> : surveillance fréquence respiratoire en soins palliatifs.</w:t>
      </w:r>
    </w:p>
    <w:p>
      <w:pPr>
        <w:pStyle w:val="ListBullet"/>
      </w:pPr>
      <w:r/>
      <w:r>
        <w:rPr>
          <w:b/>
        </w:rPr>
        <w:t>CI absolue avec lévodopa/agonistes dopaminergiques, maladie de Parkinson, démence à corps de Lewy</w:t>
      </w:r>
      <w:r>
        <w:t xml:space="preserve"> — préférer clozapine ou quetiapine.</w:t>
      </w:r>
    </w:p>
    <w:p>
      <w:pPr>
        <w:pStyle w:val="ListBullet"/>
      </w:pPr>
      <w:r/>
      <w:r>
        <w:rPr>
          <w:b/>
        </w:rPr>
        <w:t>CI absolue avec allongeurs de QT</w:t>
      </w:r>
      <w:r>
        <w:t>.</w:t>
      </w:r>
    </w:p>
    <w:p>
      <w:pPr>
        <w:pStyle w:val="ListBullet"/>
      </w:pPr>
      <w:r/>
      <w:r>
        <w:rPr>
          <w:b/>
        </w:rPr>
        <w:t>CI absolue avec glaucome à angle fermé et HBP sévère</w:t>
      </w:r>
      <w:r>
        <w:t>.</w:t>
      </w:r>
    </w:p>
    <w:p>
      <w:pPr>
        <w:pStyle w:val="ListBullet"/>
      </w:pPr>
      <w:r/>
      <w:r>
        <w:rPr>
          <w:b/>
        </w:rPr>
        <w:t>Rétention urinaire et occlusion paralytique</w:t>
      </w:r>
      <w:r>
        <w:t xml:space="preserve"> — particulièrement chez le sujet âgé.</w:t>
      </w:r>
    </w:p>
    <w:p>
      <w:pPr>
        <w:pStyle w:val="ListBullet"/>
      </w:pPr>
      <w:r/>
      <w:r>
        <w:rPr>
          <w:b/>
        </w:rPr>
        <w:t>Photosensibilité</w:t>
      </w:r>
      <w:r>
        <w:t xml:space="preserve"> — protection solaire absolue.</w:t>
      </w:r>
    </w:p>
    <w:p>
      <w:pPr>
        <w:pStyle w:val="ListBullet"/>
      </w:pPr>
      <w:r>
        <w:t>Règle de prise : pendant les repas, prise du soir privilégiée pour la dose la plus élevée, hydratation, lutte contre la constipation, lever progressif, éviter l'alcool.</w:t>
      </w:r>
    </w:p>
    <w:p>
      <w:pPr>
        <w:pStyle w:val="ListBullet"/>
      </w:pPr>
      <w:r>
        <w:t>Préparation et Conservation : identique à la chlorpromazine — comprimés et solution buvable à température ambiante &lt; 25 °C, à l'abri de la lumière et de l'humidité.</w:t>
      </w:r>
    </w:p>
    <w:p>
      <w:pPr>
        <w:pStyle w:val="ListBullet"/>
      </w:pPr>
      <w:r>
        <w:t>Piège du surdosage / Substitution : identique à la chlorpromazine — surdosage symptomatique en réanimation (préférer noradrénaline à l'adrénaline), substitution princeps ↔ générique sous surveillance clinique et ECG.</w:t>
      </w:r>
    </w:p>
    <w:p>
      <w:pPr>
        <w:pStyle w:val="Heading2"/>
      </w:pPr>
      <w:r>
        <w:t>6. Introduction à la sous-classe des phénothiazines pipérazinées</w:t>
      </w:r>
    </w:p>
    <w:p>
      <w:pPr>
        <w:pStyle w:val="Heading3"/>
      </w:pPr>
      <w:r>
        <w:t>Définition chimique et positionnement pharmacologique</w:t>
      </w:r>
    </w:p>
    <w:p>
      <w:r>
        <w:t xml:space="preserve">Les </w:t>
      </w:r>
      <w:r>
        <w:rPr>
          <w:b/>
        </w:rPr>
        <w:t>phénothiazines pipérazinées</w:t>
      </w:r>
      <w:r>
        <w:t xml:space="preserve"> sont une sous-classe des phénothiazines dans laquelle la chaîne latérale aliphatique en position 10 (caractéristique des phénothiazines aliphatiques comme la chlorpromazine) est remplacée par une </w:t>
      </w:r>
      <w:r>
        <w:rPr>
          <w:b/>
        </w:rPr>
        <w:t>chaîne pipérazinyle-éthyle</w:t>
      </w:r>
      <w:r>
        <w:t xml:space="preserve"> (noyau pipérazine en C10). Cette modification structurale, introduite par le chimiste </w:t>
      </w:r>
      <w:r>
        <w:rPr>
          <w:b/>
        </w:rPr>
        <w:t>Paul Charpentier</w:t>
      </w:r>
      <w:r>
        <w:t xml:space="preserve"> (Rhône-Poulenc) au début des années 1950, a profondément modifié le profil pharmacologique de la molécule : la présence du noyau pipérazine augmente considérablement l'</w:t>
      </w:r>
      <w:r>
        <w:rPr>
          <w:b/>
        </w:rPr>
        <w:t>affinité pour les récepteurs D2</w:t>
      </w:r>
      <w:r>
        <w:t xml:space="preserve"> (de 5-20 nM pour les aliphatiques à 0,5-2 nM pour les pipérazinées), tout en </w:t>
      </w:r>
      <w:r>
        <w:rPr>
          <w:b/>
        </w:rPr>
        <w:t>réduisant l'affinité pour les récepteurs α1, H1, et M1</w:t>
      </w:r>
      <w:r>
        <w:t xml:space="preserve"> (3 à 10 fois moins affines). Le résultat est un </w:t>
      </w:r>
      <w:r>
        <w:rPr>
          <w:b/>
        </w:rPr>
        <w:t>profil « incisif »</w:t>
      </w:r>
      <w:r>
        <w:t xml:space="preserve"> caractéristique : </w:t>
      </w:r>
      <w:r>
        <w:rPr>
          <w:b/>
        </w:rPr>
        <w:t>puissance antipsychotique élevée</w:t>
      </w:r>
      <w:r>
        <w:t xml:space="preserve"> (doses efficaces 2-20 mg/j per os, soit 50 à 100 fois moins que la chlorpromazine), </w:t>
      </w:r>
      <w:r>
        <w:rPr>
          <w:b/>
        </w:rPr>
        <w:t>faible sédation</w:t>
      </w:r>
      <w:r>
        <w:t xml:space="preserve"> (peu d'effet H1), </w:t>
      </w:r>
      <w:r>
        <w:rPr>
          <w:b/>
        </w:rPr>
        <w:t>hypotension modeste</w:t>
      </w:r>
      <w:r>
        <w:t xml:space="preserve"> (peu d'effet α1), </w:t>
      </w:r>
      <w:r>
        <w:rPr>
          <w:b/>
        </w:rPr>
        <w:t>effets anticholinergiques minimes</w:t>
      </w:r>
      <w:r>
        <w:t xml:space="preserve"> (peu d'effet M1), mais </w:t>
      </w:r>
      <w:r>
        <w:rPr>
          <w:b/>
        </w:rPr>
        <w:t>effets extrapyramidaux majeurs</w:t>
      </w:r>
      <w:r>
        <w:t xml:space="preserve"> (forte affinité D2 striatale). Les deux représentants de cette sous-classe sont la </w:t>
      </w:r>
      <w:r>
        <w:rPr>
          <w:b/>
        </w:rPr>
        <w:t>fluphénazine</w:t>
      </w:r>
      <w:r>
        <w:t xml:space="preserve"> (Moditen®, Modecate® decanoate LP — Sanofi Winthrop) et la </w:t>
      </w:r>
      <w:r>
        <w:rPr>
          <w:b/>
        </w:rPr>
        <w:t>trifluopérazine</w:t>
      </w:r>
      <w:r>
        <w:t xml:space="preserve"> (Terfluzine® — Rhône-Poulenc).</w:t>
      </w:r>
    </w:p>
    <w:p>
      <w:pPr>
        <w:pStyle w:val="Heading3"/>
      </w:pPr>
      <w:r>
        <w:t>Profil pharmacodynamique singulier : puissance D2 maximale</w:t>
      </w:r>
    </w:p>
    <w:p>
      <w:r>
        <w:t xml:space="preserve">Les phénothiazines pipérazinées présentent les </w:t>
      </w:r>
      <w:r>
        <w:rPr>
          <w:b/>
        </w:rPr>
        <w:t>affinités D2 les plus élevées</w:t>
      </w:r>
      <w:r>
        <w:t xml:space="preserve"> de toute la sous-classe des phénothiazines (Ki D2 fluphénazine ≈ 0,5-2 nM, trifluopérazine ≈ 0,5-2 nM — comparables à l'halopéridol). Cette très haute affinité D2 striatale expose à un </w:t>
      </w:r>
      <w:r>
        <w:rPr>
          <w:b/>
        </w:rPr>
        <w:t>risque EPS majeur</w:t>
      </w:r>
      <w:r>
        <w:t xml:space="preserve"> dès l'initiation : akathisie très fréquente (40-60 %), parkinsonisme (30-50 %), dystonie aiguë (surtout sujet jeune homme — 10-15 %), dyskinésie tardive (incidence annuelle 7-10 %, parmi les plus élevées de tous les antipsychotiques). En contrepartie, la </w:t>
      </w:r>
      <w:r>
        <w:rPr>
          <w:b/>
        </w:rPr>
        <w:t>faible affinité pour les autres récepteurs</w:t>
      </w:r>
      <w:r>
        <w:t xml:space="preserve"> (α1, H1, M1) garantit un profil cardiovasculaire et cognitif relativement favorable — peu d'hypotension orthostatique, peu de sédation, peu d'effets anticholinergiques. Ces propriétés en font des antipsychotiques « incisifs purs » — historiquement utilisés dans les </w:t>
      </w:r>
      <w:r>
        <w:rPr>
          <w:b/>
        </w:rPr>
        <w:t>schizophrénies paranoïdes</w:t>
      </w:r>
      <w:r>
        <w:t xml:space="preserve"> avec symptômes positifs marqués (hallucinations, délires) sans composante anxieuse ni agitation associée. Leur prescription en Algérie a fortement décliné depuis l'arrivée des atypiques et des génériques d'halopéridol — la fluphénazine est aujourd'hui principalement prescrite sous sa forme </w:t>
      </w:r>
      <w:r>
        <w:rPr>
          <w:b/>
        </w:rPr>
        <w:t>decanoate LP IM mensuelle</w:t>
      </w:r>
      <w:r>
        <w:t xml:space="preserve"> (Modecate® — en retrait du marché algérien, remplacé par l'halopéridol decanoate — Haldol Decanoas® Janssen), tandis que la trifluopérazine est </w:t>
      </w:r>
      <w:r>
        <w:rPr>
          <w:b/>
        </w:rPr>
        <w:t>totalement retirée du marché algérien</w:t>
      </w:r>
      <w:r>
        <w:t xml:space="preserve"> à Avril 2026 (NARIZIN Nova Argentia — retiré).</w:t>
      </w:r>
    </w:p>
    <w:p>
      <w:pPr>
        <w:pStyle w:val="Heading3"/>
      </w:pPr>
      <w:r>
        <w:t>Indications cliniques historiques et actuelles</w:t>
      </w:r>
    </w:p>
    <w:p>
      <w:pPr>
        <w:pStyle w:val="ListBullet"/>
      </w:pPr>
      <w:r/>
      <w:r>
        <w:rPr>
          <w:b/>
        </w:rPr>
        <w:t>Schizophrénie paranoïde</w:t>
      </w:r>
      <w:r>
        <w:t xml:space="preserve"> avec symptômes positifs marqués (hallucinations auditives, délire de persécution, troubles de la pensée) — posologie 2,5-15 mg/j per os pour la fluphénazine, 5-20 mg/j pour la trifluopérazine.</w:t>
      </w:r>
    </w:p>
    <w:p>
      <w:pPr>
        <w:pStyle w:val="ListBullet"/>
      </w:pPr>
      <w:r/>
      <w:r>
        <w:rPr>
          <w:b/>
        </w:rPr>
        <w:t>Maintenance au long cours</w:t>
      </w:r>
      <w:r>
        <w:t xml:space="preserve"> chez le patient non observant — fluphénazine decanoate LP IM mensuel (Modecate®) — historiquement l'une des formes LP les plus prescrites en psychiatrie algérienne dans les années 1980-1990, aujourd'hui supplantée par l'halopéridol decanoate.</w:t>
      </w:r>
    </w:p>
    <w:p>
      <w:pPr>
        <w:pStyle w:val="ListBullet"/>
      </w:pPr>
      <w:r/>
      <w:r>
        <w:rPr>
          <w:b/>
        </w:rPr>
        <w:t>Episode psychotique aigu</w:t>
      </w:r>
      <w:r>
        <w:t xml:space="preserve"> — fluphénazine IM 1,25-2,5 mg (aujourd'hui supplantée par l'halopéridol IM en raison d'un meilleur profil de tolérance).</w:t>
      </w:r>
    </w:p>
    <w:p>
      <w:pPr>
        <w:pStyle w:val="ListBullet"/>
      </w:pPr>
      <w:r/>
      <w:r>
        <w:rPr>
          <w:b/>
        </w:rPr>
        <w:t>Hors psychiatrie</w:t>
      </w:r>
      <w:r>
        <w:t xml:space="preserve"> : la fluphénazine a été utilisée à très faible dose (0,5-1 mg/j) dans certaines </w:t>
      </w:r>
      <w:r>
        <w:rPr>
          <w:b/>
        </w:rPr>
        <w:t>dépressions réfractaires</w:t>
      </w:r>
      <w:r>
        <w:t xml:space="preserve"> (potentialisation des antidépresseurs — effet D2 sur la voie mésocorticale — pratique contestée).</w:t>
      </w:r>
    </w:p>
    <w:p>
      <w:pPr>
        <w:pStyle w:val="Heading3"/>
      </w:pPr>
      <w:r>
        <w:t>Particularités algériennes de disponibilité</w:t>
      </w:r>
    </w:p>
    <w:p>
      <w:r>
        <w:t>En Algérie, à Avril 2026 :</w:t>
      </w:r>
    </w:p>
    <w:p>
      <w:pPr>
        <w:pStyle w:val="ListBullet"/>
      </w:pPr>
      <w:r/>
      <w:r>
        <w:rPr>
          <w:b/>
        </w:rPr>
        <w:t>Fluphénazine</w:t>
      </w:r>
      <w:r>
        <w:t xml:space="preserve"> : une seule marque active (</w:t>
      </w:r>
      <w:r>
        <w:rPr>
          <w:b/>
        </w:rPr>
        <w:t>PROLINATE</w:t>
      </w:r>
      <w:r>
        <w:t xml:space="preserve"> Sun Pharma — solution injectable IM 25 mg/mL), utilisée en pratique courante comme alternative à l'halopéridol decanoate. Les marques historiques (MODITEN Sanofi Winthrop comprimés, MODECATE Sanofi Winthrop solution injectable decanoate LP) sont </w:t>
      </w:r>
      <w:r>
        <w:rPr>
          <w:b/>
        </w:rPr>
        <w:t>retirées du marché algérien</w:t>
      </w:r>
      <w:r>
        <w:t>.</w:t>
      </w:r>
    </w:p>
    <w:p>
      <w:pPr>
        <w:pStyle w:val="ListBullet"/>
      </w:pPr>
      <w:r/>
      <w:r>
        <w:rPr>
          <w:b/>
        </w:rPr>
        <w:t>Trifluopérazine</w:t>
      </w:r>
      <w:r>
        <w:t xml:space="preserve"> : </w:t>
      </w:r>
      <w:r>
        <w:rPr>
          <w:b/>
        </w:rPr>
        <w:t>aucune marque active</w:t>
      </w:r>
      <w:r>
        <w:t xml:space="preserve"> — TERFLUZINE (Rhône-Poulenc Rorer) comprimés 10 mg et solution buvable en gouttes sont </w:t>
      </w:r>
      <w:r>
        <w:rPr>
          <w:b/>
        </w:rPr>
        <w:t>totalement retirés du marché algérien</w:t>
      </w:r>
      <w:r>
        <w:t>. La trifluopérazine n'est plus disponible en Algérie à Avril 2026 — toute prescription antérieure doit être relayée par l'halopéridol ou un atypique.</w:t>
      </w:r>
    </w:p>
    <w:p>
      <w:r>
        <w:t xml:space="preserve">Cette situation de </w:t>
      </w:r>
      <w:r>
        <w:rPr>
          <w:b/>
        </w:rPr>
        <w:t>pénurie relative</w:t>
      </w:r>
      <w:r>
        <w:t xml:space="preserve"> pour la fluphénazine (une seule marque active, décançenate LP non disponible) et d'</w:t>
      </w:r>
      <w:r>
        <w:rPr>
          <w:b/>
        </w:rPr>
        <w:t>indisponibilité totale</w:t>
      </w:r>
      <w:r>
        <w:t xml:space="preserve"> pour la trifluopérazine est un enjeu de santé publique en Algérie : les patients historiquement équilibrés sous fluphénazine decanoate (Modecate®) ou trifluopérazine (Terfluzine®) doivent être relayés vers l'</w:t>
      </w:r>
      <w:r>
        <w:rPr>
          <w:b/>
        </w:rPr>
        <w:t>halopéridol decanoate</w:t>
      </w:r>
      <w:r>
        <w:t xml:space="preserve"> (Haldol Decanoas® — disponible) ou un atypique, sous surveillance psychiatrique étroite pour éviter la rechute.</w:t>
      </w:r>
    </w:p>
    <w:p>
      <w:pPr>
        <w:pStyle w:val="Heading2"/>
      </w:pPr>
      <w:r>
        <w:t>7. Fiches DCI — Phénothiazines pipérazinées</w:t>
      </w:r>
    </w:p>
    <w:p>
      <w:pPr>
        <w:pStyle w:val="Heading3"/>
      </w:pPr>
      <w:r>
        <w:t>4. DCI : Fluphénazine (Seule)</w:t>
      </w:r>
    </w:p>
    <w:p>
      <w:r/>
      <w:r>
        <w:rPr>
          <w:b/>
        </w:rPr>
        <w:t>Liste des Catégories :</w:t>
      </w:r>
      <w:r>
        <w:t xml:space="preserve"> Antipsychotique typique (1re génération) — Phénothiazine pipérazinée — Antagoniste compétitif de haute affinité des récepteurs dopaminergiques D2 — Haute puissance antipsychotique (« incisif ») — Schizophrénie paranoïde, troubles psychotiques avec symptômes positifs marqués — Liste I — Formes orales (comprimés) et injectable IM (immédiate et decanoate LP mensuelle) — Délivrance sur ordonnance.</w:t>
      </w:r>
    </w:p>
    <w:p>
      <w:r>
        <w:t xml:space="preserve">La </w:t>
      </w:r>
      <w:r>
        <w:rPr>
          <w:b/>
        </w:rPr>
        <w:t>fluphénazine</w:t>
      </w:r>
      <w:r>
        <w:t xml:space="preserve"> (Moditen® — Sanofi Winthrop, Modecate® decanoate LP — Sanofi Winthrop) est une </w:t>
      </w:r>
      <w:r>
        <w:rPr>
          <w:b/>
        </w:rPr>
        <w:t>phénothiazine pipérazinée</w:t>
      </w:r>
      <w:r>
        <w:t xml:space="preserve"> de synthèse, commercialisée dès 1959 comme alternative « incisive » à la chlorpromazine. Sa structure — phénothiazine substituée en position 10 par une chaîne </w:t>
      </w:r>
      <w:r>
        <w:rPr>
          <w:b/>
        </w:rPr>
        <w:t>3-[4-(2-hydroxyéthyl)pipérazin-1-yl]propyle</w:t>
      </w:r>
      <w:r>
        <w:t xml:space="preserve"> et en position 2 par un groupement </w:t>
      </w:r>
      <w:r>
        <w:rPr>
          <w:b/>
        </w:rPr>
        <w:t>trifluorométhyle</w:t>
      </w:r>
      <w:r>
        <w:t xml:space="preserve"> — lui confère l'une des </w:t>
      </w:r>
      <w:r>
        <w:rPr>
          <w:b/>
        </w:rPr>
        <w:t>affinités D2 les plus élevées</w:t>
      </w:r>
      <w:r>
        <w:t xml:space="preserve"> de toute la classe neuroleptique (Ki D2 ≈ 0,5-2 nM, comparable à l'halopéridol). Cette très haute affinité D2 striatale en fait un antipsychotique « incisif pur » particulièrement efficace sur les </w:t>
      </w:r>
      <w:r>
        <w:rPr>
          <w:b/>
        </w:rPr>
        <w:t>symptômes positifs</w:t>
      </w:r>
      <w:r>
        <w:t xml:space="preserve"> (hallucinations, délires, désorganisation de la pensée) à faible dose (2,5-15 mg/j per os), mais exposé à un </w:t>
      </w:r>
      <w:r>
        <w:rPr>
          <w:b/>
        </w:rPr>
        <w:t>risque EPS majeur</w:t>
      </w:r>
      <w:r>
        <w:t xml:space="preserve"> (akathisie, parkinsonisme, dyskinésie tardive). En Algérie, la fluphénazine a été largement prescrite dans les années 1970-1990 sous sa forme </w:t>
      </w:r>
      <w:r>
        <w:rPr>
          <w:b/>
        </w:rPr>
        <w:t>decanoate LP IM mensuelle</w:t>
      </w:r>
      <w:r>
        <w:t xml:space="preserve"> (Modecate® — Sanofi Winthrop) pour la maintenance au long cours des schizophrénies chroniques — forme LP historique qui a précédé l'introduction de l'halopéridol decanoate (Haldol Decanoas® — Janssen 1980). À Avril 2026, la situation algérienne est critique : le Modecate® decanoate LP est </w:t>
      </w:r>
      <w:r>
        <w:rPr>
          <w:b/>
        </w:rPr>
        <w:t>retiré du marché algérien</w:t>
      </w:r>
      <w:r>
        <w:t xml:space="preserve">, le Moditen® comprimés est </w:t>
      </w:r>
      <w:r>
        <w:rPr>
          <w:b/>
        </w:rPr>
        <w:t>retiré du marché algérien</w:t>
      </w:r>
      <w:r>
        <w:t xml:space="preserve">, et la fluphénazine est désormais disponible uniquement sous une seule marque active — </w:t>
      </w:r>
      <w:r>
        <w:rPr>
          <w:b/>
        </w:rPr>
        <w:t>PROLINATE</w:t>
      </w:r>
      <w:r>
        <w:t xml:space="preserve"> (Sun Pharma) solution injectable IM 25 mg/mL — forme limitée à l'usage hospitalier. Cette situation expose les patients historiquement équilibrés sous fluphénazine à un risque de </w:t>
      </w:r>
      <w:r>
        <w:rPr>
          <w:b/>
        </w:rPr>
        <w:t>relais thérapeutique urgent</w:t>
      </w:r>
      <w:r>
        <w:t xml:space="preserve"> vers l'halopéridol decanoate (Haldol Decanoas® — disponible) ou un atypique — sous surveillance psychiatrique étroite.</w:t>
      </w:r>
    </w:p>
    <w:p>
      <w:r/>
      <w:r>
        <w:rPr>
          <w:b/>
        </w:rPr>
        <w:t>Médicaments disponibles en Algérie (Marques, Laboratoires, Formes et Dosages) :</w:t>
      </w:r>
      <w:r/>
    </w:p>
    <w:p>
      <w:pPr>
        <w:pStyle w:val="ListBullet"/>
      </w:pPr>
      <w:r/>
      <w:r>
        <w:rPr>
          <w:b/>
        </w:rPr>
        <w:t>PROLINATE</w:t>
      </w:r>
      <w:r>
        <w:t xml:space="preserve"> (SUN PHARMACEUTICALS INDUSTRIES LTD)</w:t>
      </w:r>
    </w:p>
    <w:p>
      <w:pPr>
        <w:pStyle w:val="ListBullet"/>
      </w:pPr>
      <w:r>
        <w:t>Formes et Dosages : Solution injectable IM 25 mg/mL — Boîte de 5 ampoules de 1 mL.</w:t>
      </w:r>
    </w:p>
    <w:p>
      <w:pPr>
        <w:pStyle w:val="ListBullet"/>
      </w:pPr>
      <w:r>
        <w:t>Statut : Actif (LISTE I) — seule marque active en Algérie à Avril 2026 — utilisée en pratique hospitalière comme alternative à l'halopéridol decanoate.</w:t>
      </w:r>
    </w:p>
    <w:p>
      <w:pPr>
        <w:pStyle w:val="ListBullet"/>
      </w:pPr>
      <w:r/>
      <w:r>
        <w:rPr>
          <w:b/>
        </w:rPr>
        <w:t>MODITEN</w:t>
      </w:r>
      <w:r>
        <w:t xml:space="preserve"> (SANOFI WINTHROP)</w:t>
      </w:r>
    </w:p>
    <w:p>
      <w:pPr>
        <w:pStyle w:val="ListBullet"/>
      </w:pPr>
      <w:r>
        <w:t>Formes et Dosages : Comprimé enrobé 25 mg — Boîte de 30 ; Comprimé sécable 100 mg — Boîte de 15.</w:t>
      </w:r>
    </w:p>
    <w:p>
      <w:pPr>
        <w:pStyle w:val="ListBullet"/>
      </w:pPr>
      <w:r>
        <w:t xml:space="preserve">Statut : Retiré (R) — princeps historique de la molécule. </w:t>
      </w:r>
      <w:r>
        <w:rPr>
          <w:b/>
        </w:rPr>
        <w:t>Note nomenclature</w:t>
      </w:r>
      <w:r>
        <w:t xml:space="preserve"> : les dosages de 25 mg et 100 mg dans la nomenclature algérienne sont </w:t>
      </w:r>
      <w:r>
        <w:rPr>
          <w:b/>
        </w:rPr>
        <w:t>anormalement élevés</w:t>
      </w:r>
      <w:r>
        <w:t xml:space="preserve"> par rapport aux dosages internationaux standard de la fluphénazine (comprimés à 1 mg, 2,5 mg et 5 mg en France — Moditen cp à 5 mg). Cette anomalie reflète probablement une </w:t>
      </w:r>
      <w:r>
        <w:rPr>
          <w:b/>
        </w:rPr>
        <w:t>erreur de saisie</w:t>
      </w:r>
      <w:r>
        <w:t xml:space="preserve"> dans la nomenclature algérienne (ou une particularité locale du dosage), mais ne correspond pas à la pharmacologie standard de la fluphénazine — la dose thérapeutique efficace de fluphénazine per os est de 2,5-15 mg/j (et non 25-100 mg/j). Le pharmacien doit </w:t>
      </w:r>
      <w:r>
        <w:rPr>
          <w:b/>
        </w:rPr>
        <w:t>interpréter ces dosages avec prudence</w:t>
      </w:r>
      <w:r>
        <w:t xml:space="preserve"> et se référer au RCP international pour la posologie standard.</w:t>
      </w:r>
    </w:p>
    <w:p>
      <w:pPr>
        <w:pStyle w:val="ListBullet"/>
      </w:pPr>
      <w:r/>
      <w:r>
        <w:rPr>
          <w:b/>
        </w:rPr>
        <w:t>MODECATE</w:t>
      </w:r>
      <w:r>
        <w:t xml:space="preserve"> (SANOFI WINTHROP)</w:t>
      </w:r>
    </w:p>
    <w:p>
      <w:pPr>
        <w:pStyle w:val="ListBullet"/>
      </w:pPr>
      <w:r>
        <w:t>Formes et Dosages : Solution injectable IM 25 mg/mL (ester décanoate, libération prolongée mensuelle) — Boîte de 3 ampoules.</w:t>
      </w:r>
    </w:p>
    <w:p>
      <w:pPr>
        <w:pStyle w:val="ListBullet"/>
      </w:pPr>
      <w:r>
        <w:t>Statut : Retiré (R) — forme decanoate LP historique, aujourd'hui supplantée par l'halopéridol decanoate (Haldol Decanoas® — Janssen).</w:t>
      </w:r>
    </w:p>
    <w:p>
      <w:r/>
      <w:r>
        <w:rPr>
          <w:b/>
        </w:rPr>
        <w:t>Note nomenclature</w:t>
      </w:r>
      <w:r>
        <w:t xml:space="preserve"> : À Avril 2026, la fluphénazine est </w:t>
      </w:r>
      <w:r>
        <w:rPr>
          <w:b/>
        </w:rPr>
        <w:t>pratiquement indisponible</w:t>
      </w:r>
      <w:r>
        <w:t xml:space="preserve"> en Algérie pour la maintenance au long cours — la forme orale (comprimés) est retirée, la forme decanoate LP mensuelle (Modecate®) est retirée. Seule persiste la forme injectable IM 25 mg/mL (PROLINATE Sun Pharma) — usage hospitalier limité. Les patients algériens historiquement équilibrés sous fluphénazine doivent être </w:t>
      </w:r>
      <w:r>
        <w:rPr>
          <w:b/>
        </w:rPr>
        <w:t>relayés vers l'halopéridol decanoate LP</w:t>
      </w:r>
      <w:r>
        <w:t xml:space="preserve"> (Haldol Decanoas® 50 mg/mL — disponible) ou un atypique, sous surveillance psychiatrique étroite pour éviter la rechute. Cette situation est un enjeu de santé publique en Algérie.</w:t>
      </w:r>
    </w:p>
    <w:p>
      <w:r/>
      <w:r>
        <w:rPr>
          <w:b/>
        </w:rPr>
        <w:t>Sous-classe et Mécanisme d'action :</w:t>
      </w:r>
      <w:r/>
    </w:p>
    <w:p>
      <w:pPr>
        <w:pStyle w:val="ListBullet"/>
      </w:pPr>
      <w:r>
        <w:t xml:space="preserve">Sous-classe : </w:t>
      </w:r>
      <w:r>
        <w:rPr>
          <w:b/>
        </w:rPr>
        <w:t>Phénothiazine pipérazinée — antipsychotique typique de 1re génération, haute puissance (« incisif pur »)</w:t>
      </w:r>
      <w:r>
        <w:t xml:space="preserve"> — positionnée historiquement en psychiatrie pour le traitement des </w:t>
      </w:r>
      <w:r>
        <w:rPr>
          <w:b/>
        </w:rPr>
        <w:t>schizophrénies paranoïdes</w:t>
      </w:r>
      <w:r>
        <w:t xml:space="preserve"> avec symptômes positifs marqués (hallucinations, délires) sans composante anxieuse ni agitation associée. Profil « incisif pur » avec EPS majeurs mais peu de sédation/hypotension/anticholinergiques — profil pharmacologique proche de l'halopéridol.</w:t>
      </w:r>
    </w:p>
    <w:p>
      <w:pPr>
        <w:pStyle w:val="ListBullet"/>
      </w:pPr>
      <w:r>
        <w:t xml:space="preserve">Mécanisme d'action : la fluphénazine est un </w:t>
      </w:r>
      <w:r>
        <w:rPr>
          <w:b/>
        </w:rPr>
        <w:t>antagoniste compétitif de très haute affinité</w:t>
      </w:r>
      <w:r>
        <w:t xml:space="preserve"> (Ki ≈ 0,5-2 nM — l'une des plus élevées de la classe neuroleptique) des </w:t>
      </w:r>
      <w:r>
        <w:rPr>
          <w:b/>
        </w:rPr>
        <w:t>récepteurs dopaminergiques D2</w:t>
      </w:r>
      <w:r>
        <w:t xml:space="preserve"> couplés aux protéines Gi/o. Le blocage des récepteurs D2 postsynaptiques de la </w:t>
      </w:r>
      <w:r>
        <w:rPr>
          <w:b/>
        </w:rPr>
        <w:t>voie mésolimbique</w:t>
      </w:r>
      <w:r>
        <w:t xml:space="preserve"> est responsable de la </w:t>
      </w:r>
      <w:r>
        <w:rPr>
          <w:b/>
        </w:rPr>
        <w:t>réduction des symptômes positifs</w:t>
      </w:r>
      <w:r>
        <w:t xml:space="preserve"> (effet antipsychotique). Le blocage des D2 de la </w:t>
      </w:r>
      <w:r>
        <w:rPr>
          <w:b/>
        </w:rPr>
        <w:t>voie nigro-striée</w:t>
      </w:r>
      <w:r>
        <w:t xml:space="preserve"> est responsable des </w:t>
      </w:r>
      <w:r>
        <w:rPr>
          <w:b/>
        </w:rPr>
        <w:t>effets extrapyramidaux majeurs</w:t>
      </w:r>
      <w:r>
        <w:t xml:space="preserve"> (akathisie, parkinsonisme, dystonie aiguë — incidence très élevée dès l'initiation). Le blocage des D2 de la </w:t>
      </w:r>
      <w:r>
        <w:rPr>
          <w:b/>
        </w:rPr>
        <w:t>voie tubéro-infundibulaire</w:t>
      </w:r>
      <w:r>
        <w:t xml:space="preserve"> est responsable d'une </w:t>
      </w:r>
      <w:r>
        <w:rPr>
          <w:b/>
        </w:rPr>
        <w:t>hyperprolactinémie</w:t>
      </w:r>
      <w:r>
        <w:t xml:space="preserve"> (modeste — moins marquée qu'avec les benzamides). La fluphénazine présente une </w:t>
      </w:r>
      <w:r>
        <w:rPr>
          <w:b/>
        </w:rPr>
        <w:t>faible affinité</w:t>
      </w:r>
      <w:r>
        <w:t xml:space="preserve"> pour les récepteurs α1-adrénergiques (hypotension modérée), H1-histaminiques (sédation modérée), et muscariniques M1 (effets anticholinergiques minimes) — d'où son profil « incisif pur » avec EPS majeurs mais peu de sédation/hypotension/anticholinergiques. La flupéhnazine est métabolisée par le foie (CYP2D6 principalement) — la demi-vie d'élimination est de </w:t>
      </w:r>
      <w:r>
        <w:rPr>
          <w:b/>
        </w:rPr>
        <w:t>15-30 h</w:t>
      </w:r>
      <w:r>
        <w:t xml:space="preserve"> pour la forme orale, et </w:t>
      </w:r>
      <w:r>
        <w:rPr>
          <w:b/>
        </w:rPr>
        <w:t>3-4 semaines</w:t>
      </w:r>
      <w:r>
        <w:t xml:space="preserve"> pour la forme decanoate LP IM (hydrolyse enzymatique de l'ester décanoïque par les estérases plasmatiques et hépatiques).</w:t>
      </w:r>
    </w:p>
    <w:p>
      <w:r/>
      <w:r>
        <w:rPr>
          <w:b/>
        </w:rPr>
        <w:t>Profil Pharmacologique :</w:t>
      </w:r>
      <w:r/>
    </w:p>
    <w:p>
      <w:pPr>
        <w:pStyle w:val="ListBullet"/>
      </w:pPr>
      <w:r>
        <w:t>Indications :</w:t>
      </w:r>
    </w:p>
    <w:p>
      <w:pPr>
        <w:pStyle w:val="ListBullet"/>
      </w:pPr>
      <w:r/>
      <w:r>
        <w:rPr>
          <w:b/>
        </w:rPr>
        <w:t>Schizophrénie paranoïde</w:t>
      </w:r>
      <w:r>
        <w:t xml:space="preserve"> avec symptômes positifs marqués (hallucinations auditives, délire de persécution, troubles de la pensée) — posologie 2,5-15 mg/j per os (forme orale retirée en Algérie).</w:t>
      </w:r>
    </w:p>
    <w:p>
      <w:pPr>
        <w:pStyle w:val="ListBullet"/>
      </w:pPr>
      <w:r/>
      <w:r>
        <w:rPr>
          <w:b/>
        </w:rPr>
        <w:t>Maintenance au long cours</w:t>
      </w:r>
      <w:r>
        <w:t xml:space="preserve"> chez le patient non observant — fluphénazine decanoate IM mensuel (Modecate® — retiré en Algérie).</w:t>
      </w:r>
    </w:p>
    <w:p>
      <w:pPr>
        <w:pStyle w:val="ListBullet"/>
      </w:pPr>
      <w:r/>
      <w:r>
        <w:rPr>
          <w:b/>
        </w:rPr>
        <w:t>Episode psychotique aigu</w:t>
      </w:r>
      <w:r>
        <w:t xml:space="preserve"> — fluphénazine IM 1,25-2,5 mg (aujourd'hui supplantée par l'halopéridol IM).</w:t>
      </w:r>
    </w:p>
    <w:p>
      <w:pPr>
        <w:pStyle w:val="ListBullet"/>
      </w:pPr>
      <w:r/>
      <w:r>
        <w:rPr>
          <w:b/>
        </w:rPr>
        <w:t>Hors psychiatrie</w:t>
      </w:r>
      <w:r>
        <w:t xml:space="preserve"> : fluphénazine à très faible dose (0,5-1 mg/j) dans certaines </w:t>
      </w:r>
      <w:r>
        <w:rPr>
          <w:b/>
        </w:rPr>
        <w:t>dépressions réfractaires</w:t>
      </w:r>
      <w:r>
        <w:t xml:space="preserve"> (potentialisation des antidépresseurs — effet D2 sur la voie mésocorticale — pratique contestée).</w:t>
      </w:r>
    </w:p>
    <w:p>
      <w:pPr>
        <w:pStyle w:val="ListBullet"/>
      </w:pPr>
      <w:r>
        <w:t xml:space="preserve">Contre-indications : identiques à l'halopéridol — hypersensibilité, </w:t>
      </w:r>
      <w:r>
        <w:rPr>
          <w:b/>
        </w:rPr>
        <w:t>maladie de Parkinson</w:t>
      </w:r>
      <w:r>
        <w:t xml:space="preserve"> (CI absolue), </w:t>
      </w:r>
      <w:r>
        <w:rPr>
          <w:b/>
        </w:rPr>
        <w:t>démence à corps de Lewy</w:t>
      </w:r>
      <w:r>
        <w:t xml:space="preserve"> (CI absolue), </w:t>
      </w:r>
      <w:r>
        <w:rPr>
          <w:b/>
        </w:rPr>
        <w:t>SMN</w:t>
      </w:r>
      <w:r>
        <w:t xml:space="preserve"> personnel, </w:t>
      </w:r>
      <w:r>
        <w:rPr>
          <w:b/>
        </w:rPr>
        <w:t>allongement préexistant du QT</w:t>
      </w:r>
      <w:r>
        <w:t xml:space="preserve">, </w:t>
      </w:r>
      <w:r>
        <w:rPr>
          <w:b/>
        </w:rPr>
        <w:t>association avec allongeurs de QT</w:t>
      </w:r>
      <w:r>
        <w:t xml:space="preserve"> (CI absolue), </w:t>
      </w:r>
      <w:r>
        <w:rPr>
          <w:b/>
        </w:rPr>
        <w:t>association avec lévodopa/agonistes dopaminergiques</w:t>
      </w:r>
      <w:r>
        <w:t xml:space="preserve"> (CI absolue), phéochromocytome, dépression sévère, état comateux, allaitement à dose élevée au long cours.</w:t>
      </w:r>
    </w:p>
    <w:p>
      <w:pPr>
        <w:pStyle w:val="ListBullet"/>
      </w:pPr>
      <w:r>
        <w:t>Effets Indésirables :</w:t>
      </w:r>
    </w:p>
    <w:p>
      <w:pPr>
        <w:pStyle w:val="ListBullet"/>
      </w:pPr>
      <w:r/>
      <w:r>
        <w:rPr>
          <w:b/>
        </w:rPr>
        <w:t>Très fréquents (≥ 1/10)</w:t>
      </w:r>
      <w:r>
        <w:t xml:space="preserve"> : </w:t>
      </w:r>
      <w:r>
        <w:rPr>
          <w:b/>
        </w:rPr>
        <w:t>akathisie</w:t>
      </w:r>
      <w:r>
        <w:t xml:space="preserve"> (incidence 40-60 % — l'une des plus élevées de la classe — apparaît en quelques heures à jours, dose-dépendante — urgence thérapeutique) ; </w:t>
      </w:r>
      <w:r>
        <w:rPr>
          <w:b/>
        </w:rPr>
        <w:t>parkinsonisme</w:t>
      </w:r>
      <w:r>
        <w:t xml:space="preserve"> (incidence 30-50 % — hypertonie, akinésie, tremblement) ; </w:t>
      </w:r>
      <w:r>
        <w:rPr>
          <w:b/>
        </w:rPr>
        <w:t>dystonie aiguë</w:t>
      </w:r>
      <w:r>
        <w:t xml:space="preserve"> (incidence 10-15 % — surtout sujet jeune homme — apparaît en heures à jours — urgence) ; </w:t>
      </w:r>
      <w:r>
        <w:rPr>
          <w:b/>
        </w:rPr>
        <w:t>insomnie, anxiété, agitation paradoxale</w:t>
      </w:r>
      <w:r>
        <w:t xml:space="preserve"> (effet stimulant paradoxal initial lié à l'akathisie).</w:t>
      </w:r>
    </w:p>
    <w:p>
      <w:pPr>
        <w:pStyle w:val="ListBullet"/>
      </w:pPr>
      <w:r/>
      <w:r>
        <w:rPr>
          <w:b/>
        </w:rPr>
        <w:t>Fréquents (≥ 1/100 à &lt; 1/10)</w:t>
      </w:r>
      <w:r>
        <w:t xml:space="preserve"> : </w:t>
      </w:r>
      <w:r>
        <w:rPr>
          <w:b/>
        </w:rPr>
        <w:t>dyskinésie tardive</w:t>
      </w:r>
      <w:r>
        <w:t xml:space="preserve"> (incidence 7-10 % par an — l'une des plus élevées de la classe — potentiellement irréversible — prévention par dose minimale efficace) ; </w:t>
      </w:r>
      <w:r>
        <w:rPr>
          <w:b/>
        </w:rPr>
        <w:t>sédation, somnolence</w:t>
      </w:r>
      <w:r>
        <w:t xml:space="preserve"> (modérée) ; </w:t>
      </w:r>
      <w:r>
        <w:rPr>
          <w:b/>
        </w:rPr>
        <w:t>hyperprolactinémie</w:t>
      </w:r>
      <w:r>
        <w:t xml:space="preserve"> (galactorrhée, aménorrhée, gynécomastie) ; </w:t>
      </w:r>
      <w:r>
        <w:rPr>
          <w:b/>
        </w:rPr>
        <w:t>troubles visuels</w:t>
      </w:r>
      <w:r>
        <w:t xml:space="preserve"> (accommodation).</w:t>
      </w:r>
    </w:p>
    <w:p>
      <w:pPr>
        <w:pStyle w:val="ListBullet"/>
      </w:pPr>
      <w:r/>
      <w:r>
        <w:rPr>
          <w:b/>
        </w:rPr>
        <w:t>Peu fréquents (≥ 1/1000 à &lt; 1/100)</w:t>
      </w:r>
      <w:r>
        <w:t xml:space="preserve"> : </w:t>
      </w:r>
      <w:r>
        <w:rPr>
          <w:b/>
        </w:rPr>
        <w:t>SMN</w:t>
      </w:r>
      <w:r>
        <w:t xml:space="preserve"> (urgence vitale) ; </w:t>
      </w:r>
      <w:r>
        <w:rPr>
          <w:b/>
        </w:rPr>
        <w:t>allongement de l'espace QT</w:t>
      </w:r>
      <w:r>
        <w:t xml:space="preserve"> (modéré à dose standard, marqué à forte dose) — risque de </w:t>
      </w:r>
      <w:r>
        <w:rPr>
          <w:b/>
        </w:rPr>
        <w:t>torsades de pointes (TdP)</w:t>
      </w:r>
      <w:r>
        <w:t xml:space="preserve"> ; convulsions ; réactions cutanées (photosensibilité modérée) ; rétention urinaire (modérée).</w:t>
      </w:r>
    </w:p>
    <w:p>
      <w:pPr>
        <w:pStyle w:val="ListBullet"/>
      </w:pPr>
      <w:r/>
      <w:r>
        <w:rPr>
          <w:b/>
        </w:rPr>
        <w:t>Rares</w:t>
      </w:r>
      <w:r>
        <w:t xml:space="preserve"> : ictère cholestatique, agranulocytose, syndrome de Stevens-Johnson, nécrolyse épidermique toxique (Lyell), réactions anaphylactiques.</w:t>
      </w:r>
    </w:p>
    <w:p>
      <w:r/>
      <w:r>
        <w:rPr>
          <w:b/>
        </w:rPr>
        <w:t>Prévention et Gestion des Effets Indésirables :</w:t>
      </w:r>
      <w:r/>
    </w:p>
    <w:p>
      <w:pPr>
        <w:pStyle w:val="ListBullet"/>
      </w:pPr>
      <w:r>
        <w:t xml:space="preserve">Mesures Préventives : identiques à l'halopéridol — </w:t>
      </w:r>
      <w:r>
        <w:rPr>
          <w:b/>
        </w:rPr>
        <w:t>dose minimale efficace</w:t>
      </w:r>
      <w:r>
        <w:t xml:space="preserve"> (démarrer à 0,5-1 mg/j per os, titrer par paliers de 0,5-1 mg tous les 3-7 jours — dose maximale 20 mg/j) ; surveillance EPS systématique (Simpson-Angus, Barnes, AIMS) ; surveillance ECG (initial, à 1 semaine, mensuel si dose élevée ou antécédent) ; surveillance température (SMN) ; surveillance biologique (NFS, hépatique, prolactinémie) ; hydratation ; protection solaire. La fluphénazine étant l'une des molécules les plus pourvoyeuses d'EPS, la </w:t>
      </w:r>
      <w:r>
        <w:rPr>
          <w:b/>
        </w:rPr>
        <w:t>prescription systématique d'un anticholinergique</w:t>
      </w:r>
      <w:r>
        <w:t xml:space="preserve"> (trihexyphénidyle, bipéridène) en début de traitement peut être discutée avec le psychiatre — notamment chez le sujet jeune homme à risque de dystonie aiguë.</w:t>
      </w:r>
    </w:p>
    <w:p>
      <w:pPr>
        <w:pStyle w:val="ListBullet"/>
      </w:pPr>
      <w:r>
        <w:t xml:space="preserve">Conduite à Tenir : identique à l'halopéridol — arrêt immédiat en cas de SMN (réanimation, dantrolène IV, bromocriptine) ; dystonie aiguë (bipéridène IM/IV 5 mg — urgence) ; akathisie (réduction de dose, propranolol, lorazépam) ; parkinsonisme (réduction de dose, trihexyphénidyle, bipéridène) ; allongement QT (arrêt, contrôle électrolytique, ECG) ; dyskinésie tardive (arrêt progressif, switch vers un atypique — clozapine, quetiapine). En cas de relais thérapeutique fluphénazine → halopéridol decanoate (situation algérienne actuelle), prévoir un </w:t>
      </w:r>
      <w:r>
        <w:rPr>
          <w:b/>
        </w:rPr>
        <w:t>chevauchement progressif</w:t>
      </w:r>
      <w:r>
        <w:t xml:space="preserve"> sur 2-4 semaines pour éviter le syndrome de sevrage et la rechute psychotique.</w:t>
      </w:r>
    </w:p>
    <w:p>
      <w:r/>
      <w:r>
        <w:rPr>
          <w:b/>
        </w:rPr>
        <w:t>Interactions Importantes :</w:t>
      </w:r>
      <w:r/>
    </w:p>
    <w:p>
      <w:pPr>
        <w:pStyle w:val="ListBullet"/>
      </w:pPr>
      <w:r>
        <w:t>Identiques à l'halopéridol (les deux molécules partagent le profil « incisif pur » avec haute affinité D2 et faible affinité α1/H1/M1).</w:t>
      </w:r>
    </w:p>
    <w:p>
      <w:pPr>
        <w:pStyle w:val="ListBullet"/>
      </w:pPr>
      <w:r/>
      <w:r>
        <w:rPr>
          <w:b/>
        </w:rPr>
        <w:t>Fluphénazine + lévodopa/agonistes dopaminergiques</w:t>
      </w:r>
      <w:r>
        <w:t xml:space="preserve"> : </w:t>
      </w:r>
      <w:r>
        <w:rPr>
          <w:b/>
        </w:rPr>
        <w:t>CI absolue</w:t>
      </w:r>
      <w:r>
        <w:t xml:space="preserve"> (antagonisme pharmacodynamique complet).</w:t>
      </w:r>
    </w:p>
    <w:p>
      <w:pPr>
        <w:pStyle w:val="ListBullet"/>
      </w:pPr>
      <w:r/>
      <w:r>
        <w:rPr>
          <w:b/>
        </w:rPr>
        <w:t>Fluphénazine + autres allongeurs de QT</w:t>
      </w:r>
      <w:r>
        <w:t xml:space="preserve"> : </w:t>
      </w:r>
      <w:r>
        <w:rPr>
          <w:b/>
        </w:rPr>
        <w:t>CI absolue</w:t>
      </w:r>
      <w:r>
        <w:t xml:space="preserve"> ou </w:t>
      </w:r>
      <w:r>
        <w:rPr>
          <w:b/>
        </w:rPr>
        <w:t>déconseillé</w:t>
      </w:r>
      <w:r>
        <w:t xml:space="preserve"> (cf. section Halopéridol).</w:t>
      </w:r>
    </w:p>
    <w:p>
      <w:pPr>
        <w:pStyle w:val="ListBullet"/>
      </w:pPr>
      <w:r/>
      <w:r>
        <w:rPr>
          <w:b/>
        </w:rPr>
        <w:t>Fluphénazine + dépresseurs du SNC</w:t>
      </w:r>
      <w:r>
        <w:t xml:space="preserve"> : sédation additive.</w:t>
      </w:r>
    </w:p>
    <w:p>
      <w:pPr>
        <w:pStyle w:val="ListBullet"/>
      </w:pPr>
      <w:r/>
      <w:r>
        <w:rPr>
          <w:b/>
        </w:rPr>
        <w:t>Fluphénazine + antihypertenseurs</w:t>
      </w:r>
      <w:r>
        <w:t xml:space="preserve"> : potentialisation de l'hypotension orthostatique (modérée).</w:t>
      </w:r>
    </w:p>
    <w:p>
      <w:pPr>
        <w:pStyle w:val="ListBullet"/>
      </w:pPr>
      <w:r/>
      <w:r>
        <w:rPr>
          <w:b/>
        </w:rPr>
        <w:t>Fluphénazine + lithium</w:t>
      </w:r>
      <w:r>
        <w:t xml:space="preserve"> : potentialisation de l'effet antipsychotique, mais augmentation du risque d'encéphalopathie toxique.</w:t>
      </w:r>
    </w:p>
    <w:p>
      <w:pPr>
        <w:pStyle w:val="ListBullet"/>
      </w:pPr>
      <w:r/>
      <w:r>
        <w:rPr>
          <w:b/>
        </w:rPr>
        <w:t>Fluphénazine + inducteurs/inhibiteurs enzymatiques</w:t>
      </w:r>
      <w:r>
        <w:t xml:space="preserve"> (CYP2D6, CYP3A4) : adapter la posologie.</w:t>
      </w:r>
    </w:p>
    <w:p>
      <w:r/>
      <w:r>
        <w:rPr>
          <w:b/>
        </w:rPr>
        <w:t>Grossesse et Allaitement :</w:t>
      </w:r>
      <w:r/>
    </w:p>
    <w:p>
      <w:pPr>
        <w:pStyle w:val="ListBullet"/>
      </w:pPr>
      <w:r>
        <w:t xml:space="preserve">Grossesse : selon le </w:t>
      </w:r>
      <w:r>
        <w:rPr>
          <w:b/>
        </w:rPr>
        <w:t>CRAT</w:t>
      </w:r>
      <w:r>
        <w:t xml:space="preserve">, la fluphénazine a un </w:t>
      </w:r>
      <w:r>
        <w:rPr>
          <w:b/>
        </w:rPr>
        <w:t>recul limité</w:t>
      </w:r>
      <w:r>
        <w:t xml:space="preserve"> mais rassurant — aucune donnée d'augmentation du risque de malformations congénitales majeures. Cependant, le profil étant moins bien documenté que l'halopéridol, le CRAT recommande de </w:t>
      </w:r>
      <w:r>
        <w:rPr>
          <w:b/>
        </w:rPr>
        <w:t>privilégier l'halopéridol à dose minimale efficace</w:t>
      </w:r>
      <w:r>
        <w:t xml:space="preserve"> pendant la grossesse. La fluphénazine traverse la barrière placentaire et expose le nouveau-né à un risque de </w:t>
      </w:r>
      <w:r>
        <w:rPr>
          <w:b/>
        </w:rPr>
        <w:t>symptômes extrapyramidaux néonatals transitoires</w:t>
      </w:r>
      <w:r>
        <w:t xml:space="preserve"> (hypertonie, hyperréflexie, tremblements, agitation, dystonie). Recommandations : éviter si possible le 1er trimestre, surveiller le nouveau-né en maternité (pédiatre informé).</w:t>
      </w:r>
    </w:p>
    <w:p>
      <w:pPr>
        <w:pStyle w:val="ListBullet"/>
      </w:pPr>
      <w:r>
        <w:t xml:space="preserve">Allaitement : selon le </w:t>
      </w:r>
      <w:r>
        <w:rPr>
          <w:b/>
        </w:rPr>
        <w:t>CRAT</w:t>
      </w:r>
      <w:r>
        <w:t xml:space="preserve">, la fluphénazine passe dans le lait maternel — la dose ingérée par le nourrisson est estimée à </w:t>
      </w:r>
      <w:r>
        <w:rPr>
          <w:b/>
        </w:rPr>
        <w:t>1-3 % de la dose maternelle pondérée par le poids</w:t>
      </w:r>
      <w:r>
        <w:t xml:space="preserve">. Aux doses thérapeutiques habituelles (2,5-15 mg/j), l'allaitement est </w:t>
      </w:r>
      <w:r>
        <w:rPr>
          <w:b/>
        </w:rPr>
        <w:t>théoriquement possible</w:t>
      </w:r>
      <w:r>
        <w:t xml:space="preserve"> mais expose à un risque d'</w:t>
      </w:r>
      <w:r>
        <w:rPr>
          <w:b/>
        </w:rPr>
        <w:t>EPS néonatals</w:t>
      </w:r>
      <w:r>
        <w:t xml:space="preserve"> (hypertonie, hyperréflexie). Recommandation : privilégier l'halopéridol (meilleur profil lacté selon le CRAT) ou un atypique (aripiprazole, quetiapine), surveiller le nourrisson.</w:t>
      </w:r>
    </w:p>
    <w:p>
      <w:pPr>
        <w:pStyle w:val="ListBullet"/>
      </w:pPr>
      <w:r>
        <w:t xml:space="preserve">Précisions : évaluation </w:t>
      </w:r>
      <w:r>
        <w:rPr>
          <w:b/>
        </w:rPr>
        <w:t>bénéfice/risque</w:t>
      </w:r>
      <w:r>
        <w:t xml:space="preserve"> individuelle au cas par cas. Pour une femme en âge de procréer avec projet de grossesse, </w:t>
      </w:r>
      <w:r>
        <w:rPr>
          <w:b/>
        </w:rPr>
        <w:t>privilégier l'halopéridol ou un atypique</w:t>
      </w:r>
      <w:r>
        <w:t>.</w:t>
      </w:r>
    </w:p>
    <w:p>
      <w:r/>
      <w:r>
        <w:rPr>
          <w:b/>
        </w:rPr>
        <w:t>Posologie et Mode d'administration (Standard) :</w:t>
      </w:r>
      <w:r/>
    </w:p>
    <w:p>
      <w:pPr>
        <w:pStyle w:val="ListBullet"/>
      </w:pPr>
      <w:r>
        <w:t>Adulte (per os — comprimés — forme retirée en Algérie mais posologie de référence) :</w:t>
      </w:r>
    </w:p>
    <w:p>
      <w:pPr>
        <w:pStyle w:val="ListBullet"/>
      </w:pPr>
      <w:r/>
      <w:r>
        <w:rPr>
          <w:b/>
        </w:rPr>
        <w:t>Initiation</w:t>
      </w:r>
      <w:r>
        <w:t xml:space="preserve"> : 0,5-1 mg/jour en 1-2 prises, à augmenter progressivement par paliers de 0,5-1 mg tous les 3-7 jours selon la réponse clinique et la tolérance.</w:t>
      </w:r>
    </w:p>
    <w:p>
      <w:pPr>
        <w:pStyle w:val="ListBullet"/>
      </w:pPr>
      <w:r/>
      <w:r>
        <w:rPr>
          <w:b/>
        </w:rPr>
        <w:t>Dose d'entretien</w:t>
      </w:r>
      <w:r>
        <w:t xml:space="preserve"> : 2,5-15 mg/jour en 1-3 prises — dose moyenne habituelle 5-10 mg/j.</w:t>
      </w:r>
    </w:p>
    <w:p>
      <w:pPr>
        <w:pStyle w:val="ListBullet"/>
      </w:pPr>
      <w:r/>
      <w:r>
        <w:rPr>
          <w:b/>
        </w:rPr>
        <w:t>Dose maximale</w:t>
      </w:r>
      <w:r>
        <w:t xml:space="preserve"> : 20 mg/jour per os (au-delà, surveillance renforcée ECG, EPS, biologie).</w:t>
      </w:r>
    </w:p>
    <w:p>
      <w:pPr>
        <w:pStyle w:val="ListBullet"/>
      </w:pPr>
      <w:r>
        <w:t>Adulte (IM aigu — solution injectable 2,5 mg/mL — forme historique non disponible en Algérie) :</w:t>
      </w:r>
    </w:p>
    <w:p>
      <w:pPr>
        <w:pStyle w:val="ListBullet"/>
      </w:pPr>
      <w:r/>
      <w:r>
        <w:rPr>
          <w:b/>
        </w:rPr>
        <w:t>Agitation psychotique aiguë</w:t>
      </w:r>
      <w:r>
        <w:t xml:space="preserve"> : 1,25-2,5 mg IM, à répéter éventuellement toutes les 6-8 h, sans dépasser 10 mg/24 h.</w:t>
      </w:r>
    </w:p>
    <w:p>
      <w:pPr>
        <w:pStyle w:val="ListBullet"/>
      </w:pPr>
      <w:r>
        <w:t>Adulte (decanoate LP IM mensuel — Modecate® 25 mg/mL — retiré en Algérie) :</w:t>
      </w:r>
    </w:p>
    <w:p>
      <w:pPr>
        <w:pStyle w:val="ListBullet"/>
      </w:pPr>
      <w:r/>
      <w:r>
        <w:rPr>
          <w:b/>
        </w:rPr>
        <w:t>Initiation</w:t>
      </w:r>
      <w:r>
        <w:t xml:space="preserve"> : 12,5-25 mg IM tous les 21-28 jours (3-4 semaines).</w:t>
      </w:r>
    </w:p>
    <w:p>
      <w:pPr>
        <w:pStyle w:val="ListBullet"/>
      </w:pPr>
      <w:r/>
      <w:r>
        <w:rPr>
          <w:b/>
        </w:rPr>
        <w:t>Dose d'entretien</w:t>
      </w:r>
      <w:r>
        <w:t xml:space="preserve"> : 12,5-50 mg IM tous les 21-28 jours — dose moyenne habituelle 25 mg/mois.</w:t>
      </w:r>
    </w:p>
    <w:p>
      <w:pPr>
        <w:pStyle w:val="ListBullet"/>
      </w:pPr>
      <w:r/>
      <w:r>
        <w:rPr>
          <w:b/>
        </w:rPr>
        <w:t>Relais per os → decanoate</w:t>
      </w:r>
      <w:r>
        <w:t xml:space="preserve"> : la dose mensuelle est généralement </w:t>
      </w:r>
      <w:r>
        <w:rPr>
          <w:b/>
        </w:rPr>
        <w:t>2 à 3 fois la dose orale journalière</w:t>
      </w:r>
      <w:r>
        <w:t xml:space="preserve"> (par exemple : 5 mg/j per os → 12,5-25 mg IM mensuel ; 10 mg/j per os → 25-50 mg IM mensuel).</w:t>
      </w:r>
    </w:p>
    <w:p>
      <w:pPr>
        <w:pStyle w:val="ListBullet"/>
      </w:pPr>
      <w:r>
        <w:t>Sujet âgé (&gt; 65 ans) :</w:t>
      </w:r>
    </w:p>
    <w:p>
      <w:pPr>
        <w:pStyle w:val="ListBullet"/>
      </w:pPr>
      <w:r/>
      <w:r>
        <w:rPr>
          <w:b/>
        </w:rPr>
        <w:t>Per os</w:t>
      </w:r>
      <w:r>
        <w:t xml:space="preserve"> : 0,5-1 mg/jour en 1-2 prises, à titrer très lentement. Dose maximale recommandée : 5 mg/jour.</w:t>
      </w:r>
    </w:p>
    <w:p>
      <w:pPr>
        <w:pStyle w:val="ListBullet"/>
      </w:pPr>
      <w:r/>
      <w:r>
        <w:rPr>
          <w:b/>
        </w:rPr>
        <w:t>Decanoate LP</w:t>
      </w:r>
      <w:r>
        <w:t xml:space="preserve"> : 6,25-12,5 mg IM mensuel — prudence.</w:t>
      </w:r>
    </w:p>
    <w:p>
      <w:pPr>
        <w:pStyle w:val="ListBullet"/>
      </w:pPr>
      <w:r>
        <w:t>Insuffisant rénal : pas d'adaptation stricte, prudence chez le sujet âgé.</w:t>
      </w:r>
    </w:p>
    <w:p>
      <w:pPr>
        <w:pStyle w:val="ListBullet"/>
      </w:pPr>
      <w:r>
        <w:t xml:space="preserve">Insuffisant hépatique : </w:t>
      </w:r>
      <w:r>
        <w:rPr>
          <w:b/>
        </w:rPr>
        <w:t>prudence, réduction de dose de moitié</w:t>
      </w:r>
      <w:r>
        <w:t xml:space="preserve"> — surveillance clinique et ECG.</w:t>
      </w:r>
    </w:p>
    <w:p>
      <w:pPr>
        <w:pStyle w:val="ListBullet"/>
      </w:pPr>
      <w:r>
        <w:t xml:space="preserve">Durée : </w:t>
      </w:r>
      <w:r>
        <w:rPr>
          <w:b/>
        </w:rPr>
        <w:t>au long cours</w:t>
      </w:r>
      <w:r>
        <w:t>. Réduction progressive par paliers sur 4-8 semaines en cas d'arrêt.</w:t>
      </w:r>
    </w:p>
    <w:p>
      <w:pPr>
        <w:pStyle w:val="ListBullet"/>
      </w:pPr>
      <w:r>
        <w:t>Moment de la prise : per os pendant les repas, en 1-3 prises. Prise du soir privilégiée pour la dose la plus élevée.</w:t>
      </w:r>
    </w:p>
    <w:p>
      <w:r/>
      <w:r>
        <w:rPr>
          <w:b/>
        </w:rPr>
        <w:t>Arbitrage et Bénéfices des Formes Galéniques :</w:t>
      </w:r>
      <w:r/>
    </w:p>
    <w:p>
      <w:pPr>
        <w:pStyle w:val="ListBullet"/>
      </w:pPr>
      <w:r/>
      <w:r>
        <w:rPr>
          <w:b/>
        </w:rPr>
        <w:t>Comprimés</w:t>
      </w:r>
      <w:r>
        <w:t xml:space="preserve"> : titration fine par quart ou demi-comprimé. Forme retirée en Algérie — relayée par l'halopéridol per os ou un atypique.</w:t>
      </w:r>
    </w:p>
    <w:p>
      <w:pPr>
        <w:pStyle w:val="ListBullet"/>
      </w:pPr>
      <w:r/>
      <w:r>
        <w:rPr>
          <w:b/>
        </w:rPr>
        <w:t>Solution injectable IM immédiate</w:t>
      </w:r>
      <w:r>
        <w:t xml:space="preserve"> : forme aiguë urgences psychiatriques. Aujourd'hui supplantée par l'halopéridol IM.</w:t>
      </w:r>
    </w:p>
    <w:p>
      <w:pPr>
        <w:pStyle w:val="ListBullet"/>
      </w:pPr>
      <w:r/>
      <w:r>
        <w:rPr>
          <w:b/>
        </w:rPr>
        <w:t>Decanoate LP IM mensuel</w:t>
      </w:r>
      <w:r>
        <w:t xml:space="preserve"> (Modecate® 25 mg/mL) : forme historique de psychothérapie injectable prolongée mensuelle — </w:t>
      </w:r>
      <w:r>
        <w:rPr>
          <w:b/>
        </w:rPr>
        <w:t>retirée du marché algérien</w:t>
      </w:r>
      <w:r>
        <w:t xml:space="preserve">. Les patients algériens historiquement équilibrés sous fluphénazine decanoate doivent être </w:t>
      </w:r>
      <w:r>
        <w:rPr>
          <w:b/>
        </w:rPr>
        <w:t>relayés vers l'halopéridol decanoate LP</w:t>
      </w:r>
      <w:r>
        <w:t xml:space="preserve"> (Haldol Decanoas® 50 mg/mL — Janssen — disponible) — sous surveillance psychiatrique étroite. </w:t>
      </w:r>
      <w:r>
        <w:rPr>
          <w:b/>
        </w:rPr>
        <w:t>Equivalence approximative</w:t>
      </w:r>
      <w:r>
        <w:t xml:space="preserve"> : fluphénazine decanoate 25 mg/mois ≈ halopéridol decanoate 50-75 mg/mois (à adapter selon la réponse clinique).</w:t>
      </w:r>
    </w:p>
    <w:p>
      <w:r/>
      <w:r>
        <w:rPr>
          <w:b/>
        </w:rPr>
        <w:t>Instructions et Conseils au Patient :</w:t>
      </w:r>
      <w:r/>
    </w:p>
    <w:p>
      <w:pPr>
        <w:pStyle w:val="ListBullet"/>
      </w:pPr>
      <w:r>
        <w:t>Communication au comptoir : identique à l'halopéridol — expliquer la nature du traitement (antipsychotique incisif), les effets indésirables attendus (akathisie initiale très fréquente, tremblements, hyperréflexie), la surveillance fièvre (SMN), l'interdiction d'arrêt brutal, l'hydratation, la protection solaire, le lever progressif, l'éviction de l'alcool.</w:t>
      </w:r>
    </w:p>
    <w:p>
      <w:pPr>
        <w:pStyle w:val="ListBullet"/>
      </w:pPr>
      <w:r>
        <w:t xml:space="preserve">En cas de </w:t>
      </w:r>
      <w:r>
        <w:rPr>
          <w:b/>
        </w:rPr>
        <w:t>relais thérapeutique</w:t>
      </w:r>
      <w:r>
        <w:t xml:space="preserve"> fluphénazine → halopéridol decanoate : informer le patient de la substitution, surveiller étroitement les premières semaines (risque de rechute, d'EPS émergents, de syndrome de sevrage), prévoir une consultation psychiatrique de contrôle à 1 mois.</w:t>
      </w:r>
    </w:p>
    <w:p>
      <w:pPr>
        <w:pStyle w:val="ListBullet"/>
      </w:pPr>
      <w:r>
        <w:t>Mode d'utilisation pratique : comprimés pendant les repas avec un grand verre d'eau ; solution injectable IM par personnel médical ou paramédical formé, surveillance post-injection 1-2 h.</w:t>
      </w:r>
    </w:p>
    <w:p>
      <w:r/>
      <w:r>
        <w:rPr>
          <w:b/>
        </w:rPr>
        <w:t>Notes, Règles d'Or &amp; Pièges au Comptoir :</w:t>
      </w:r>
      <w:r/>
    </w:p>
    <w:p>
      <w:pPr>
        <w:pStyle w:val="ListBullet"/>
      </w:pPr>
      <w:r>
        <w:t>Piège classique :</w:t>
      </w:r>
    </w:p>
    <w:p>
      <w:pPr>
        <w:pStyle w:val="ListBullet"/>
      </w:pPr>
      <w:r/>
      <w:r>
        <w:rPr>
          <w:b/>
        </w:rPr>
        <w:t>Indisponibilité algérienne</w:t>
      </w:r>
      <w:r>
        <w:t xml:space="preserve"> : à Avril 2026, la fluphénazine est </w:t>
      </w:r>
      <w:r>
        <w:rPr>
          <w:b/>
        </w:rPr>
        <w:t>pratiquement indisponible</w:t>
      </w:r>
      <w:r>
        <w:t xml:space="preserve"> en Algérie (forme orale retirée, decanoate LP retiré) — sauf PROLINATE Sun Pharma solution injectable IM (usage hospitalier). Tout patient algérien sous fluphénazine historique doit être </w:t>
      </w:r>
      <w:r>
        <w:rPr>
          <w:b/>
        </w:rPr>
        <w:t>relayé vers l'halopéridol decanoate</w:t>
      </w:r>
      <w:r>
        <w:t xml:space="preserve"> ou un atypique — sous surveillance psychiatrique étroite. </w:t>
      </w:r>
      <w:r>
        <w:rPr>
          <w:b/>
        </w:rPr>
        <w:t>Le pharmacien doit alerter le prescripteur</w:t>
      </w:r>
      <w:r>
        <w:t xml:space="preserve"> en cas de prescription de fluphénazine non disponible, et orienter vers une alternative disponible.</w:t>
      </w:r>
    </w:p>
    <w:p>
      <w:pPr>
        <w:pStyle w:val="ListBullet"/>
      </w:pPr>
      <w:r/>
      <w:r>
        <w:rPr>
          <w:b/>
        </w:rPr>
        <w:t>Anomalie de dosage</w:t>
      </w:r>
      <w:r>
        <w:t xml:space="preserve"> : les dosages indiqués dans la nomenclature algérienne (MODITEN 25 mg et 100 mg) sont </w:t>
      </w:r>
      <w:r>
        <w:rPr>
          <w:b/>
        </w:rPr>
        <w:t>anormalement élevés</w:t>
      </w:r>
      <w:r>
        <w:t xml:space="preserve"> par rapport aux dosages internationaux standard (1, 2,5, 5 mg en France). Cette anomalie doit être interprétée avec prudence — la posologie standard de fluphénazine per os est 2,5-15 mg/j. </w:t>
      </w:r>
      <w:r>
        <w:rPr>
          <w:b/>
        </w:rPr>
        <w:t>Le pharmacien doit se référer au RCP international</w:t>
      </w:r>
      <w:r>
        <w:t xml:space="preserve"> et contacter le prescripteur en cas de doute.</w:t>
      </w:r>
    </w:p>
    <w:p>
      <w:pPr>
        <w:pStyle w:val="ListBullet"/>
      </w:pPr>
      <w:r/>
      <w:r>
        <w:rPr>
          <w:b/>
        </w:rPr>
        <w:t>EPS majeurs</w:t>
      </w:r>
      <w:r>
        <w:t xml:space="preserve"> : la fluphénazine est l'une des molécules les plus pourvoyeuses d'EPS — akathisie (40-60 %), parkinsonisme (30-50 %), dystonie aiguë (10-15 %), dyskinésie tardive (7-10 %/an). Surveillance EPS renforcée, prescription systématique d'anticholinergique à discuter avec le psychiatre.</w:t>
      </w:r>
    </w:p>
    <w:p>
      <w:pPr>
        <w:pStyle w:val="ListBullet"/>
      </w:pPr>
      <w:r/>
      <w:r>
        <w:rPr>
          <w:b/>
        </w:rPr>
        <w:t>SMN</w:t>
      </w:r>
      <w:r>
        <w:t xml:space="preserve"> — urgence vitale.</w:t>
      </w:r>
    </w:p>
    <w:p>
      <w:pPr>
        <w:pStyle w:val="ListBullet"/>
      </w:pPr>
      <w:r/>
      <w:r>
        <w:rPr>
          <w:b/>
        </w:rPr>
        <w:t>Maladie de Parkinson / Démence à corps de Lewy</w:t>
      </w:r>
      <w:r>
        <w:t xml:space="preserve"> — CI absolue.</w:t>
      </w:r>
    </w:p>
    <w:p>
      <w:pPr>
        <w:pStyle w:val="ListBullet"/>
      </w:pPr>
      <w:r/>
      <w:r>
        <w:rPr>
          <w:b/>
        </w:rPr>
        <w:t>Association avec lévodopa/agonistes dopaminergiques</w:t>
      </w:r>
      <w:r>
        <w:t xml:space="preserve"> — CI absolue.</w:t>
      </w:r>
    </w:p>
    <w:p>
      <w:pPr>
        <w:pStyle w:val="ListBullet"/>
      </w:pPr>
      <w:r/>
      <w:r>
        <w:rPr>
          <w:b/>
        </w:rPr>
        <w:t>Association avec allongeurs de QT</w:t>
      </w:r>
      <w:r>
        <w:t xml:space="preserve"> — CI absolue.</w:t>
      </w:r>
    </w:p>
    <w:p>
      <w:pPr>
        <w:pStyle w:val="ListBullet"/>
      </w:pPr>
      <w:r/>
      <w:r>
        <w:rPr>
          <w:b/>
        </w:rPr>
        <w:t>Relais thérapeutique</w:t>
      </w:r>
      <w:r>
        <w:t xml:space="preserve"> : prévoir un chevauchement progressif sur 2-4 semaines en cas de switch vers l'halopéridol ou un atypique.</w:t>
      </w:r>
    </w:p>
    <w:p>
      <w:pPr>
        <w:pStyle w:val="ListBullet"/>
      </w:pPr>
      <w:r>
        <w:t>Règle de prise : pendant les repas, prise du soir privilégiée, hydratation 1,5-2 L/j, protection solaire, éviter l'alcool et le pamplemousse.</w:t>
      </w:r>
    </w:p>
    <w:p>
      <w:pPr>
        <w:pStyle w:val="ListBullet"/>
      </w:pPr>
      <w:r>
        <w:t>Préparation et Conservation : identique à l'halopéridol.</w:t>
      </w:r>
    </w:p>
    <w:p>
      <w:pPr>
        <w:pStyle w:val="ListBullet"/>
      </w:pPr>
      <w:r>
        <w:t xml:space="preserve">Piège du surdosage / Substitution : surdosage symptomatique en réanimation (préférer noradrénaline à l'adrénaline). </w:t>
      </w:r>
      <w:r>
        <w:rPr>
          <w:b/>
        </w:rPr>
        <w:t>Substitution fluphénazine → halopéridol decanoate</w:t>
      </w:r>
      <w:r>
        <w:t xml:space="preserve"> : équivalence approximative, surveillance renforcée.</w:t>
      </w:r>
    </w:p>
    <w:p>
      <w:pPr>
        <w:pStyle w:val="Heading3"/>
      </w:pPr>
      <w:r>
        <w:t>5. DCI : Trifluopérazine (Seule)</w:t>
      </w:r>
    </w:p>
    <w:p>
      <w:r/>
      <w:r>
        <w:rPr>
          <w:b/>
        </w:rPr>
        <w:t>Liste des Catégories :</w:t>
      </w:r>
      <w:r>
        <w:t xml:space="preserve"> Antipsychotique typique (1re génération) — Phénothiazine pipérazinée — Antagoniste compétitif de haute affinité des récepteurs dopaminergiques D2 — Haute puissance antipsychotique (« incisif ») — Schizophrénie paranoïde, troubles psychotiques avec symptômes positifs marqués — Liste I — Formes orales (comprimés 10 mg, solution buvable en gouttes) — Délivrance sur ordonnance.</w:t>
      </w:r>
    </w:p>
    <w:p>
      <w:r>
        <w:t xml:space="preserve">La </w:t>
      </w:r>
      <w:r>
        <w:rPr>
          <w:b/>
        </w:rPr>
        <w:t>trifluopérazine</w:t>
      </w:r>
      <w:r>
        <w:t xml:space="preserve"> (Terfluzine® — Rhône-Poulenc) est une </w:t>
      </w:r>
      <w:r>
        <w:rPr>
          <w:b/>
        </w:rPr>
        <w:t>phénothiazine pipérazinée</w:t>
      </w:r>
      <w:r>
        <w:t xml:space="preserve"> de synthèse, commercialisée dès 1959 comme alternative « incisive » à la chlorpromazine et à la fluphénazine. Sa structure — phénothiazine substituée en position 10 par une chaîne pipérazinyle-éthyle et en position 2 par un groupement </w:t>
      </w:r>
      <w:r>
        <w:rPr>
          <w:b/>
        </w:rPr>
        <w:t>trifluorométhyle</w:t>
      </w:r>
      <w:r>
        <w:t xml:space="preserve"> — est très proche de celle de la fluphénazine (qui diffère uniquement par la chaîne latérale en position 10 — hydroxyéthylpipérazinyle pour la fluphénazine vs pipérazinyle-éthyle pour la trifluopérazine). Cette parenté structurale explique leur </w:t>
      </w:r>
      <w:r>
        <w:rPr>
          <w:b/>
        </w:rPr>
        <w:t>profil pharmacologique quasi identique</w:t>
      </w:r>
      <w:r>
        <w:t xml:space="preserve"> : très haute affinité D2 (Ki ≈ 0,5-2 nM), faible affinité α1/H1/M1, profil « incisif pur » avec EPS majeurs mais peu de sédation/hypotension/anticholinergiques. En Algérie, la trifluopérazine a été historiquement prescrite (sous le nom de Terfluzine® — Rhône-Poulenc Rorer) dans les schizophrénies paranoïdes avec symptômes positifs marqués. </w:t>
      </w:r>
      <w:r>
        <w:rPr>
          <w:b/>
        </w:rPr>
        <w:t>À Avril 2026, la trifluopérazine est totalement retirée du marché algérien</w:t>
      </w:r>
      <w:r>
        <w:t xml:space="preserve"> — aucun produit actif n'est disponible, et les patients historiquement traités doivent être relayés vers l'halopéridol ou un atypique. Cette situation est un enjeu de santé publique en Algérie, particulièrement pour les patients stables au long cours sous trifluopérazine qui risquent la rechute en cas de relais mal conduit.</w:t>
      </w:r>
    </w:p>
    <w:p>
      <w:r/>
      <w:r>
        <w:rPr>
          <w:b/>
        </w:rPr>
        <w:t>Médicaments disponibles en Algérie (Marques, Laboratoires, Formes et Dosages) :</w:t>
      </w:r>
      <w:r/>
    </w:p>
    <w:p>
      <w:pPr>
        <w:pStyle w:val="ListBullet"/>
      </w:pPr>
      <w:r/>
      <w:r>
        <w:rPr>
          <w:b/>
        </w:rPr>
        <w:t>TERFLUZINE</w:t>
      </w:r>
      <w:r>
        <w:t xml:space="preserve"> (RHONE POULENC RORER)</w:t>
      </w:r>
    </w:p>
    <w:p>
      <w:pPr>
        <w:pStyle w:val="ListBullet"/>
      </w:pPr>
      <w:r>
        <w:t>Formes et Dosages : Comprimé pelliculé sécable 10 mg — Boîte de 20 ; Solution buvable en gouttes 4 % — Flacon de 30 mL.</w:t>
      </w:r>
    </w:p>
    <w:p>
      <w:pPr>
        <w:pStyle w:val="ListBullet"/>
      </w:pPr>
      <w:r>
        <w:t xml:space="preserve">Statut : </w:t>
      </w:r>
      <w:r>
        <w:rPr>
          <w:b/>
        </w:rPr>
        <w:t>Retiré (R)</w:t>
      </w:r>
      <w:r>
        <w:t xml:space="preserve"> — toutes formes retirées du marché algérien — aucune marque active à Avril 2026.</w:t>
      </w:r>
    </w:p>
    <w:p>
      <w:r/>
      <w:r>
        <w:rPr>
          <w:b/>
        </w:rPr>
        <w:t>Note nomenclature</w:t>
      </w:r>
      <w:r>
        <w:t xml:space="preserve"> : À Avril 2026, </w:t>
      </w:r>
      <w:r>
        <w:rPr>
          <w:b/>
        </w:rPr>
        <w:t>la trifluopérazine n'est plus disponible en Algérie</w:t>
      </w:r>
      <w:r>
        <w:t xml:space="preserve">. La seule marque historique (TERFLUZINE — Rhône-Poulenc Rorer, devenu Sanofi-Aventis) est retirée du marché. Les patients algériens historiquement équilibrés sous trifluopérazine doivent être </w:t>
      </w:r>
      <w:r>
        <w:rPr>
          <w:b/>
        </w:rPr>
        <w:t>relayés vers l'halopéridol per os</w:t>
      </w:r>
      <w:r>
        <w:t xml:space="preserve"> (Haldol® solution buvable 2 mg/mL — disponible), l'halopéridol decanoate LP mensuel (Haldol Decanoas® 50 mg/mL — disponible), ou un atypique (rispéridone, olanzapine — Fascicule X Chapitre 84), sous surveillance psychiatrique étroite pour éviter la rechute.</w:t>
      </w:r>
    </w:p>
    <w:p>
      <w:r/>
      <w:r>
        <w:rPr>
          <w:b/>
        </w:rPr>
        <w:t>Sous-classe et Mécanisme d'action :</w:t>
      </w:r>
      <w:r/>
    </w:p>
    <w:p>
      <w:pPr>
        <w:pStyle w:val="ListBullet"/>
      </w:pPr>
      <w:r>
        <w:t xml:space="preserve">Sous-classe : </w:t>
      </w:r>
      <w:r>
        <w:rPr>
          <w:b/>
        </w:rPr>
        <w:t>Phénothiazine pipérazinée — antipsychotique typique de 1re génération, haute puissance (« incisif pur »)</w:t>
      </w:r>
      <w:r>
        <w:t xml:space="preserve"> — profil pharmacologique et indications identiques à la fluphénazine.</w:t>
      </w:r>
    </w:p>
    <w:p>
      <w:pPr>
        <w:pStyle w:val="ListBullet"/>
      </w:pPr>
      <w:r>
        <w:t>Mécanisme d'action : identique à la fluphénazine — antagoniste compétitif de très haute affinité (Ki D2 ≈ 0,5-2 nM) des récepteurs D2. Blocage D2 mésolimbique → réduction des symptômes positifs ; blocage D2 nigro-strié → EPS majeurs ; blocage D2 tubéro-infundibulaire → hyperprolactinémie ; blocage D2 mésocortical → aggravation possible des symptômes négatifs. Faible affinité α1/H1/M1 → profil « incisif pur » avec EPS majeurs mais peu de sédation/hypotension/anticholinergiques. Métabolisme hépatique CYP2D6 — demi-vie d'élimination ~15-30 h per os.</w:t>
      </w:r>
    </w:p>
    <w:p>
      <w:r/>
      <w:r>
        <w:rPr>
          <w:b/>
        </w:rPr>
        <w:t>Profil Pharmacologique :</w:t>
      </w:r>
      <w:r/>
    </w:p>
    <w:p>
      <w:pPr>
        <w:pStyle w:val="ListBullet"/>
      </w:pPr>
      <w:r>
        <w:t xml:space="preserve">Indications : identiques à la fluphénazine — </w:t>
      </w:r>
      <w:r>
        <w:rPr>
          <w:b/>
        </w:rPr>
        <w:t>schizophrénie paranoïde</w:t>
      </w:r>
      <w:r>
        <w:t xml:space="preserve"> avec symptômes positifs marqués — posologie 5-20 mg/j per os. </w:t>
      </w:r>
      <w:r>
        <w:rPr>
          <w:b/>
        </w:rPr>
        <w:t>Forme retirée du marché algérien</w:t>
      </w:r>
      <w:r>
        <w:t>.</w:t>
      </w:r>
    </w:p>
    <w:p>
      <w:pPr>
        <w:pStyle w:val="ListBullet"/>
      </w:pPr>
      <w:r>
        <w:t>Contre-indications : identiques à la fluphénazine — hypersensibilité, maladie de Parkinson (CI absolue), démence à corps de Lewy (CI absolue), SMN personnel, allongement préexistant du QT, association avec allongeurs de QT (CI absolue), association avec lévodopa/agonistes dopaminergiques (CI absolue), phéochromocytome, dépression sévère, état comateux, allaitement à dose élevée.</w:t>
      </w:r>
    </w:p>
    <w:p>
      <w:pPr>
        <w:pStyle w:val="ListBullet"/>
      </w:pPr>
      <w:r>
        <w:t xml:space="preserve">Effets Indésirables : identiques à la fluphénazine — </w:t>
      </w:r>
      <w:r>
        <w:rPr>
          <w:b/>
        </w:rPr>
        <w:t>EPS majeurs</w:t>
      </w:r>
      <w:r>
        <w:t xml:space="preserve"> (akathisie 40-60 %, parkinsonisme 30-50 %, dystonie aiguë 10-15 %, dyskinésie tardive 7-10 %/an), sédation modérée, hyperprolactinémie, troubles visuels. SMN (urgence vitale), allongement QT (modéré), convulsions. Rares : ictère cholestatique, agranulocytose, Stevens-Johnson, Lyell.</w:t>
      </w:r>
    </w:p>
    <w:p>
      <w:r/>
      <w:r>
        <w:rPr>
          <w:b/>
        </w:rPr>
        <w:t>Prévention et Gestion des Effets Indésirables :</w:t>
      </w:r>
      <w:r/>
    </w:p>
    <w:p>
      <w:pPr>
        <w:pStyle w:val="ListBullet"/>
      </w:pPr>
      <w:r>
        <w:t xml:space="preserve">Identiques à la fluphénazine — dose minimale efficace, surveillance EPS systématique, surveillance ECG, température (SMN), biologie (NFS, hépatique, prolactinémie), hydratation, protection solaire. En cas de relais thérapeutique trifluopérazine → halopéridol ou atypique, prévoir un </w:t>
      </w:r>
      <w:r>
        <w:rPr>
          <w:b/>
        </w:rPr>
        <w:t>chevauchement progressif</w:t>
      </w:r>
      <w:r>
        <w:t xml:space="preserve"> sur 2-4 semaines.</w:t>
      </w:r>
    </w:p>
    <w:p>
      <w:r/>
      <w:r>
        <w:rPr>
          <w:b/>
        </w:rPr>
        <w:t>Interactions Importantes :</w:t>
      </w:r>
      <w:r/>
    </w:p>
    <w:p>
      <w:pPr>
        <w:pStyle w:val="ListBullet"/>
      </w:pPr>
      <w:r>
        <w:t>Identiques à la fluphénazine — CI absolue avec lévodopa/agonistes dopaminergiques, CI absolue avec allongeurs de QT, sédation additive avec dépresseurs du SNC, potentialisation de l'hypotension avec antihypertenseurs, interaction avec lithium, inducteurs/inhibiteurs enzymatiques.</w:t>
      </w:r>
    </w:p>
    <w:p>
      <w:r/>
      <w:r>
        <w:rPr>
          <w:b/>
        </w:rPr>
        <w:t>Grossesse et Allaitement :</w:t>
      </w:r>
      <w:r/>
    </w:p>
    <w:p>
      <w:pPr>
        <w:pStyle w:val="ListBullet"/>
      </w:pPr>
      <w:r>
        <w:t xml:space="preserve">Identiques à la fluphénazine — selon le CRAT, recul limité mais rassurant, mais </w:t>
      </w:r>
      <w:r>
        <w:rPr>
          <w:b/>
        </w:rPr>
        <w:t>privilégier l'halopéridol à dose minimale efficace</w:t>
      </w:r>
      <w:r>
        <w:t xml:space="preserve"> pendant la grossesse et l'allaitement. Surveillance néonatale renforcée (EPS transitoires).</w:t>
      </w:r>
    </w:p>
    <w:p>
      <w:r/>
      <w:r>
        <w:rPr>
          <w:b/>
        </w:rPr>
        <w:t>Posologie et Mode d'administration (Standard) :</w:t>
      </w:r>
      <w:r/>
    </w:p>
    <w:p>
      <w:pPr>
        <w:pStyle w:val="ListBullet"/>
      </w:pPr>
      <w:r>
        <w:t>Adulte (per os — comprimés 10 mg ou solution buvable en gouttes 4 % — forme retirée en Algérie) :</w:t>
      </w:r>
    </w:p>
    <w:p>
      <w:pPr>
        <w:pStyle w:val="ListBullet"/>
      </w:pPr>
      <w:r/>
      <w:r>
        <w:rPr>
          <w:b/>
        </w:rPr>
        <w:t>Initiation</w:t>
      </w:r>
      <w:r>
        <w:t xml:space="preserve"> : 1-2 mg/jour en 1-2 prises, à augmenter progressivement par paliers de 1-2 mg tous les 3-7 jours.</w:t>
      </w:r>
    </w:p>
    <w:p>
      <w:pPr>
        <w:pStyle w:val="ListBullet"/>
      </w:pPr>
      <w:r/>
      <w:r>
        <w:rPr>
          <w:b/>
        </w:rPr>
        <w:t>Dose d'entretien</w:t>
      </w:r>
      <w:r>
        <w:t xml:space="preserve"> : 5-20 mg/jour en 1-3 prises — dose moyenne habituelle 10-15 mg/j.</w:t>
      </w:r>
    </w:p>
    <w:p>
      <w:pPr>
        <w:pStyle w:val="ListBullet"/>
      </w:pPr>
      <w:r/>
      <w:r>
        <w:rPr>
          <w:b/>
        </w:rPr>
        <w:t>Dose maximale</w:t>
      </w:r>
      <w:r>
        <w:t xml:space="preserve"> : 30 mg/jour per os.</w:t>
      </w:r>
    </w:p>
    <w:p>
      <w:pPr>
        <w:pStyle w:val="ListBullet"/>
      </w:pPr>
      <w:r/>
      <w:r>
        <w:rPr>
          <w:b/>
        </w:rPr>
        <w:t>Equivalence gouttes ↔ mg</w:t>
      </w:r>
      <w:r>
        <w:t xml:space="preserve"> : solution buvable 4 % = 40 mg/mL ; 1 mL = 25 gouttes = 40 mg ; 1 goutte ≈ 1,6 mg. Donc 10 mg/j = ~6 gouttes/j ; 20 mg/j = ~12 gouttes/j.</w:t>
      </w:r>
    </w:p>
    <w:p>
      <w:pPr>
        <w:pStyle w:val="ListBullet"/>
      </w:pPr>
      <w:r>
        <w:t>Sujet âgé : 0,5-1 mg/jour en 1-2 prises, titrer très lentement. Dose maximale recommandée : 5-10 mg/jour.</w:t>
      </w:r>
    </w:p>
    <w:p>
      <w:pPr>
        <w:pStyle w:val="ListBullet"/>
      </w:pPr>
      <w:r>
        <w:t>Insuffisant rénal/hépatique : prudence, surveillance.</w:t>
      </w:r>
    </w:p>
    <w:p>
      <w:pPr>
        <w:pStyle w:val="ListBullet"/>
      </w:pPr>
      <w:r>
        <w:t>Durée : au long cours. Réduction progressive par paliers sur 4-8 semaines en cas d'arrêt.</w:t>
      </w:r>
    </w:p>
    <w:p>
      <w:r/>
      <w:r>
        <w:rPr>
          <w:b/>
        </w:rPr>
        <w:t>Arbitrage et Bénéfices des Formes Galéniques :</w:t>
      </w:r>
      <w:r/>
    </w:p>
    <w:p>
      <w:pPr>
        <w:pStyle w:val="ListBullet"/>
      </w:pPr>
      <w:r>
        <w:t xml:space="preserve">Formes orales (comprimés, solution buvable) — </w:t>
      </w:r>
      <w:r>
        <w:rPr>
          <w:b/>
        </w:rPr>
        <w:t>retirées du marché algérien</w:t>
      </w:r>
      <w:r>
        <w:t xml:space="preserve">. Les patients doivent être relayés vers l'halopéridol per os (solution buvable 2 mg/mL) ou un atypique. </w:t>
      </w:r>
      <w:r>
        <w:rPr>
          <w:b/>
        </w:rPr>
        <w:t>Equivalence approximative</w:t>
      </w:r>
      <w:r>
        <w:t xml:space="preserve"> : trifluopérazine 10 mg/j ≈ halopéridol 5 mg/j (à adapter selon la réponse clinique).</w:t>
      </w:r>
    </w:p>
    <w:p>
      <w:r/>
      <w:r>
        <w:rPr>
          <w:b/>
        </w:rPr>
        <w:t>Instructions et Conseils au Patient :</w:t>
      </w:r>
      <w:r/>
    </w:p>
    <w:p>
      <w:pPr>
        <w:pStyle w:val="ListBullet"/>
      </w:pPr>
      <w:r>
        <w:t>Communication au comptoir : identique à la fluphénazine — expliquer la nature du traitement (antipsychotique incisif), les effets indésirables attendus, la surveillance fièvre (SMN), l'interdiction d'arrêt brutal, l'hydratation, la protection solaire, le lever progressif.</w:t>
      </w:r>
    </w:p>
    <w:p>
      <w:pPr>
        <w:pStyle w:val="ListBullet"/>
      </w:pPr>
      <w:r>
        <w:t xml:space="preserve">En cas de </w:t>
      </w:r>
      <w:r>
        <w:rPr>
          <w:b/>
        </w:rPr>
        <w:t>relais thérapeutique</w:t>
      </w:r>
      <w:r>
        <w:t xml:space="preserve"> trifluopérazine → halopéridol ou atypique : informer le patient de la substitution (indisponibilité définitive de la trifluopérazine en Algérie), surveiller étroitement les premières semaines, prévoir une consultation psychiatrique de contrôle à 1 mois.</w:t>
      </w:r>
    </w:p>
    <w:p>
      <w:r/>
      <w:r>
        <w:rPr>
          <w:b/>
        </w:rPr>
        <w:t>Notes, Règles d'Or &amp; Pièges au Comptoir :</w:t>
      </w:r>
      <w:r/>
    </w:p>
    <w:p>
      <w:pPr>
        <w:pStyle w:val="ListBullet"/>
      </w:pPr>
      <w:r>
        <w:t>Piège classique :</w:t>
      </w:r>
    </w:p>
    <w:p>
      <w:pPr>
        <w:pStyle w:val="ListBullet"/>
      </w:pPr>
      <w:r/>
      <w:r>
        <w:rPr>
          <w:b/>
        </w:rPr>
        <w:t>Indisponibilité totale en Algérie</w:t>
      </w:r>
      <w:r>
        <w:t xml:space="preserve"> : à Avril 2026, la trifluopérazine n'est plus disponible — toute prescription doit être relayée. </w:t>
      </w:r>
      <w:r>
        <w:rPr>
          <w:b/>
        </w:rPr>
        <w:t>Le pharmacien doit alerter le prescripteur</w:t>
      </w:r>
      <w:r>
        <w:t xml:space="preserve"> et orienter vers une alternative disponible (halopéridol, atypique).</w:t>
      </w:r>
    </w:p>
    <w:p>
      <w:pPr>
        <w:pStyle w:val="ListBullet"/>
      </w:pPr>
      <w:r/>
      <w:r>
        <w:rPr>
          <w:b/>
        </w:rPr>
        <w:t>EPS majeurs</w:t>
      </w:r>
      <w:r>
        <w:t xml:space="preserve"> : identique à la fluphénazine — surveillance EPS renforcée.</w:t>
      </w:r>
    </w:p>
    <w:p>
      <w:pPr>
        <w:pStyle w:val="ListBullet"/>
      </w:pPr>
      <w:r/>
      <w:r>
        <w:rPr>
          <w:b/>
        </w:rPr>
        <w:t>SMN</w:t>
      </w:r>
      <w:r>
        <w:t xml:space="preserve"> — urgence vitale.</w:t>
      </w:r>
    </w:p>
    <w:p>
      <w:pPr>
        <w:pStyle w:val="ListBullet"/>
      </w:pPr>
      <w:r/>
      <w:r>
        <w:rPr>
          <w:b/>
        </w:rPr>
        <w:t>Maladie de Parkinson / Démence à corps de Lewy</w:t>
      </w:r>
      <w:r>
        <w:t xml:space="preserve"> — CI absolue.</w:t>
      </w:r>
    </w:p>
    <w:p>
      <w:pPr>
        <w:pStyle w:val="ListBullet"/>
      </w:pPr>
      <w:r/>
      <w:r>
        <w:rPr>
          <w:b/>
        </w:rPr>
        <w:t>Association avec lévodopa/agonistes dopaminergiques</w:t>
      </w:r>
      <w:r>
        <w:t xml:space="preserve"> — CI absolue.</w:t>
      </w:r>
    </w:p>
    <w:p>
      <w:pPr>
        <w:pStyle w:val="ListBullet"/>
      </w:pPr>
      <w:r/>
      <w:r>
        <w:rPr>
          <w:b/>
        </w:rPr>
        <w:t>Association avec allongeurs de QT</w:t>
      </w:r>
      <w:r>
        <w:t xml:space="preserve"> — CI absolue.</w:t>
      </w:r>
    </w:p>
    <w:p>
      <w:pPr>
        <w:pStyle w:val="ListBullet"/>
      </w:pPr>
      <w:r/>
      <w:r>
        <w:rPr>
          <w:b/>
        </w:rPr>
        <w:t>Relais thérapeutique</w:t>
      </w:r>
      <w:r>
        <w:t xml:space="preserve"> : prévoir un chevauchement progressif sur 2-4 semaines en cas de switch vers l'halopéridol ou un atypique.</w:t>
      </w:r>
    </w:p>
    <w:p>
      <w:pPr>
        <w:pStyle w:val="ListBullet"/>
      </w:pPr>
      <w:r>
        <w:t>Règle de prise : pendant les repas, prise du soir privilégiée, hydratation, protection solaire, éviter l'alcool.</w:t>
      </w:r>
    </w:p>
    <w:p>
      <w:pPr>
        <w:pStyle w:val="ListBullet"/>
      </w:pPr>
      <w:r>
        <w:t>Préparation et Conservation : identique à la fluphénazine.</w:t>
      </w:r>
    </w:p>
    <w:p>
      <w:pPr>
        <w:pStyle w:val="ListBullet"/>
      </w:pPr>
      <w:r>
        <w:t xml:space="preserve">Piège du surdosage / Substitution : surdosage symptomatique en réanimation. </w:t>
      </w:r>
      <w:r>
        <w:rPr>
          <w:b/>
        </w:rPr>
        <w:t>Substitution trifluopérazine → halopéridol</w:t>
      </w:r>
      <w:r>
        <w:t xml:space="preserve"> : équivalence approximative (10 mg trifluopérazine ≈ 5 mg halopéridol), surveillance renforcée.</w:t>
      </w:r>
    </w:p>
    <w:p>
      <w:pPr>
        <w:pStyle w:val="Heading2"/>
      </w:pPr>
      <w:r>
        <w:t>8. Introduction à la sous-classe des phénothiazines pipéridinées</w:t>
      </w:r>
    </w:p>
    <w:p>
      <w:pPr>
        <w:pStyle w:val="Heading3"/>
      </w:pPr>
      <w:r>
        <w:t>Définition chimique et positionnement pharmacologique</w:t>
      </w:r>
    </w:p>
    <w:p>
      <w:r>
        <w:t xml:space="preserve">Les </w:t>
      </w:r>
      <w:r>
        <w:rPr>
          <w:b/>
        </w:rPr>
        <w:t>phénothiazines pipéridinées</w:t>
      </w:r>
      <w:r>
        <w:t xml:space="preserve"> sont une sous-classe des phénothiazines dans laquelle la chaîne latérale en position 10 (aliphatique pour les aliphatiques, pipérazinyle pour les pipérazinées) est remplacée par une </w:t>
      </w:r>
      <w:r>
        <w:rPr>
          <w:b/>
        </w:rPr>
        <w:t>chaîne pipéridinique</w:t>
      </w:r>
      <w:r>
        <w:t xml:space="preserve"> (noyau pipéridine en C10). Cette modification structurale, introduite dans les années 1950, a produit plusieurs molécules : </w:t>
      </w:r>
      <w:r>
        <w:rPr>
          <w:b/>
        </w:rPr>
        <w:t>thioridazine</w:t>
      </w:r>
      <w:r>
        <w:t xml:space="preserve"> (Melleril® — Sandoz/Novartis, 1959), </w:t>
      </w:r>
      <w:r>
        <w:rPr>
          <w:b/>
        </w:rPr>
        <w:t>méseridazine</w:t>
      </w:r>
      <w:r>
        <w:t xml:space="preserve"> (Lidanil®), </w:t>
      </w:r>
      <w:r>
        <w:rPr>
          <w:b/>
        </w:rPr>
        <w:t>pécazine</w:t>
      </w:r>
      <w:r>
        <w:t xml:space="preserve"> (Pacatal®), </w:t>
      </w:r>
      <w:r>
        <w:rPr>
          <w:b/>
        </w:rPr>
        <w:t>pipotiazine</w:t>
      </w:r>
      <w:r>
        <w:t xml:space="preserve"> (Piportil® — disponible en decanoate LP). Le chef de file historique et seul représentant référencé en Algérie est la </w:t>
      </w:r>
      <w:r>
        <w:rPr>
          <w:b/>
        </w:rPr>
        <w:t>thioridazine</w:t>
      </w:r>
      <w:r>
        <w:t xml:space="preserve"> (Melleril® — retirée du marché mondial). Le profil pharmacologique des pipéridinées est intermédiaire entre les aliphatiques et les pipérazinées : </w:t>
      </w:r>
      <w:r>
        <w:rPr>
          <w:b/>
        </w:rPr>
        <w:t>affinité D2 modérée</w:t>
      </w:r>
      <w:r>
        <w:t xml:space="preserve"> (activité antipsychotique modérée), </w:t>
      </w:r>
      <w:r>
        <w:rPr>
          <w:b/>
        </w:rPr>
        <w:t>sédation marquée</w:t>
      </w:r>
      <w:r>
        <w:t xml:space="preserve"> (effet H1), </w:t>
      </w:r>
      <w:r>
        <w:rPr>
          <w:b/>
        </w:rPr>
        <w:t>hypotension modeste</w:t>
      </w:r>
      <w:r>
        <w:t xml:space="preserve"> (effet α1 modéré), </w:t>
      </w:r>
      <w:r>
        <w:rPr>
          <w:b/>
        </w:rPr>
        <w:t>effets anticholinergiques marqués</w:t>
      </w:r>
      <w:r>
        <w:t xml:space="preserve"> (effet M1), et surtout </w:t>
      </w:r>
      <w:r>
        <w:rPr>
          <w:b/>
        </w:rPr>
        <w:t>allongement majeur de l'espace QT</w:t>
      </w:r>
      <w:r>
        <w:t xml:space="preserve"> — caractéristique distinctive de la sous-classe, liée à la </w:t>
      </w:r>
      <w:r>
        <w:rPr>
          <w:b/>
        </w:rPr>
        <w:t>structure pipéridinique</w:t>
      </w:r>
      <w:r>
        <w:t xml:space="preserve"> elle-même (blocage des canaux potassiques hERG Kv11.1 par les métabolites sulfoxyde et sulfone).</w:t>
      </w:r>
    </w:p>
    <w:p>
      <w:pPr>
        <w:pStyle w:val="Heading3"/>
      </w:pPr>
      <w:r>
        <w:t>Profil pharmacodynamique singulier : allongement QT majeur (Black Box Warning)</w:t>
      </w:r>
    </w:p>
    <w:p>
      <w:r>
        <w:t xml:space="preserve">La </w:t>
      </w:r>
      <w:r>
        <w:rPr>
          <w:b/>
        </w:rPr>
        <w:t>thioridazine</w:t>
      </w:r>
      <w:r>
        <w:t xml:space="preserve"> présente la particularité d'avoir un </w:t>
      </w:r>
      <w:r>
        <w:rPr>
          <w:b/>
        </w:rPr>
        <w:t>métabolisme hépatique générant des métabolites cardiotoxiques</w:t>
      </w:r>
      <w:r>
        <w:t xml:space="preserve"> — la thioridazine est oxydée par le CYP2D6 en </w:t>
      </w:r>
      <w:r>
        <w:rPr>
          <w:b/>
        </w:rPr>
        <w:t>thioridazine sulfoxyde</w:t>
      </w:r>
      <w:r>
        <w:t xml:space="preserve"> (métabolite actif) et </w:t>
      </w:r>
      <w:r>
        <w:rPr>
          <w:b/>
        </w:rPr>
        <w:t>thioridazine sulfone</w:t>
      </w:r>
      <w:r>
        <w:t xml:space="preserve"> (métabolite cardiotoxique). La thioridazine sulfone est un </w:t>
      </w:r>
      <w:r>
        <w:rPr>
          <w:b/>
        </w:rPr>
        <w:t>bloqueur puissant des canaux potassiques hERG Kv11.1</w:t>
      </w:r>
      <w:r>
        <w:t xml:space="preserve"> (IC50 ≈ 50 nM — l'un des plus puissants de toute la pharmacopée) — d'où un </w:t>
      </w:r>
      <w:r>
        <w:rPr>
          <w:b/>
        </w:rPr>
        <w:t>allongement majeur de l'espace QT</w:t>
      </w:r>
      <w:r>
        <w:t xml:space="preserve"> à dose thérapeutique standard, exposant au risque de </w:t>
      </w:r>
      <w:r>
        <w:rPr>
          <w:b/>
        </w:rPr>
        <w:t>torsades de pointes (TdP)</w:t>
      </w:r>
      <w:r>
        <w:t xml:space="preserve"> pouvant dégénérer en fibrillation ventriculaire et </w:t>
      </w:r>
      <w:r>
        <w:rPr>
          <w:b/>
        </w:rPr>
        <w:t>mort subite</w:t>
      </w:r>
      <w:r>
        <w:t xml:space="preserve">. Cette cardiotoxicité a été mise en évidence dans les années 1990-2000 par plusieurs études de pharmacovigilance (Reilly 2000, Ray 2001, Hennessy 2002) montrant un </w:t>
      </w:r>
      <w:r>
        <w:rPr>
          <w:b/>
        </w:rPr>
        <w:t>risque de mort subite multiplié par 3 à 6</w:t>
      </w:r>
      <w:r>
        <w:t xml:space="preserve"> sous thioridazine par rapport à la population générale, et un allongement du QTc dose-dépendant pouvant dépasser </w:t>
      </w:r>
      <w:r>
        <w:rPr>
          <w:b/>
        </w:rPr>
        <w:t>60 ms</w:t>
      </w:r>
      <w:r>
        <w:t xml:space="preserve"> à dose thérapeutique standard. Ces données ont conduit la </w:t>
      </w:r>
      <w:r>
        <w:rPr>
          <w:b/>
        </w:rPr>
        <w:t>FDA</w:t>
      </w:r>
      <w:r>
        <w:t xml:space="preserve"> à émettre un </w:t>
      </w:r>
      <w:r>
        <w:rPr>
          <w:b/>
        </w:rPr>
        <w:t>Black Box Warning</w:t>
      </w:r>
      <w:r>
        <w:t xml:space="preserve"> en 2000 et l'</w:t>
      </w:r>
      <w:r>
        <w:rPr>
          <w:b/>
        </w:rPr>
        <w:t>EMEA</w:t>
      </w:r>
      <w:r>
        <w:t xml:space="preserve"> (devenue EMA) à recommander le </w:t>
      </w:r>
      <w:r>
        <w:rPr>
          <w:b/>
        </w:rPr>
        <w:t>retrait progressif du marché européen</w:t>
      </w:r>
      <w:r>
        <w:t xml:space="preserve"> en 2001-2005. En France, l'AMM de la thioridazine (Melleril®) a été suspendue en 2001, puis retirée définitivement en 2005. En Algérie, la thioridazine (NARIZIN — Nova Argentia) est </w:t>
      </w:r>
      <w:r>
        <w:rPr>
          <w:b/>
        </w:rPr>
        <w:t>retirée du marché à Avril 2026</w:t>
      </w:r>
      <w:r>
        <w:t xml:space="preserve"> — seule la traçabilité historique subsiste dans la nomenclature algérienne pour les patients qui en avaient été historiquement traités.</w:t>
      </w:r>
    </w:p>
    <w:p>
      <w:pPr>
        <w:pStyle w:val="Heading3"/>
      </w:pPr>
      <w:r>
        <w:t>Indications cliniques historiques (avant retrait)</w:t>
      </w:r>
    </w:p>
    <w:p>
      <w:r>
        <w:t>Avant son retrait du marché mondial (2000-2005), la thioridazine était principalement indiquée dans :</w:t>
      </w:r>
    </w:p>
    <w:p>
      <w:pPr>
        <w:pStyle w:val="ListBullet"/>
      </w:pPr>
      <w:r/>
      <w:r>
        <w:rPr>
          <w:b/>
        </w:rPr>
        <w:t>Schizophrénie chronique</w:t>
      </w:r>
      <w:r>
        <w:t xml:space="preserve"> avec composante anxieuse et insomnie — posologie 50-300 mg/j per os (jusqu'à 600 mg/j dans les formes sévères).</w:t>
      </w:r>
    </w:p>
    <w:p>
      <w:pPr>
        <w:pStyle w:val="ListBullet"/>
      </w:pPr>
      <w:r/>
      <w:r>
        <w:rPr>
          <w:b/>
        </w:rPr>
        <w:t>Troubles du comportement</w:t>
      </w:r>
      <w:r>
        <w:t xml:space="preserve"> chez le sujet âgé (à dose minimale — 10-50 mg/j).</w:t>
      </w:r>
    </w:p>
    <w:p>
      <w:pPr>
        <w:pStyle w:val="ListBullet"/>
      </w:pPr>
      <w:r/>
      <w:r>
        <w:rPr>
          <w:b/>
        </w:rPr>
        <w:t>Troubles du comportement</w:t>
      </w:r>
      <w:r>
        <w:t xml:space="preserve"> chez l'enfant (à dose minimale — 0,5-3 mg/kg/j).</w:t>
      </w:r>
    </w:p>
    <w:p>
      <w:pPr>
        <w:pStyle w:val="ListBullet"/>
      </w:pPr>
      <w:r/>
      <w:r>
        <w:rPr>
          <w:b/>
        </w:rPr>
        <w:t>Hors psychiatie</w:t>
      </w:r>
      <w:r>
        <w:t xml:space="preserve"> : certaines indications non psychiatriques ( Troubles du sommeil, anxiété réfractaire) — pratiques contestées.</w:t>
      </w:r>
    </w:p>
    <w:p>
      <w:pPr>
        <w:pStyle w:val="Heading3"/>
      </w:pPr>
      <w:r>
        <w:t>Particularités algériennes : retrait total</w:t>
      </w:r>
    </w:p>
    <w:p>
      <w:r>
        <w:t xml:space="preserve">À Avril 2026, </w:t>
      </w:r>
      <w:r>
        <w:rPr>
          <w:b/>
        </w:rPr>
        <w:t>la thioridazine est totalement retirée du marché algérien</w:t>
      </w:r>
      <w:r>
        <w:t xml:space="preserve"> — aucune marque active n'est disponible. La seule marque historique (NARIZIN — Nova Argentia) est retirée sous toutes ses formulations (dragées 10 mg, 50 mg, 100 mg). Cette situation algérienne reflète le </w:t>
      </w:r>
      <w:r>
        <w:rPr>
          <w:b/>
        </w:rPr>
        <w:t>retrait mondial de la molécule</w:t>
      </w:r>
      <w:r>
        <w:t xml:space="preserve"> entre 2000 (FDA Black Box Warning) et 2005 (retrait européen définitif). Les patients algériens historiquement traités par thioridazine ont dû être </w:t>
      </w:r>
      <w:r>
        <w:rPr>
          <w:b/>
        </w:rPr>
        <w:t>relayés vers d'autres antipsychotiques</w:t>
      </w:r>
      <w:r>
        <w:t xml:space="preserve"> (halopéridol, atypiques) — sous surveillance psychiatrique et cardiologique étroite. Le pharmacien d'officina algérien doit connaître cette molécule car des prescriptions anciennes peuvent subsister dans les dossiers médicaux, et tout patient présentant une ordonnance ancienne comportant de la thioridazine doit être </w:t>
      </w:r>
      <w:r>
        <w:rPr>
          <w:b/>
        </w:rPr>
        <w:t>orienté vers le prescripteur</w:t>
      </w:r>
      <w:r>
        <w:t xml:space="preserve"> pour mise à jour thérapeutique.</w:t>
      </w:r>
    </w:p>
    <w:p>
      <w:pPr>
        <w:pStyle w:val="Heading2"/>
      </w:pPr>
      <w:r>
        <w:t>9. Fiche DCI — Phénothiazines pipéridinées</w:t>
      </w:r>
    </w:p>
    <w:p>
      <w:pPr>
        <w:pStyle w:val="Heading3"/>
      </w:pPr>
      <w:r>
        <w:t>6. DCI : Thioridazine (Seule)</w:t>
      </w:r>
    </w:p>
    <w:p>
      <w:r/>
      <w:r>
        <w:rPr>
          <w:b/>
        </w:rPr>
        <w:t>Liste des Catégories :</w:t>
      </w:r>
      <w:r>
        <w:t xml:space="preserve"> Antipsychotique typique (1re génération) — Phénothiazine pipéridinée — Antagoniste compétitif des récepteurs D2, α1, H1, M1 avec blocage majeur des canaux potassiques hERG Kv11.1 par métabolites (sulfone, sulfoxyde) — </w:t>
      </w:r>
      <w:r>
        <w:rPr>
          <w:b/>
        </w:rPr>
        <w:t>Retirée du marché mondial (Black Box Warning FDA 2000, retrait EMEA 2001-2005)</w:t>
      </w:r>
      <w:r>
        <w:t xml:space="preserve"> — Historiquement indiquée dans la schizophrénie chronique avec composante anxieuse — </w:t>
      </w:r>
      <w:r>
        <w:rPr>
          <w:b/>
        </w:rPr>
        <w:t>Aucune marque active en Algérie à Avril 2026</w:t>
      </w:r>
      <w:r>
        <w:t xml:space="preserve"> — Liste I (historique).</w:t>
      </w:r>
    </w:p>
    <w:p>
      <w:r>
        <w:t xml:space="preserve">La </w:t>
      </w:r>
      <w:r>
        <w:rPr>
          <w:b/>
        </w:rPr>
        <w:t>thioridazine</w:t>
      </w:r>
      <w:r>
        <w:t xml:space="preserve"> (Melleril® — Sandoz/Novartis, 1959) est une </w:t>
      </w:r>
      <w:r>
        <w:rPr>
          <w:b/>
        </w:rPr>
        <w:t>phénothiazine pipéridinée</w:t>
      </w:r>
      <w:r>
        <w:t xml:space="preserve"> de synthèse, dont la structure — phénothiazine substituée en position 10 par une chaîne pipéridinique méthylée et en position 2 par un groupement </w:t>
      </w:r>
      <w:r>
        <w:rPr>
          <w:b/>
        </w:rPr>
        <w:t>thiométhyle</w:t>
      </w:r>
      <w:r>
        <w:t xml:space="preserve"> (différence critique avec la fluphénazine et la trifluopérazine qui portent un groupement trifluorométhyle en position 2) — lui confère un profil pharmacologique </w:t>
      </w:r>
      <w:r>
        <w:rPr>
          <w:b/>
        </w:rPr>
        <w:t>singulier au sein des phénothiazines</w:t>
      </w:r>
      <w:r>
        <w:t xml:space="preserve">. La présence du groupement thiométhyle en position 2 expose à un métabolisme oxydatif spécifique par le CYP2D6 en </w:t>
      </w:r>
      <w:r>
        <w:rPr>
          <w:b/>
        </w:rPr>
        <w:t>thioridazine sulfoxyde</w:t>
      </w:r>
      <w:r>
        <w:t xml:space="preserve"> (métabolite actif antipsychotique) et surtout </w:t>
      </w:r>
      <w:r>
        <w:rPr>
          <w:b/>
        </w:rPr>
        <w:t>thioridazine sulfone</w:t>
      </w:r>
      <w:r>
        <w:t xml:space="preserve"> (métabolite </w:t>
      </w:r>
      <w:r>
        <w:rPr>
          <w:b/>
        </w:rPr>
        <w:t>cardiotoxique majeur</w:t>
      </w:r>
      <w:r>
        <w:t xml:space="preserve"> — bloqueur puissant des canaux potassiques hERG Kv11.1, IC50 ≈ 50 nM — l'un des plus puissants de toute la pharmacopée). Cette cardiotoxicité médiée par le métabolite sulfone est responsable d'un </w:t>
      </w:r>
      <w:r>
        <w:rPr>
          <w:b/>
        </w:rPr>
        <w:t>allongement majeur de l'espace QT</w:t>
      </w:r>
      <w:r>
        <w:t xml:space="preserve"> à dose thérapeutique standard — exposant au risque de </w:t>
      </w:r>
      <w:r>
        <w:rPr>
          <w:b/>
        </w:rPr>
        <w:t>torsades de pointes (TdP)</w:t>
      </w:r>
      <w:r>
        <w:t xml:space="preserve"> pouvant dégénérer en fibrillation ventriculaire et </w:t>
      </w:r>
      <w:r>
        <w:rPr>
          <w:b/>
        </w:rPr>
        <w:t>mort subite</w:t>
      </w:r>
      <w:r>
        <w:t xml:space="preserve">. Plusieurs études de pharmacovigilance (Reilly 2000 </w:t>
      </w:r>
      <w:r>
        <w:rPr>
          <w:i/>
        </w:rPr>
        <w:t>Lancet</w:t>
      </w:r>
      <w:r>
        <w:t xml:space="preserve">, Ray 2001 </w:t>
      </w:r>
      <w:r>
        <w:rPr>
          <w:i/>
        </w:rPr>
        <w:t>Lancet</w:t>
      </w:r>
      <w:r>
        <w:t xml:space="preserve">, Hennessy 2002 </w:t>
      </w:r>
      <w:r>
        <w:rPr>
          <w:i/>
        </w:rPr>
        <w:t>Archives of Internal Medicine</w:t>
      </w:r>
      <w:r>
        <w:t xml:space="preserve">) ont documenté un </w:t>
      </w:r>
      <w:r>
        <w:rPr>
          <w:b/>
        </w:rPr>
        <w:t>risque de mort subite multiplié par 3 à 6</w:t>
      </w:r>
      <w:r>
        <w:t xml:space="preserve"> sous thioridazine par rapport à la population générale, et un allongement du QTc </w:t>
      </w:r>
      <w:r>
        <w:rPr>
          <w:b/>
        </w:rPr>
        <w:t>dose-dépendant</w:t>
      </w:r>
      <w:r>
        <w:t xml:space="preserve"> pouvant dépasser </w:t>
      </w:r>
      <w:r>
        <w:rPr>
          <w:b/>
        </w:rPr>
        <w:t>60 ms</w:t>
      </w:r>
      <w:r>
        <w:t xml:space="preserve"> à dose thérapeutique standard. Ces données ont conduit la </w:t>
      </w:r>
      <w:r>
        <w:rPr>
          <w:b/>
        </w:rPr>
        <w:t>FDA</w:t>
      </w:r>
      <w:r>
        <w:t xml:space="preserve"> à émettre un </w:t>
      </w:r>
      <w:r>
        <w:rPr>
          <w:b/>
        </w:rPr>
        <w:t>Black Box Warning</w:t>
      </w:r>
      <w:r>
        <w:t xml:space="preserve"> en 2000 et l'</w:t>
      </w:r>
      <w:r>
        <w:rPr>
          <w:b/>
        </w:rPr>
        <w:t>EMEA</w:t>
      </w:r>
      <w:r>
        <w:t xml:space="preserve"> (devenue EMA) à recommander le </w:t>
      </w:r>
      <w:r>
        <w:rPr>
          <w:b/>
        </w:rPr>
        <w:t>retrait progressif du marché européen</w:t>
      </w:r>
      <w:r>
        <w:t xml:space="preserve"> en 2001-2005. En France, l'AMM de la thioridazine (Melleril®) a été suspendue en 2001, puis retirée définitivement en 2005. En Algérie, la thioridazine (NARIZIN — Nova Argentia) est </w:t>
      </w:r>
      <w:r>
        <w:rPr>
          <w:b/>
        </w:rPr>
        <w:t>totalement retirée du marché à Avril 2026</w:t>
      </w:r>
      <w:r>
        <w:t xml:space="preserve"> — seule la traçabilité historique subsiste dans la nomenclature algérienne pour les patients qui en avaient été historiquement traités.</w:t>
      </w:r>
    </w:p>
    <w:p>
      <w:r/>
      <w:r>
        <w:rPr>
          <w:b/>
        </w:rPr>
        <w:t>Médicaments disponibles en Algérie (Marques, Laboratoires, Formes et Dosages) :</w:t>
      </w:r>
      <w:r/>
    </w:p>
    <w:p>
      <w:pPr>
        <w:pStyle w:val="ListBullet"/>
      </w:pPr>
      <w:r/>
      <w:r>
        <w:rPr>
          <w:b/>
        </w:rPr>
        <w:t>NARIZIN</w:t>
      </w:r>
      <w:r>
        <w:t xml:space="preserve"> (NOVA ARGENTIA)</w:t>
      </w:r>
    </w:p>
    <w:p>
      <w:pPr>
        <w:pStyle w:val="ListBullet"/>
      </w:pPr>
      <w:r>
        <w:t>Formes et Dosages : Dragées 10 mg — Boîte de 25 ; Dragées 50 mg — Boîte de 25 ; Dragées 100 mg — Boîte de 25.</w:t>
      </w:r>
    </w:p>
    <w:p>
      <w:pPr>
        <w:pStyle w:val="ListBullet"/>
      </w:pPr>
      <w:r>
        <w:t xml:space="preserve">Statut : </w:t>
      </w:r>
      <w:r>
        <w:rPr>
          <w:b/>
        </w:rPr>
        <w:t>Retiré (R)</w:t>
      </w:r>
      <w:r>
        <w:t xml:space="preserve"> — toutes formulations retirées du marché algérien — aucune marque active à Avril 2026 — retrait consécutif au Black Box Warning FDA 2000 et au retrait européen 2001-2005.</w:t>
      </w:r>
    </w:p>
    <w:p>
      <w:r/>
      <w:r>
        <w:rPr>
          <w:b/>
        </w:rPr>
        <w:t>Note nomenclature</w:t>
      </w:r>
      <w:r>
        <w:t xml:space="preserve"> : À Avril 2026, </w:t>
      </w:r>
      <w:r>
        <w:rPr>
          <w:b/>
        </w:rPr>
        <w:t>la thioridazine est totalement indisponible en Algérie</w:t>
      </w:r>
      <w:r>
        <w:t xml:space="preserve">. Les patients algériens historiquement traités par thioridazine ont dû être </w:t>
      </w:r>
      <w:r>
        <w:rPr>
          <w:b/>
        </w:rPr>
        <w:t>relayés vers d'autres antipsychotiques</w:t>
      </w:r>
      <w:r>
        <w:t xml:space="preserve"> (halopéridol, atypiques) — sous surveillance psychiatrique et cardiologique étroite. Le pharmacien d'officina algérien doit connaître cette molécule car des prescriptions anciennes peuvent subsister dans les dossiers médicaux, et tout patient présentant une ordonnance ancienne comportant de la thioridazine doit être </w:t>
      </w:r>
      <w:r>
        <w:rPr>
          <w:b/>
        </w:rPr>
        <w:t>orienté vers le prescripteur</w:t>
      </w:r>
      <w:r>
        <w:t xml:space="preserve"> pour mise à jour thérapeutique. </w:t>
      </w:r>
      <w:r>
        <w:rPr>
          <w:b/>
        </w:rPr>
        <w:t>Aucune nouvelle prescription de thioridazine ne doit être acceptée</w:t>
      </w:r>
      <w:r>
        <w:t xml:space="preserve"> — la molécule n'a plus d'AMM en Algérie, en Europe, ni aux États-Unis.</w:t>
      </w:r>
    </w:p>
    <w:p>
      <w:r/>
      <w:r>
        <w:rPr>
          <w:b/>
        </w:rPr>
        <w:t>Sous-classe et Mécanisme d'action :</w:t>
      </w:r>
      <w:r/>
    </w:p>
    <w:p>
      <w:pPr>
        <w:pStyle w:val="ListBullet"/>
      </w:pPr>
      <w:r>
        <w:t xml:space="preserve">Sous-classe : </w:t>
      </w:r>
      <w:r>
        <w:rPr>
          <w:b/>
        </w:rPr>
        <w:t>Phénothiazine pipéridinée — antipsychotique typique de 1re génération, puissance modérée avec cardiotoxicité majeure (allongement QT)</w:t>
      </w:r>
      <w:r>
        <w:t xml:space="preserve"> — historiquement positionnée en psychiatrie pour le traitement des </w:t>
      </w:r>
      <w:r>
        <w:rPr>
          <w:b/>
        </w:rPr>
        <w:t>schizophrénies chroniques</w:t>
      </w:r>
      <w:r>
        <w:t xml:space="preserve"> avec composante anxieuse, insomnie, et agitation modérée. Profil « sédatif » (effet H1 marqué) avec </w:t>
      </w:r>
      <w:r>
        <w:rPr>
          <w:b/>
        </w:rPr>
        <w:t>allongement QT majeur</w:t>
      </w:r>
      <w:r>
        <w:t xml:space="preserve"> par métabolite sulfone — responsable du retrait mondial.</w:t>
      </w:r>
    </w:p>
    <w:p>
      <w:pPr>
        <w:pStyle w:val="ListBullet"/>
      </w:pPr>
      <w:r>
        <w:t xml:space="preserve">Mécanisme d'action : la thioridazine est un </w:t>
      </w:r>
      <w:r>
        <w:rPr>
          <w:b/>
        </w:rPr>
        <w:t>antagoniste compétitif plurirécepteur</w:t>
      </w:r>
      <w:r>
        <w:t xml:space="preserve"> des récepteurs D2 (Ki ≈ 5-15 nM — affinité modérée), α1-adrénergiques, H1-histaminiques, muscariniques M1, et 5-HT2A/2C — profil comparable à la chlorpromazine. Le blocage D2 mésolimbique → réduction des symptômes positifs ; le blocage H1 → sédation marquée ; le blocage α1 → hypotension orthostatique ; le blocage M1 → effets anticholinergiques. La </w:t>
      </w:r>
      <w:r>
        <w:rPr>
          <w:b/>
        </w:rPr>
        <w:t>particularité critique</w:t>
      </w:r>
      <w:r>
        <w:t xml:space="preserve"> de la thioridazine réside dans son </w:t>
      </w:r>
      <w:r>
        <w:rPr>
          <w:b/>
        </w:rPr>
        <w:t>métabolisme hépatique CYP2D6</w:t>
      </w:r>
      <w:r>
        <w:t xml:space="preserve"> générant deux métabolites actifs : (i) </w:t>
      </w:r>
      <w:r>
        <w:rPr>
          <w:b/>
        </w:rPr>
        <w:t>thioridazine sulfoxyde</w:t>
      </w:r>
      <w:r>
        <w:t xml:space="preserve"> (métabolite antipsychotique actif, contribution à l'effet clinique) ; (ii) </w:t>
      </w:r>
      <w:r>
        <w:rPr>
          <w:b/>
        </w:rPr>
        <w:t>thioridazine sulfone</w:t>
      </w:r>
      <w:r>
        <w:t xml:space="preserve"> (métabolite cardiotoxique majeur — bloqueur puissant des canaux potassiques hERG Kv11.1, IC50 ≈ 50 nM — l'un des plus puissants de toute la pharmacopée). Ce métabolite sulfone est responsable d'un </w:t>
      </w:r>
      <w:r>
        <w:rPr>
          <w:b/>
        </w:rPr>
        <w:t>allongement majeur de l'espace QT</w:t>
      </w:r>
      <w:r>
        <w:t xml:space="preserve"> dose-dépendant — exposant au risque de </w:t>
      </w:r>
      <w:r>
        <w:rPr>
          <w:b/>
        </w:rPr>
        <w:t>torsades de pointes (TdP)</w:t>
      </w:r>
      <w:r>
        <w:t xml:space="preserve"> pouvant dégénérer en fibrillation ventriculaire et </w:t>
      </w:r>
      <w:r>
        <w:rPr>
          <w:b/>
        </w:rPr>
        <w:t>mort subite</w:t>
      </w:r>
      <w:r>
        <w:t xml:space="preserve">. La demi-vie d'élimination de la thioridazine est de </w:t>
      </w:r>
      <w:r>
        <w:rPr>
          <w:b/>
        </w:rPr>
        <w:t>24-36 h</w:t>
      </w:r>
      <w:r>
        <w:t>, mais celle de la thioridazine sulfone est prolongée (</w:t>
      </w:r>
      <w:r>
        <w:rPr>
          <w:b/>
        </w:rPr>
        <w:t>6-12 jours</w:t>
      </w:r>
      <w:r>
        <w:t xml:space="preserve">) — d'où une </w:t>
      </w:r>
      <w:r>
        <w:rPr>
          <w:b/>
        </w:rPr>
        <w:t>accumulation cardiaque</w:t>
      </w:r>
      <w:r>
        <w:t xml:space="preserve"> au long cours et un risque persistant même après réduction de dose.</w:t>
      </w:r>
    </w:p>
    <w:p>
      <w:r/>
      <w:r>
        <w:rPr>
          <w:b/>
        </w:rPr>
        <w:t>Profil Pharmacologique :</w:t>
      </w:r>
      <w:r/>
    </w:p>
    <w:p>
      <w:pPr>
        <w:pStyle w:val="ListBullet"/>
      </w:pPr>
      <w:r>
        <w:t>Indications (historiques, avant retrait) :</w:t>
      </w:r>
    </w:p>
    <w:p>
      <w:pPr>
        <w:pStyle w:val="ListBullet"/>
      </w:pPr>
      <w:r/>
      <w:r>
        <w:rPr>
          <w:b/>
        </w:rPr>
        <w:t>Schizophrénie chronique</w:t>
      </w:r>
      <w:r>
        <w:t xml:space="preserve"> avec composante anxieuse et insomnie — posologie 50-300 mg/j per os (jusqu'à 600 mg/j dans les formes sévères).</w:t>
      </w:r>
    </w:p>
    <w:p>
      <w:pPr>
        <w:pStyle w:val="ListBullet"/>
      </w:pPr>
      <w:r/>
      <w:r>
        <w:rPr>
          <w:b/>
        </w:rPr>
        <w:t>Troubles du comportement</w:t>
      </w:r>
      <w:r>
        <w:t xml:space="preserve"> chez le sujet âgé (à dose minimale — 10-50 mg/j — prudence signal FDA/EMA de surmortalité).</w:t>
      </w:r>
    </w:p>
    <w:p>
      <w:pPr>
        <w:pStyle w:val="ListBullet"/>
      </w:pPr>
      <w:r/>
      <w:r>
        <w:rPr>
          <w:b/>
        </w:rPr>
        <w:t>Troubles du comportement</w:t>
      </w:r>
      <w:r>
        <w:t xml:space="preserve"> chez l'enfant (à dose minimale — 0,5-3 mg/kg/j).</w:t>
      </w:r>
    </w:p>
    <w:p>
      <w:pPr>
        <w:pStyle w:val="ListBullet"/>
      </w:pPr>
      <w:r>
        <w:t>Contre-indications :</w:t>
      </w:r>
    </w:p>
    <w:p>
      <w:pPr>
        <w:pStyle w:val="ListBullet"/>
      </w:pPr>
      <w:r>
        <w:t>(i) Hypersensibilité à la thioridazine ou aux phénothiazines.</w:t>
      </w:r>
    </w:p>
    <w:p>
      <w:pPr>
        <w:pStyle w:val="ListBullet"/>
      </w:pPr>
      <w:r>
        <w:t xml:space="preserve">(ii) </w:t>
      </w:r>
      <w:r>
        <w:rPr>
          <w:b/>
        </w:rPr>
        <w:t>Allongement préexistant du QT</w:t>
      </w:r>
      <w:r>
        <w:t xml:space="preserve"> (QTc &gt; 450 ms homme, &gt; 470 ms femme) — CI absolue — risque de TdP.</w:t>
      </w:r>
    </w:p>
    <w:p>
      <w:pPr>
        <w:pStyle w:val="ListBullet"/>
      </w:pPr>
      <w:r>
        <w:t xml:space="preserve">(iii) </w:t>
      </w:r>
      <w:r>
        <w:rPr>
          <w:b/>
        </w:rPr>
        <w:t>Antécédents personnels ou familiaux de torsades de pointes (TdP)</w:t>
      </w:r>
      <w:r>
        <w:t xml:space="preserve"> — CI absolue.</w:t>
      </w:r>
    </w:p>
    <w:p>
      <w:pPr>
        <w:pStyle w:val="ListBullet"/>
      </w:pPr>
      <w:r>
        <w:t xml:space="preserve">(iv) </w:t>
      </w:r>
      <w:r>
        <w:rPr>
          <w:b/>
        </w:rPr>
        <w:t>Hypokaliémie, hypomagnésémie, hypocalcémie</w:t>
      </w:r>
      <w:r>
        <w:t xml:space="preserve"> non corrigées — CI absolue.</w:t>
      </w:r>
    </w:p>
    <w:p>
      <w:pPr>
        <w:pStyle w:val="ListBullet"/>
      </w:pPr>
      <w:r>
        <w:t xml:space="preserve">(v) </w:t>
      </w:r>
      <w:r>
        <w:rPr>
          <w:b/>
        </w:rPr>
        <w:t>Bradycardie sinusale &lt; 50 bpm</w:t>
      </w:r>
      <w:r>
        <w:t>, BAV non appareillé — CI absolue.</w:t>
      </w:r>
    </w:p>
    <w:p>
      <w:pPr>
        <w:pStyle w:val="ListBullet"/>
      </w:pPr>
      <w:r>
        <w:t xml:space="preserve">(vi) </w:t>
      </w:r>
      <w:r>
        <w:rPr>
          <w:b/>
        </w:rPr>
        <w:t>Insuffisance cardiaque décompensée</w:t>
      </w:r>
      <w:r>
        <w:t>, angor instable — CI absolue.</w:t>
      </w:r>
    </w:p>
    <w:p>
      <w:pPr>
        <w:pStyle w:val="ListBullet"/>
      </w:pPr>
      <w:r>
        <w:t xml:space="preserve">(vii) </w:t>
      </w:r>
      <w:r>
        <w:rPr>
          <w:b/>
        </w:rPr>
        <w:t>Association avec d'autres allongeurs de QT</w:t>
      </w:r>
      <w:r>
        <w:t xml:space="preserve"> — CI absolue (liste exhaustive cf. section Halopéridol — notamment antiarythmiques Ia et III, macrolides, fluoroquinolones, antidépresseurs tricycliques, méthadone, autres antipsychotiques).</w:t>
      </w:r>
    </w:p>
    <w:p>
      <w:pPr>
        <w:pStyle w:val="ListBullet"/>
      </w:pPr>
      <w:r>
        <w:t xml:space="preserve">(viii) </w:t>
      </w:r>
      <w:r>
        <w:rPr>
          <w:b/>
        </w:rPr>
        <w:t>Association avec les inhibiteurs puissants du CYP2D6</w:t>
      </w:r>
      <w:r>
        <w:t xml:space="preserve"> (paroxétine, fluoxétine, fluvoxamine, bupropion, quinidine) — CI absolue (augmentation des concentrations de thioridazine sulfone cardiotoxique).</w:t>
      </w:r>
    </w:p>
    <w:p>
      <w:pPr>
        <w:pStyle w:val="ListBullet"/>
      </w:pPr>
      <w:r>
        <w:t xml:space="preserve">(ix) </w:t>
      </w:r>
      <w:r>
        <w:rPr>
          <w:b/>
        </w:rPr>
        <w:t>Association avec lévodopa/agonistes dopaminergiques</w:t>
      </w:r>
      <w:r>
        <w:t xml:space="preserve"> — CI absolue (antagonisme pharmacodynamique).</w:t>
      </w:r>
    </w:p>
    <w:p>
      <w:pPr>
        <w:pStyle w:val="ListBullet"/>
      </w:pPr>
      <w:r>
        <w:t xml:space="preserve">(x) </w:t>
      </w:r>
      <w:r>
        <w:rPr>
          <w:b/>
        </w:rPr>
        <w:t>Maladie de Parkinson</w:t>
      </w:r>
      <w:r>
        <w:t xml:space="preserve"> — CI absolue.</w:t>
      </w:r>
    </w:p>
    <w:p>
      <w:pPr>
        <w:pStyle w:val="ListBullet"/>
      </w:pPr>
      <w:r>
        <w:t xml:space="preserve">(xi) </w:t>
      </w:r>
      <w:r>
        <w:rPr>
          <w:b/>
        </w:rPr>
        <w:t>Démence à corps de Lewy</w:t>
      </w:r>
      <w:r>
        <w:t xml:space="preserve"> — CI absolue.</w:t>
      </w:r>
    </w:p>
    <w:p>
      <w:pPr>
        <w:pStyle w:val="ListBullet"/>
      </w:pPr>
      <w:r>
        <w:t xml:space="preserve">(xii) </w:t>
      </w:r>
      <w:r>
        <w:rPr>
          <w:b/>
        </w:rPr>
        <w:t>Syndrome malin des neuroleptiques (SMN)</w:t>
      </w:r>
      <w:r>
        <w:t xml:space="preserve"> personnel.</w:t>
      </w:r>
    </w:p>
    <w:p>
      <w:pPr>
        <w:pStyle w:val="ListBullet"/>
      </w:pPr>
      <w:r>
        <w:t xml:space="preserve">(xiii) </w:t>
      </w:r>
      <w:r>
        <w:rPr>
          <w:b/>
        </w:rPr>
        <w:t>Hypertrophie bénigne de la prostate</w:t>
      </w:r>
      <w:r>
        <w:t xml:space="preserve"> sévère — CI relative.</w:t>
      </w:r>
    </w:p>
    <w:p>
      <w:pPr>
        <w:pStyle w:val="ListBullet"/>
      </w:pPr>
      <w:r>
        <w:t xml:space="preserve">(xiv) </w:t>
      </w:r>
      <w:r>
        <w:rPr>
          <w:b/>
        </w:rPr>
        <w:t>Glaucome à angle fermé</w:t>
      </w:r>
      <w:r>
        <w:t xml:space="preserve"> — CI absolue.</w:t>
      </w:r>
    </w:p>
    <w:p>
      <w:pPr>
        <w:pStyle w:val="ListBullet"/>
      </w:pPr>
      <w:r>
        <w:t xml:space="preserve">(xv) </w:t>
      </w:r>
      <w:r>
        <w:rPr>
          <w:b/>
        </w:rPr>
        <w:t>Insuffisance hépatique sévère</w:t>
      </w:r>
      <w:r>
        <w:t xml:space="preserve"> — CI absolue.</w:t>
      </w:r>
    </w:p>
    <w:p>
      <w:pPr>
        <w:pStyle w:val="ListBullet"/>
      </w:pPr>
      <w:r>
        <w:t xml:space="preserve">(xvi) </w:t>
      </w:r>
      <w:r>
        <w:rPr>
          <w:b/>
        </w:rPr>
        <w:t>Épilepsie non contrôlée</w:t>
      </w:r>
      <w:r>
        <w:t>.</w:t>
      </w:r>
    </w:p>
    <w:p>
      <w:pPr>
        <w:pStyle w:val="ListBullet"/>
      </w:pPr>
      <w:r>
        <w:t xml:space="preserve">(xvii) </w:t>
      </w:r>
      <w:r>
        <w:rPr>
          <w:b/>
        </w:rPr>
        <w:t>Phéochromocytome</w:t>
      </w:r>
      <w:r>
        <w:t>.</w:t>
      </w:r>
    </w:p>
    <w:p>
      <w:pPr>
        <w:pStyle w:val="ListBullet"/>
      </w:pPr>
      <w:r>
        <w:t xml:space="preserve">(xviii) </w:t>
      </w:r>
      <w:r>
        <w:rPr>
          <w:b/>
        </w:rPr>
        <w:t>Myasthénie</w:t>
      </w:r>
      <w:r>
        <w:t xml:space="preserve"> — CI absolue.</w:t>
      </w:r>
    </w:p>
    <w:p>
      <w:pPr>
        <w:pStyle w:val="ListBullet"/>
      </w:pPr>
      <w:r>
        <w:t xml:space="preserve">(xix) </w:t>
      </w:r>
      <w:r>
        <w:rPr>
          <w:b/>
        </w:rPr>
        <w:t>Dépression sévère, état comateux</w:t>
      </w:r>
      <w:r>
        <w:t>.</w:t>
      </w:r>
    </w:p>
    <w:p>
      <w:pPr>
        <w:pStyle w:val="ListBullet"/>
      </w:pPr>
      <w:r>
        <w:t xml:space="preserve">(xx) </w:t>
      </w:r>
      <w:r>
        <w:rPr>
          <w:b/>
        </w:rPr>
        <w:t>Allaitement</w:t>
      </w:r>
      <w:r>
        <w:t xml:space="preserve"> à dose élevée au long cours.</w:t>
      </w:r>
    </w:p>
    <w:p>
      <w:pPr>
        <w:pStyle w:val="ListBullet"/>
      </w:pPr>
      <w:r>
        <w:t>Effets Indésirables :</w:t>
      </w:r>
    </w:p>
    <w:p>
      <w:pPr>
        <w:pStyle w:val="ListBullet"/>
      </w:pPr>
      <w:r/>
      <w:r>
        <w:rPr>
          <w:b/>
        </w:rPr>
        <w:t>Très fréquents (≥ 1/10)</w:t>
      </w:r>
      <w:r>
        <w:t xml:space="preserve"> : sédation profonde, hypotension orthostatique, sécheresse buccale, constipation (risque d'occlusion paralytique), prise de poids (modérée à marquée), troubles de l'accommodation, akathisie, parkinsonisme.</w:t>
      </w:r>
    </w:p>
    <w:p>
      <w:pPr>
        <w:pStyle w:val="ListBullet"/>
      </w:pPr>
      <w:r/>
      <w:r>
        <w:rPr>
          <w:b/>
        </w:rPr>
        <w:t>Fréquents (≥ 1/100 à &lt; 1/10)</w:t>
      </w:r>
      <w:r>
        <w:t xml:space="preserve"> : dystonie aiguë, dyskinésie tardive, hyperprolactinémie, tachycardie sinusale, réactions cutanées (photosensibilité), </w:t>
      </w:r>
      <w:r>
        <w:rPr>
          <w:b/>
        </w:rPr>
        <w:t>allongement de l'espace QT</w:t>
      </w:r>
      <w:r>
        <w:t xml:space="preserve"> (marqué — INCIDENCE TRÈS ÉLEVÉE — </w:t>
      </w:r>
      <w:r>
        <w:rPr>
          <w:b/>
        </w:rPr>
        <w:t>risque majeur de torsades de pointes (TdP)</w:t>
      </w:r>
      <w:r>
        <w:t xml:space="preserve"> et de mort subite), hypothermie.</w:t>
      </w:r>
    </w:p>
    <w:p>
      <w:pPr>
        <w:pStyle w:val="ListBullet"/>
      </w:pPr>
      <w:r/>
      <w:r>
        <w:rPr>
          <w:b/>
        </w:rPr>
        <w:t>Peu fréquents (≥ 1/1000 à &lt; 1/100)</w:t>
      </w:r>
      <w:r>
        <w:t xml:space="preserve"> : </w:t>
      </w:r>
      <w:r>
        <w:rPr>
          <w:b/>
        </w:rPr>
        <w:t>torsades de pointes (TdP)</w:t>
      </w:r>
      <w:r>
        <w:t xml:space="preserve"> — urgence cardiologique — peut dégénérer en fibrillation ventriculaire et mort subite ; </w:t>
      </w:r>
      <w:r>
        <w:rPr>
          <w:b/>
        </w:rPr>
        <w:t>mort subite</w:t>
      </w:r>
      <w:r>
        <w:t xml:space="preserve"> — incidence majorée × 3-6 vs population générale (Reilly 2000, Ray 2001) ; </w:t>
      </w:r>
      <w:r>
        <w:rPr>
          <w:b/>
        </w:rPr>
        <w:t>SMN</w:t>
      </w:r>
      <w:r>
        <w:t xml:space="preserve"> (urgence vitale) ; convulsions ; rétention urinaire ; troubles hépatiques ; leucopénie, agranulocytose.</w:t>
      </w:r>
    </w:p>
    <w:p>
      <w:pPr>
        <w:pStyle w:val="ListBullet"/>
      </w:pPr>
      <w:r/>
      <w:r>
        <w:rPr>
          <w:b/>
        </w:rPr>
        <w:t>Rares</w:t>
      </w:r>
      <w:r>
        <w:t xml:space="preserve"> : syndrome de Stevens-Johnson, nécrolyse épidermique toxique (Lyell), réactions anaphylactiques, hépatite fulminante, aplasie médullaire.</w:t>
      </w:r>
    </w:p>
    <w:p>
      <w:pPr>
        <w:pStyle w:val="ListBullet"/>
      </w:pPr>
      <w:r/>
      <w:r>
        <w:rPr>
          <w:b/>
        </w:rPr>
        <w:t>Particularité</w:t>
      </w:r>
      <w:r>
        <w:t xml:space="preserve"> : </w:t>
      </w:r>
      <w:r>
        <w:rPr>
          <w:b/>
        </w:rPr>
        <w:t>rétinite pigmentaire</w:t>
      </w:r>
      <w:r>
        <w:t xml:space="preserve"> au long cours (dépôts pigmentaires rétiniens — spécifique de la thioridazine à dose élevée &gt; 800 mg/j — surveillance ophtalmologique).</w:t>
      </w:r>
    </w:p>
    <w:p>
      <w:r/>
      <w:r>
        <w:rPr>
          <w:b/>
        </w:rPr>
        <w:t>Prévention et Gestion des Effets Indésirables :</w:t>
      </w:r>
      <w:r/>
    </w:p>
    <w:p>
      <w:pPr>
        <w:pStyle w:val="ListBullet"/>
      </w:pPr>
      <w:r>
        <w:t>Mesures Préventives : la principale mesure préventive était l'</w:t>
      </w:r>
      <w:r>
        <w:rPr>
          <w:b/>
        </w:rPr>
        <w:t>ECG systématique</w:t>
      </w:r>
      <w:r>
        <w:t xml:space="preserve"> avant instauration, à 1 semaine, à 1 mois, puis trimestriel — surveillance QTc, kaliémie, magnésémie. </w:t>
      </w:r>
      <w:r>
        <w:rPr>
          <w:b/>
        </w:rPr>
        <w:t>Limitation posologique stricte</w:t>
      </w:r>
      <w:r>
        <w:t xml:space="preserve"> : dose maximale 300 mg/j per os (au-delà, risque cardiaque inacceptable). </w:t>
      </w:r>
      <w:r>
        <w:rPr>
          <w:b/>
        </w:rPr>
        <w:t>Éviter toute association</w:t>
      </w:r>
      <w:r>
        <w:t xml:space="preserve"> avec un autre allongeur de QT ou un inhibiteur puissant du CYP2D6. </w:t>
      </w:r>
      <w:r>
        <w:rPr>
          <w:b/>
        </w:rPr>
        <w:t>Aujourd'hui, la mesure préventive principale est l'arrêt définitif de la thioridazine</w:t>
      </w:r>
      <w:r>
        <w:t xml:space="preserve"> — tout patient historiquement traité doit être </w:t>
      </w:r>
      <w:r>
        <w:rPr>
          <w:b/>
        </w:rPr>
        <w:t>relayé vers un autre antipsychotique</w:t>
      </w:r>
      <w:r>
        <w:t xml:space="preserve"> (halopéridol, atypique) — sous surveillance psychiatrique et cardiologique étroite.</w:t>
      </w:r>
    </w:p>
    <w:p>
      <w:pPr>
        <w:pStyle w:val="ListBullet"/>
      </w:pPr>
      <w:r>
        <w:t>Conduite à Tenir :</w:t>
      </w:r>
    </w:p>
    <w:p>
      <w:pPr>
        <w:pStyle w:val="ListBullet"/>
      </w:pPr>
      <w:r>
        <w:t xml:space="preserve">En cas de </w:t>
      </w:r>
      <w:r>
        <w:rPr>
          <w:b/>
        </w:rPr>
        <w:t>prescription ancienne de thioridazine</w:t>
      </w:r>
      <w:r>
        <w:t xml:space="preserve"> : </w:t>
      </w:r>
      <w:r>
        <w:rPr>
          <w:b/>
        </w:rPr>
        <w:t>ne pas délivrer</w:t>
      </w:r>
      <w:r>
        <w:t xml:space="preserve"> — orienter le patient vers le prescripteur pour </w:t>
      </w:r>
      <w:r>
        <w:rPr>
          <w:b/>
        </w:rPr>
        <w:t>mise à jour thérapeutique</w:t>
      </w:r>
      <w:r>
        <w:t xml:space="preserve"> (relais vers halopéridol ou atypique).</w:t>
      </w:r>
    </w:p>
    <w:p>
      <w:pPr>
        <w:pStyle w:val="ListBullet"/>
      </w:pPr>
      <w:r>
        <w:t xml:space="preserve">En cas de </w:t>
      </w:r>
      <w:r>
        <w:rPr>
          <w:b/>
        </w:rPr>
        <w:t>TdP</w:t>
      </w:r>
      <w:r>
        <w:t xml:space="preserve"> sous thioridazine (historique) : arrêt immédiat, réanimation cardiologique, sulfate de magnésium IV 2 g, isoprénaline IV, entraînement électrosystolique temporaire si nécessaire.</w:t>
      </w:r>
    </w:p>
    <w:p>
      <w:pPr>
        <w:pStyle w:val="ListBullet"/>
      </w:pPr>
      <w:r>
        <w:t xml:space="preserve">En cas de </w:t>
      </w:r>
      <w:r>
        <w:rPr>
          <w:b/>
        </w:rPr>
        <w:t>relais thérapeutique thioridazine → alternative</w:t>
      </w:r>
      <w:r>
        <w:t xml:space="preserve"> : prévoir un </w:t>
      </w:r>
      <w:r>
        <w:rPr>
          <w:b/>
        </w:rPr>
        <w:t>wash-out</w:t>
      </w:r>
      <w:r>
        <w:t xml:space="preserve"> de 7-14 jours (en raison de la demi-vie prolongée de la thioridazine sulfone — 6-12 jours) avant l'introduction du nouvel antipsychotique — pour éviter l'</w:t>
      </w:r>
      <w:r>
        <w:rPr>
          <w:b/>
        </w:rPr>
        <w:t>association transitoire</w:t>
      </w:r>
      <w:r>
        <w:t xml:space="preserve"> thioridazine + nouvel antipsychotique allongeur de QT (risque synergique de TdP). Surveillance ECG pendant le wash-out et après l'introduction du nouvel antipsychotique.</w:t>
      </w:r>
    </w:p>
    <w:p>
      <w:r/>
      <w:r>
        <w:rPr>
          <w:b/>
        </w:rPr>
        <w:t>Interactions Importantes :</w:t>
      </w:r>
      <w:r/>
    </w:p>
    <w:p>
      <w:pPr>
        <w:pStyle w:val="ListBullet"/>
      </w:pPr>
      <w:r>
        <w:t>Identiques aux autres phénothiazines (CI absolue avec lévodopa/agonistes dopaminergiques, sédation additive avec dépresseurs du SNC, etc.).</w:t>
      </w:r>
    </w:p>
    <w:p>
      <w:pPr>
        <w:pStyle w:val="ListBullet"/>
      </w:pPr>
      <w:r/>
      <w:r>
        <w:rPr>
          <w:b/>
        </w:rPr>
        <w:t>Thioridazine + autres allongeurs de QT</w:t>
      </w:r>
      <w:r>
        <w:t xml:space="preserve"> : </w:t>
      </w:r>
      <w:r>
        <w:rPr>
          <w:b/>
        </w:rPr>
        <w:t>CI ABSOLUE — principale cause du retrait du marché</w:t>
      </w:r>
      <w:r>
        <w:t xml:space="preserve"> — risque synergique de TdP et de mort subite.</w:t>
      </w:r>
    </w:p>
    <w:p>
      <w:pPr>
        <w:pStyle w:val="ListBullet"/>
      </w:pPr>
      <w:r/>
      <w:r>
        <w:rPr>
          <w:b/>
        </w:rPr>
        <w:t>Thioridazine + inhibiteurs puissants du CYP2D6</w:t>
      </w:r>
      <w:r>
        <w:t xml:space="preserve"> (paroxétine, fluoxétine, fluvoxamine, bupropion, quinidine) : </w:t>
      </w:r>
      <w:r>
        <w:rPr>
          <w:b/>
        </w:rPr>
        <w:t>CI ABSOLUE</w:t>
      </w:r>
      <w:r>
        <w:t xml:space="preserve"> — augmentation des concentrations de thioridazine sulfone cardiotoxique.</w:t>
      </w:r>
    </w:p>
    <w:p>
      <w:pPr>
        <w:pStyle w:val="ListBullet"/>
      </w:pPr>
      <w:r/>
      <w:r>
        <w:rPr>
          <w:b/>
        </w:rPr>
        <w:t>Thioridazine + digoxine, diurétiques</w:t>
      </w:r>
      <w:r>
        <w:t xml:space="preserve"> (hypokaliémie, hypomagnésémie) : </w:t>
      </w:r>
      <w:r>
        <w:rPr>
          <w:b/>
        </w:rPr>
        <w:t>CI ABSOLUE</w:t>
      </w:r>
      <w:r>
        <w:t xml:space="preserve"> — majoration du risque de TdP.</w:t>
      </w:r>
    </w:p>
    <w:p>
      <w:pPr>
        <w:pStyle w:val="ListBullet"/>
      </w:pPr>
      <w:r/>
      <w:r>
        <w:rPr>
          <w:b/>
        </w:rPr>
        <w:t>Thioridazine + lithium</w:t>
      </w:r>
      <w:r>
        <w:t xml:space="preserve"> : potentialisation de l'effet antipsychotique, mais augmentation du risque d'encéphalopathie toxique.</w:t>
      </w:r>
    </w:p>
    <w:p>
      <w:r/>
      <w:r>
        <w:rPr>
          <w:b/>
        </w:rPr>
        <w:t>Grossesse et Allaitement :</w:t>
      </w:r>
      <w:r/>
    </w:p>
    <w:p>
      <w:pPr>
        <w:pStyle w:val="ListBullet"/>
      </w:pPr>
      <w:r>
        <w:t xml:space="preserve">Grossesse : selon le </w:t>
      </w:r>
      <w:r>
        <w:rPr>
          <w:b/>
        </w:rPr>
        <w:t>CRAT</w:t>
      </w:r>
      <w:r>
        <w:t xml:space="preserve">, la thioridazine a un </w:t>
      </w:r>
      <w:r>
        <w:rPr>
          <w:b/>
        </w:rPr>
        <w:t>recul limité</w:t>
      </w:r>
      <w:r>
        <w:t xml:space="preserve"> — aucune donnée d'augmentation du risque de malformations congénitales majeures, mais le profil cardiotoxique (allongement QT) expose le fœtus à un risque théorique de </w:t>
      </w:r>
      <w:r>
        <w:rPr>
          <w:b/>
        </w:rPr>
        <w:t>torsades de pointes fœtales</w:t>
      </w:r>
      <w:r>
        <w:t xml:space="preserve"> (rarement documenté). Le CRAT recommande de </w:t>
      </w:r>
      <w:r>
        <w:rPr>
          <w:b/>
        </w:rPr>
        <w:t>privilégier l'halopéridol à dose minimale efficace</w:t>
      </w:r>
      <w:r>
        <w:t xml:space="preserve"> pendant la grossesse — la thioridazine est contre-indiquée en pratique en raison de sa cardiotoxicité.</w:t>
      </w:r>
    </w:p>
    <w:p>
      <w:pPr>
        <w:pStyle w:val="ListBullet"/>
      </w:pPr>
      <w:r>
        <w:t xml:space="preserve">Allaitement : selon le </w:t>
      </w:r>
      <w:r>
        <w:rPr>
          <w:b/>
        </w:rPr>
        <w:t>CRAT</w:t>
      </w:r>
      <w:r>
        <w:t xml:space="preserve">, la thioridazine passe dans le lait maternel — la dose ingérée par le nourrisson est estimée à </w:t>
      </w:r>
      <w:r>
        <w:rPr>
          <w:b/>
        </w:rPr>
        <w:t>2-5 % de la dose maternelle pondérée par le poids</w:t>
      </w:r>
      <w:r>
        <w:t xml:space="preserve">. </w:t>
      </w:r>
      <w:r>
        <w:rPr>
          <w:b/>
        </w:rPr>
        <w:t>Allaitement déconseillé</w:t>
      </w:r>
      <w:r>
        <w:t xml:space="preserve"> en raison du risque de </w:t>
      </w:r>
      <w:r>
        <w:rPr>
          <w:b/>
        </w:rPr>
        <w:t>sédation néonatale marquée, hypotonie, allongement QT néonatal</w:t>
      </w:r>
      <w:r>
        <w:t>.</w:t>
      </w:r>
    </w:p>
    <w:p>
      <w:pPr>
        <w:pStyle w:val="ListBullet"/>
      </w:pPr>
      <w:r>
        <w:t xml:space="preserve">Précisions : évaluation </w:t>
      </w:r>
      <w:r>
        <w:rPr>
          <w:b/>
        </w:rPr>
        <w:t>bénéfice/risque</w:t>
      </w:r>
      <w:r>
        <w:t xml:space="preserve"> individuelle — la thioridazine étant retirée du marché algérien, cette molécule n'a plus d'indication pratique en Algérie.</w:t>
      </w:r>
    </w:p>
    <w:p>
      <w:r/>
      <w:r>
        <w:rPr>
          <w:b/>
        </w:rPr>
        <w:t>Posologie et Mode d'administration (Standard — pour mémoire historique) :</w:t>
      </w:r>
      <w:r/>
    </w:p>
    <w:p>
      <w:pPr>
        <w:pStyle w:val="ListBullet"/>
      </w:pPr>
      <w:r>
        <w:t>Adulte (per os — dragées 10, 50, 100 mg — forme retirée en Algérie) :</w:t>
      </w:r>
    </w:p>
    <w:p>
      <w:pPr>
        <w:pStyle w:val="ListBullet"/>
      </w:pPr>
      <w:r/>
      <w:r>
        <w:rPr>
          <w:b/>
        </w:rPr>
        <w:t>Initiation</w:t>
      </w:r>
      <w:r>
        <w:t xml:space="preserve"> : 25-50 mg/jour en 2-3 prises, à augmenter progressivement par paliers de 25-50 mg tous les 5-7 jours.</w:t>
      </w:r>
    </w:p>
    <w:p>
      <w:pPr>
        <w:pStyle w:val="ListBullet"/>
      </w:pPr>
      <w:r/>
      <w:r>
        <w:rPr>
          <w:b/>
        </w:rPr>
        <w:t>Dose d'entretien</w:t>
      </w:r>
      <w:r>
        <w:t xml:space="preserve"> : 50-300 mg/jour en 2-3 prises — dose moyenne habituelle 100-200 mg/j.</w:t>
      </w:r>
    </w:p>
    <w:p>
      <w:pPr>
        <w:pStyle w:val="ListBullet"/>
      </w:pPr>
      <w:r/>
      <w:r>
        <w:rPr>
          <w:b/>
        </w:rPr>
        <w:t>Dose maximale stricte</w:t>
      </w:r>
      <w:r>
        <w:t xml:space="preserve"> : 300 mg/jour per os (recommandation FDA 2000 — au-delà, risque cardiaque inacceptable).</w:t>
      </w:r>
    </w:p>
    <w:p>
      <w:pPr>
        <w:pStyle w:val="ListBullet"/>
      </w:pPr>
      <w:r>
        <w:t>Sujet âgé : 10-50 mg/jour en 1-2 prises, titrer très lentement. Dose maximale recommandée : 100 mg/jour.</w:t>
      </w:r>
    </w:p>
    <w:p>
      <w:pPr>
        <w:pStyle w:val="ListBullet"/>
      </w:pPr>
      <w:r>
        <w:t>Insuffisant rénal/hépatique : prudence, surveillance ECG.</w:t>
      </w:r>
    </w:p>
    <w:p>
      <w:pPr>
        <w:pStyle w:val="ListBullet"/>
      </w:pPr>
      <w:r>
        <w:t>Durée : au long cours. Réduction progressive par paliers sur 4-8 semaines en cas d'arrêt.</w:t>
      </w:r>
    </w:p>
    <w:p>
      <w:r/>
      <w:r>
        <w:rPr>
          <w:b/>
        </w:rPr>
        <w:t>Arbitrage et Bénéfices des Formes Galéniques :</w:t>
      </w:r>
      <w:r/>
    </w:p>
    <w:p>
      <w:pPr>
        <w:pStyle w:val="ListBullet"/>
      </w:pPr>
      <w:r/>
      <w:r>
        <w:rPr>
          <w:b/>
        </w:rPr>
        <w:t>Dragées 10, 50, 100 mg</w:t>
      </w:r>
      <w:r>
        <w:t xml:space="preserve"> — </w:t>
      </w:r>
      <w:r>
        <w:rPr>
          <w:b/>
        </w:rPr>
        <w:t>retirées du marché algérien</w:t>
      </w:r>
      <w:r>
        <w:t xml:space="preserve">. Les patients doivent être relayés vers l'halopéridol per os (solution buvable 2 mg/mL) ou un atypique. </w:t>
      </w:r>
      <w:r>
        <w:rPr>
          <w:b/>
        </w:rPr>
        <w:t>Equivalence approximative</w:t>
      </w:r>
      <w:r>
        <w:t xml:space="preserve"> : thioridazine 100 mg/j ≈ halopéridol 5 mg/j (à adapter selon la réponse clinique). Prévoir un </w:t>
      </w:r>
      <w:r>
        <w:rPr>
          <w:b/>
        </w:rPr>
        <w:t>wash-out de 7-14 jours</w:t>
      </w:r>
      <w:r>
        <w:t xml:space="preserve"> avant l'introduction du nouvel antipsychotique (demi-vie prolongée de la thioridazine sulfone).</w:t>
      </w:r>
    </w:p>
    <w:p>
      <w:r/>
      <w:r>
        <w:rPr>
          <w:b/>
        </w:rPr>
        <w:t>Instructions et Conseils au Patient :</w:t>
      </w:r>
      <w:r/>
    </w:p>
    <w:p>
      <w:pPr>
        <w:pStyle w:val="ListBullet"/>
      </w:pPr>
      <w:r>
        <w:t xml:space="preserve">Communication au comptoir : en cas de présentation d'une ordonnance ancienne comportant de la thioridazine (NARIZIN), </w:t>
      </w:r>
      <w:r>
        <w:rPr>
          <w:b/>
        </w:rPr>
        <w:t>ne pas délivrer</w:t>
      </w:r>
      <w:r>
        <w:t xml:space="preserve"> — expliquer au patient que « Ce médicament a été retiré du marché pour des raisons de sécurité cardiaque. Je ne peux pas vous le délivrer. Je vais vous orienter vers votre médecin pour qu'il vous propose un médicament alternatif plus sûr. »</w:t>
      </w:r>
    </w:p>
    <w:p>
      <w:pPr>
        <w:pStyle w:val="ListBullet"/>
      </w:pPr>
      <w:r>
        <w:t xml:space="preserve">En cas de </w:t>
      </w:r>
      <w:r>
        <w:rPr>
          <w:b/>
        </w:rPr>
        <w:t>relais thérapeutique</w:t>
      </w:r>
      <w:r>
        <w:t xml:space="preserve"> thioridazine → halopéridol ou atypique : informer le patient du wash-out nécessaire (7-14 jours), surveiller ECG, prévoir une consultation psychiatrique et cardiologique de contrôle.</w:t>
      </w:r>
    </w:p>
    <w:p>
      <w:r/>
      <w:r>
        <w:rPr>
          <w:b/>
        </w:rPr>
        <w:t>Notes, Règles d'Or &amp; Pièges au Comptoir :</w:t>
      </w:r>
      <w:r/>
    </w:p>
    <w:p>
      <w:pPr>
        <w:pStyle w:val="ListBullet"/>
      </w:pPr>
      <w:r>
        <w:t>Piège classique :</w:t>
      </w:r>
    </w:p>
    <w:p>
      <w:pPr>
        <w:pStyle w:val="ListBullet"/>
      </w:pPr>
      <w:r/>
      <w:r>
        <w:rPr>
          <w:b/>
        </w:rPr>
        <w:t>Retrait mondial — prescription ancienne</w:t>
      </w:r>
      <w:r>
        <w:t xml:space="preserve"> : tout patient présentant une ordonnance ancienne comportant de la thioridazine doit être </w:t>
      </w:r>
      <w:r>
        <w:rPr>
          <w:b/>
        </w:rPr>
        <w:t>orienté vers le prescripteur</w:t>
      </w:r>
      <w:r>
        <w:t xml:space="preserve"> pour mise à jour thérapeutique. </w:t>
      </w:r>
      <w:r>
        <w:rPr>
          <w:b/>
        </w:rPr>
        <w:t>Aucune nouvelle délivrance ne doit être effectuée</w:t>
      </w:r>
      <w:r>
        <w:t xml:space="preserve"> — risque juridique en cas d'effet indésirable grave.</w:t>
      </w:r>
    </w:p>
    <w:p>
      <w:pPr>
        <w:pStyle w:val="ListBullet"/>
      </w:pPr>
      <w:r/>
      <w:r>
        <w:rPr>
          <w:b/>
        </w:rPr>
        <w:t>Allongement QT — TdP — mort subite</w:t>
      </w:r>
      <w:r>
        <w:t xml:space="preserve"> : principale cause du retrait du marché — risque multiplié par 3-6 vs population générale.</w:t>
      </w:r>
    </w:p>
    <w:p>
      <w:pPr>
        <w:pStyle w:val="ListBullet"/>
      </w:pPr>
      <w:r/>
      <w:r>
        <w:rPr>
          <w:b/>
        </w:rPr>
        <w:t>Wash-out nécessaire</w:t>
      </w:r>
      <w:r>
        <w:t xml:space="preserve"> avant relais vers un autre antipsychotique (demi-vie prolongée de la thioridazine sulfone).</w:t>
      </w:r>
    </w:p>
    <w:p>
      <w:pPr>
        <w:pStyle w:val="ListBullet"/>
      </w:pPr>
      <w:r/>
      <w:r>
        <w:rPr>
          <w:b/>
        </w:rPr>
        <w:t>Rétinite pigmentaire</w:t>
      </w:r>
      <w:r>
        <w:t xml:space="preserve"> au long cours à dose élevée &gt; 800 mg/j.</w:t>
      </w:r>
    </w:p>
    <w:p>
      <w:pPr>
        <w:pStyle w:val="ListBullet"/>
      </w:pPr>
      <w:r/>
      <w:r>
        <w:rPr>
          <w:b/>
        </w:rPr>
        <w:t>Association avec allongeurs de QT ou inhibiteurs CYP2D6</w:t>
      </w:r>
      <w:r>
        <w:t xml:space="preserve"> — CI absolue.</w:t>
      </w:r>
    </w:p>
    <w:p>
      <w:pPr>
        <w:pStyle w:val="ListBullet"/>
      </w:pPr>
      <w:r>
        <w:t>Règle de prise : pour mémoire — pendant les repas, prise du soir privilégiée, hydratation, protection solaire.</w:t>
      </w:r>
    </w:p>
    <w:p>
      <w:pPr>
        <w:pStyle w:val="ListBullet"/>
      </w:pPr>
      <w:r>
        <w:t>Préparation et Conservation : pour mémoire.</w:t>
      </w:r>
    </w:p>
    <w:p>
      <w:pPr>
        <w:pStyle w:val="ListBullet"/>
      </w:pPr>
      <w:r>
        <w:t xml:space="preserve">Piège du surdosage / Substitution : en cas de surdosage ancien par thioridazine — traitement symptomatique en réanimation (cardiologique), surveillance ECG continue (risque de TdP), magnésium IV, isoprénaline, entraînement électrosystolique si nécessaire. </w:t>
      </w:r>
      <w:r>
        <w:rPr>
          <w:b/>
        </w:rPr>
        <w:t>Pas d'antidote spécifique</w:t>
      </w:r>
      <w:r>
        <w:t>.</w:t>
      </w:r>
    </w:p>
    <w:p>
      <w:pPr>
        <w:pStyle w:val="Heading2"/>
      </w:pPr>
      <w:r>
        <w:t>10. Introduction à la sous-classe des benzamides substitués</w:t>
      </w:r>
    </w:p>
    <w:p>
      <w:pPr>
        <w:pStyle w:val="Heading3"/>
      </w:pPr>
      <w:r>
        <w:t>Définition chimique et positionnement pharmacologique</w:t>
      </w:r>
    </w:p>
    <w:p>
      <w:r>
        <w:t xml:space="preserve">Les </w:t>
      </w:r>
      <w:r>
        <w:rPr>
          <w:b/>
        </w:rPr>
        <w:t>benzamides substitués</w:t>
      </w:r>
      <w:r>
        <w:t xml:space="preserve"> constituent une famille chimique d'antipsychotiques typiques dérivés de la </w:t>
      </w:r>
      <w:r>
        <w:rPr>
          <w:b/>
        </w:rPr>
        <w:t>benzamide</w:t>
      </w:r>
      <w:r>
        <w:t xml:space="preserve"> (noyau benzène + groupement amide), dont les deux représentants disponibles en Algérie sont le </w:t>
      </w:r>
      <w:r>
        <w:rPr>
          <w:b/>
        </w:rPr>
        <w:t>sulpiride</w:t>
      </w:r>
      <w:r>
        <w:t xml:space="preserve"> (Dogmatil® — Sanofi-Aventis) et l'</w:t>
      </w:r>
      <w:r>
        <w:rPr>
          <w:b/>
        </w:rPr>
        <w:t>amisulpride</w:t>
      </w:r>
      <w:r>
        <w:t xml:space="preserve"> (Solian® — Sanofi-Aventis). Cette famille, issue des travaux du chimiste français </w:t>
      </w:r>
      <w:r>
        <w:rPr>
          <w:b/>
        </w:rPr>
        <w:t>Justin-Besançon</w:t>
      </w:r>
      <w:r>
        <w:t xml:space="preserve"> et du pharmacologue </w:t>
      </w:r>
      <w:r>
        <w:rPr>
          <w:b/>
        </w:rPr>
        <w:t>Lloyd</w:t>
      </w:r>
      <w:r>
        <w:t xml:space="preserve"> à l'Institut Pasteur dans les années 1960, fut initialement développée pour ses propriétés </w:t>
      </w:r>
      <w:r>
        <w:rPr>
          <w:b/>
        </w:rPr>
        <w:t>antiémétiques</w:t>
      </w:r>
      <w:r>
        <w:t xml:space="preserve"> (blocage D2 de la zone gâchette chimioréceptive CTZ postrémale — sulpiride) avant que son activité antipsychotique ne soit mise en évidence. La particularité structurale des benzamides substitués (chaîne latérale </w:t>
      </w:r>
      <w:r>
        <w:rPr>
          <w:b/>
        </w:rPr>
        <w:t>N-éthylpyrrolidinyl-méthyl</w:t>
      </w:r>
      <w:r>
        <w:t xml:space="preserve"> sur le noyau benzamide) leur confère un profil pharmacologique </w:t>
      </w:r>
      <w:r>
        <w:rPr>
          <w:b/>
        </w:rPr>
        <w:t>singulier au sein des antipsychotiques typiques</w:t>
      </w:r>
      <w:r>
        <w:t xml:space="preserve"> : </w:t>
      </w:r>
      <w:r>
        <w:rPr>
          <w:b/>
        </w:rPr>
        <w:t>sélectivité pour les récepteurs D2/D3</w:t>
      </w:r>
      <w:r>
        <w:t xml:space="preserve"> ( faible affinité pour D1, D4, D5, α1, H1, M1, 5-HT) avec </w:t>
      </w:r>
      <w:r>
        <w:rPr>
          <w:b/>
        </w:rPr>
        <w:t>privilège limbique</w:t>
      </w:r>
      <w:r>
        <w:t xml:space="preserve"> (blocage préférentiel des récepteurs D2/D3 mésolimbiques par rapport aux D2/D3 nigro-striées et tubéro-infundibulaires) — d'où un profil « atypique partiel » avec peu d'EPS à dose modérée, peu d'hypotension, peu de sédation.</w:t>
      </w:r>
    </w:p>
    <w:p>
      <w:pPr>
        <w:pStyle w:val="Heading3"/>
      </w:pPr>
      <w:r>
        <w:t>Profil pharmacodynamique singulier : effet dose-dépendant biphasique</w:t>
      </w:r>
    </w:p>
    <w:p>
      <w:r>
        <w:t xml:space="preserve">L'amisulpride et le sulpiride présentent la particularité d'avoir un </w:t>
      </w:r>
      <w:r>
        <w:rPr>
          <w:b/>
        </w:rPr>
        <w:t>effet pharmacologique dose-dépendant biphasique</w:t>
      </w:r>
      <w:r>
        <w:t>, qui constitue leur signature pharmacologique distinctive :</w:t>
      </w:r>
    </w:p>
    <w:p>
      <w:pPr>
        <w:pStyle w:val="ListBullet"/>
      </w:pPr>
      <w:r/>
      <w:r>
        <w:rPr>
          <w:b/>
        </w:rPr>
        <w:t>À faible dose</w:t>
      </w:r>
      <w:r>
        <w:t xml:space="preserve"> (50-300 mg/j — amisulpride ; 50-200 mg/j — sulpiride) : blocage </w:t>
      </w:r>
      <w:r>
        <w:rPr>
          <w:b/>
        </w:rPr>
        <w:t>préférentiel des autérécepteurs présynaptiques D2/D3</w:t>
      </w:r>
      <w:r>
        <w:t xml:space="preserve"> (qui contrôlent par rétroaction négative la libération de dopamine endogène). Ce blocage présynaptique lève l'inhibition autocrine de la libération de dopamine → </w:t>
      </w:r>
      <w:r>
        <w:rPr>
          <w:b/>
        </w:rPr>
        <w:t>augmentation de la dopamine synaptique</w:t>
      </w:r>
      <w:r>
        <w:t xml:space="preserve"> dans les voies mésocorticale et mésolimbique → effet </w:t>
      </w:r>
      <w:r>
        <w:rPr>
          <w:b/>
        </w:rPr>
        <w:t>psychostimulant, antidépressogène, désinhibiteur</w:t>
      </w:r>
      <w:r>
        <w:t xml:space="preserve"> (intérêt dans les troubles dépressifs avec ralentissement, les symptômes négatifs de la schizophrénie, les troubles psychosomatiques avec composante dépressive).</w:t>
      </w:r>
    </w:p>
    <w:p>
      <w:pPr>
        <w:pStyle w:val="ListBullet"/>
      </w:pPr>
      <w:r/>
      <w:r>
        <w:rPr>
          <w:b/>
        </w:rPr>
        <w:t>À forte dose</w:t>
      </w:r>
      <w:r>
        <w:t xml:space="preserve"> (400-1200 mg/j — amisulpride ; 400-1000 mg/j — sulpiride) : blocage </w:t>
      </w:r>
      <w:r>
        <w:rPr>
          <w:b/>
        </w:rPr>
        <w:t>préférentiel des récepteurs postsynaptiques D2/D3 mésolimbiques</w:t>
      </w:r>
      <w:r>
        <w:t xml:space="preserve"> → effet </w:t>
      </w:r>
      <w:r>
        <w:rPr>
          <w:b/>
        </w:rPr>
        <w:t>antipsychotique</w:t>
      </w:r>
      <w:r>
        <w:t xml:space="preserve"> (réduction des symptômes positifs), avec un </w:t>
      </w:r>
      <w:r>
        <w:rPr>
          <w:b/>
        </w:rPr>
        <w:t>risque EPS modéré</w:t>
      </w:r>
      <w:r>
        <w:t xml:space="preserve"> (inférieur à l'halopéridol mais supérieur aux atypiques) et un </w:t>
      </w:r>
      <w:r>
        <w:rPr>
          <w:b/>
        </w:rPr>
        <w:t>risque d'hyperprolactinémie majeur</w:t>
      </w:r>
      <w:r>
        <w:t xml:space="preserve"> (les benzamides sont les plus hyperprolactinémiants de tous les antipsychotiques en raison du blocage D2 tubéro-infundibulaire prédominant — incidence 60-90 % chez la femme).</w:t>
      </w:r>
    </w:p>
    <w:p>
      <w:r>
        <w:t xml:space="preserve">Ce profil « biphasique » explique la polyvalence des benzamides : ils sont utilisés aussi bien à faible dose comme </w:t>
      </w:r>
      <w:r>
        <w:rPr>
          <w:b/>
        </w:rPr>
        <w:t>antidépresseurs adjuvants</w:t>
      </w:r>
      <w:r>
        <w:t xml:space="preserve"> et </w:t>
      </w:r>
      <w:r>
        <w:rPr>
          <w:b/>
        </w:rPr>
        <w:t>stimulants psychomoteurs</w:t>
      </w:r>
      <w:r>
        <w:t xml:space="preserve"> (indication historique du sulpiride en gastro-entérologie — dyspepsie fonctionnelle, ulcère gastro-duodénal, syndromes dépressifs), qu'à forte dose comme </w:t>
      </w:r>
      <w:r>
        <w:rPr>
          <w:b/>
        </w:rPr>
        <w:t>antipsychotiques</w:t>
      </w:r>
      <w:r>
        <w:t xml:space="preserve"> (indication de l'amisulpride dans la schizophrénie).</w:t>
      </w:r>
    </w:p>
    <w:p>
      <w:pPr>
        <w:pStyle w:val="Heading3"/>
      </w:pPr>
      <w:r>
        <w:t>Indications cliniques privilégiées en Algérie</w:t>
      </w:r>
    </w:p>
    <w:p>
      <w:pPr>
        <w:pStyle w:val="ListBullet"/>
      </w:pPr>
      <w:r/>
      <w:r>
        <w:rPr>
          <w:b/>
        </w:rPr>
        <w:t>Sulpiride</w:t>
      </w:r>
      <w:r>
        <w:t xml:space="preserve"> :</w:t>
      </w:r>
    </w:p>
    <w:p>
      <w:pPr>
        <w:pStyle w:val="ListBullet"/>
      </w:pPr>
      <w:r/>
      <w:r>
        <w:rPr>
          <w:b/>
        </w:rPr>
        <w:t>À faible dose (50-200 mg/j)</w:t>
      </w:r>
      <w:r>
        <w:t xml:space="preserve"> : troubles dépressifs avec ralentissement (en association ou monothérapie courte), troubles psychosomatiques, dyspepsie fonctionnelle, vertiges, troubles du comportement chez le sujet âgé.</w:t>
      </w:r>
    </w:p>
    <w:p>
      <w:pPr>
        <w:pStyle w:val="ListBullet"/>
      </w:pPr>
      <w:r/>
      <w:r>
        <w:rPr>
          <w:b/>
        </w:rPr>
        <w:t>À forte dose (200-1000 mg/j)</w:t>
      </w:r>
      <w:r>
        <w:t xml:space="preserve"> : schizophrénie (symptômes positifs et négatifs), troubles psychotiques chroniques.</w:t>
      </w:r>
    </w:p>
    <w:p>
      <w:pPr>
        <w:pStyle w:val="ListBullet"/>
      </w:pPr>
      <w:r/>
      <w:r>
        <w:rPr>
          <w:b/>
        </w:rPr>
        <w:t>Amisulpride</w:t>
      </w:r>
      <w:r>
        <w:t xml:space="preserve"> :</w:t>
      </w:r>
    </w:p>
    <w:p>
      <w:pPr>
        <w:pStyle w:val="ListBullet"/>
      </w:pPr>
      <w:r/>
      <w:r>
        <w:rPr>
          <w:b/>
        </w:rPr>
        <w:t>À faible dose (50-300 mg/j)</w:t>
      </w:r>
      <w:r>
        <w:t xml:space="preserve"> : troubles dépressifs avec ralentissement (en association ou monothérapie courte), symptômes négatifs prédominants de la schizophrénie (apathie, émoussement affectif, retrait social).</w:t>
      </w:r>
    </w:p>
    <w:p>
      <w:pPr>
        <w:pStyle w:val="ListBullet"/>
      </w:pPr>
      <w:r/>
      <w:r>
        <w:rPr>
          <w:b/>
        </w:rPr>
        <w:t>À forte dose (400-1200 mg/j)</w:t>
      </w:r>
      <w:r>
        <w:t xml:space="preserve"> : schizophrénie (symptômes positifs prédominants), troubles psychotiques aigus.</w:t>
      </w:r>
    </w:p>
    <w:p>
      <w:pPr>
        <w:pStyle w:val="Heading3"/>
      </w:pPr>
      <w:r>
        <w:t>Particularités algériennes de disponibilité</w:t>
      </w:r>
    </w:p>
    <w:p>
      <w:r>
        <w:t xml:space="preserve">Les benzamides sont </w:t>
      </w:r>
      <w:r>
        <w:rPr>
          <w:b/>
        </w:rPr>
        <w:t>largement disponibles</w:t>
      </w:r>
      <w:r>
        <w:t xml:space="preserve"> en Algérie à Avril 2026 :</w:t>
      </w:r>
    </w:p>
    <w:p>
      <w:pPr>
        <w:pStyle w:val="ListBullet"/>
      </w:pPr>
      <w:r/>
      <w:r>
        <w:rPr>
          <w:b/>
        </w:rPr>
        <w:t>Sulpiride</w:t>
      </w:r>
      <w:r>
        <w:t xml:space="preserve"> : 15 marques actives sous forme de gélules 50 mg et solution buvable 0,5 % (25 mg/5 mL), reflétant la </w:t>
      </w:r>
      <w:r>
        <w:rPr>
          <w:b/>
        </w:rPr>
        <w:t>maturité générique élevée</w:t>
      </w:r>
      <w:r>
        <w:t xml:space="preserve"> de cette molécule (princeps DOGMATIL — Sanofi-Aventis, retiré en solution buvable sans sucre, mais maintenu en gélules ; de très nombreux génériques algériens : G-SULPIRIDE, SULAN, SULPIDAL, SULPIRIDE LS, SULPIRIDE MERINAL, SULPUREN, SYNED, etc.).</w:t>
      </w:r>
    </w:p>
    <w:p>
      <w:pPr>
        <w:pStyle w:val="ListBullet"/>
      </w:pPr>
      <w:r/>
      <w:r>
        <w:rPr>
          <w:b/>
        </w:rPr>
        <w:t>Amisulpride</w:t>
      </w:r>
      <w:r>
        <w:t xml:space="preserve"> : 8 marques actives sous forme de comprimés sécables 200 mg et 400 mg (princeps SOLIAN — Sanofi-Aventis Algérie ; génériques algériens : AMILAN, AMIPRIDE, AMISULPRID, AMISULPRIDE BEKER, MISULAR, SUPRIMIDE, AMIPRID).</w:t>
      </w:r>
    </w:p>
    <w:p>
      <w:r>
        <w:t>Cette disponibilité large reflète l'</w:t>
      </w:r>
      <w:r>
        <w:rPr>
          <w:b/>
        </w:rPr>
        <w:t>enjeu de santé publique</w:t>
      </w:r>
      <w:r>
        <w:t xml:space="preserve"> majeur que représente le traitement au long cours de la schizophrénie en Algérie — les benzamides offrent une alternative aux atypiques plus coûteux (rispéridone, olanzapine, quetiapine, aripiprazole — voir Chapitre 84), avec un profil de tolérance intermédiaire (moins d'EPS que l'halopéridol, moins d'hypotension que la chlorpromazine, mais hyperprolactinémie majeure et allongement QT modéré).</w:t>
      </w:r>
    </w:p>
    <w:p>
      <w:pPr>
        <w:pStyle w:val="Heading2"/>
      </w:pPr>
      <w:r>
        <w:t>11. Fiches DCI — Benzamides substitués</w:t>
      </w:r>
    </w:p>
    <w:p>
      <w:pPr>
        <w:pStyle w:val="Heading3"/>
      </w:pPr>
      <w:r>
        <w:t>7. DCI : Sulpiride (Seule)</w:t>
      </w:r>
    </w:p>
    <w:p>
      <w:r/>
      <w:r>
        <w:rPr>
          <w:b/>
        </w:rPr>
        <w:t>Liste des Catégories :</w:t>
      </w:r>
      <w:r>
        <w:t xml:space="preserve"> Antipsychotique typique (1re génération) — Benzamide substitué — Antagoniste sélectif D2/D3 avec privilège limbique et effet dose-dépendant biphasique (faible dose = antidépressogène, forte dose = antipsychotique) — Schizophrénie, troubles psychotiques chroniques, troubles dépressifs avec ralentissement, dyspepsie fonctionnelle — Liste I — Formes orales (gélules 50 mg, solution buvable 0,5 %) — Délivrance sur ordonnance.</w:t>
      </w:r>
    </w:p>
    <w:p>
      <w:r>
        <w:t xml:space="preserve">Le </w:t>
      </w:r>
      <w:r>
        <w:rPr>
          <w:b/>
        </w:rPr>
        <w:t>sulpiride</w:t>
      </w:r>
      <w:r>
        <w:t xml:space="preserve"> (Dogmatil® — Sanofi-Aventis, commercialisé dès 1968) est un </w:t>
      </w:r>
      <w:r>
        <w:rPr>
          <w:b/>
        </w:rPr>
        <w:t>benzamide substitué</w:t>
      </w:r>
      <w:r>
        <w:t xml:space="preserve"> de synthèse, initialement développé pour ses propriétés </w:t>
      </w:r>
      <w:r>
        <w:rPr>
          <w:b/>
        </w:rPr>
        <w:t>antiémétiques</w:t>
      </w:r>
      <w:r>
        <w:t xml:space="preserve"> (blocage D2 de la zone gâchette chimioréceptive CTZ postrémale) et </w:t>
      </w:r>
      <w:r>
        <w:rPr>
          <w:b/>
        </w:rPr>
        <w:t>prokinétiques gastro-intestinales</w:t>
      </w:r>
      <w:r>
        <w:t xml:space="preserve"> (action sur le plexus myentérique) avant que son activité antipsychotique ne soit mise en évidence. Sa structure — benzamide substituée par une chaîne </w:t>
      </w:r>
      <w:r>
        <w:rPr>
          <w:b/>
        </w:rPr>
        <w:t>N-éthylpyrrolidinyl-méthyl</w:t>
      </w:r>
      <w:r>
        <w:t xml:space="preserve"> et un groupement </w:t>
      </w:r>
      <w:r>
        <w:rPr>
          <w:b/>
        </w:rPr>
        <w:t>sulfamoyl</w:t>
      </w:r>
      <w:r>
        <w:t xml:space="preserve"> en position 5 du noyau benzène — lui confère un profil pharmacologique </w:t>
      </w:r>
      <w:r>
        <w:rPr>
          <w:b/>
        </w:rPr>
        <w:t>singulier au sein des antipsychotiques typiques</w:t>
      </w:r>
      <w:r>
        <w:t xml:space="preserve"> : </w:t>
      </w:r>
      <w:r>
        <w:rPr>
          <w:b/>
        </w:rPr>
        <w:t>sélectivité pour les récepteurs D2/D3</w:t>
      </w:r>
      <w:r>
        <w:t xml:space="preserve"> (Ki D2 ≈ 20-50 nM — affinité modérée, Ki D3 ≈ 10-30 nM — affinité légèrement supérieure), </w:t>
      </w:r>
      <w:r>
        <w:rPr>
          <w:b/>
        </w:rPr>
        <w:t>faible affinité</w:t>
      </w:r>
      <w:r>
        <w:t xml:space="preserve"> pour D1, D4, D5, α1, H1, M1, 5-HT, et surtout </w:t>
      </w:r>
      <w:r>
        <w:rPr>
          <w:b/>
        </w:rPr>
        <w:t>privilège limbique</w:t>
      </w:r>
      <w:r>
        <w:t xml:space="preserve"> (blocage préférentiel des D2/D3 mésolimbiques par rapport aux D2/D3 nigro-striées et tubéro-infundibulaires). Le sulpiride présente un </w:t>
      </w:r>
      <w:r>
        <w:rPr>
          <w:b/>
        </w:rPr>
        <w:t>effet dose-dépendant biphasique</w:t>
      </w:r>
      <w:r>
        <w:t xml:space="preserve"> : à faible dose (50-200 mg/j), blocage préférentiel des </w:t>
      </w:r>
      <w:r>
        <w:rPr>
          <w:b/>
        </w:rPr>
        <w:t>autérécepteurs présynaptiques D2/D3</w:t>
      </w:r>
      <w:r>
        <w:t xml:space="preserve"> → levée de l'inhibition autocrine → augmentation de la dopamine synaptique → effet </w:t>
      </w:r>
      <w:r>
        <w:rPr>
          <w:b/>
        </w:rPr>
        <w:t>psychostimulant, antidépressogène</w:t>
      </w:r>
      <w:r>
        <w:t xml:space="preserve"> (indication dans les troubles dépressifs avec ralentissement, dyspepsie fonctionnelle, troubles psychosomatiques) ; à forte dose (200-1000 mg/j), blocage des </w:t>
      </w:r>
      <w:r>
        <w:rPr>
          <w:b/>
        </w:rPr>
        <w:t>récepteurs postsynaptiques D2/D3 mésolimbiques</w:t>
      </w:r>
      <w:r>
        <w:t xml:space="preserve"> → effet </w:t>
      </w:r>
      <w:r>
        <w:rPr>
          <w:b/>
        </w:rPr>
        <w:t>antipsychotique</w:t>
      </w:r>
      <w:r>
        <w:t xml:space="preserve"> (indication dans la schizophrénie). En Algérie, le sulpiride est largement disponible — 15 marques actives (gélules 50 mg, solution buvable 0,5 %) — reflétant la </w:t>
      </w:r>
      <w:r>
        <w:rPr>
          <w:b/>
        </w:rPr>
        <w:t>maturité générique</w:t>
      </w:r>
      <w:r>
        <w:t xml:space="preserve"> de cette molécule. Le sulpiride est l'un des antipsychotiques typiques les plus prescrits en Algérie, en raison de son profil de tolérance intermédiaire (moins d'EPS que l'halopéridol, moins d'hypotension que la chlorpromazine) et de son </w:t>
      </w:r>
      <w:r>
        <w:rPr>
          <w:b/>
        </w:rPr>
        <w:t>coût modeste</w:t>
      </w:r>
      <w:r>
        <w:t>. Sa principale limite est l'</w:t>
      </w:r>
      <w:r>
        <w:rPr>
          <w:b/>
        </w:rPr>
        <w:t>hyperprolactinémie majeure</w:t>
      </w:r>
      <w:r>
        <w:t xml:space="preserve"> (incidence 60-90 % chez la femme — galactorrhée, aménorrhée, gynécomastie, troubles sexuels) et un </w:t>
      </w:r>
      <w:r>
        <w:rPr>
          <w:b/>
        </w:rPr>
        <w:t>allongement QT modéré</w:t>
      </w:r>
      <w:r>
        <w:t xml:space="preserve"> (surveillance ECG si dose élevée ou association).</w:t>
      </w:r>
    </w:p>
    <w:p>
      <w:r/>
      <w:r>
        <w:rPr>
          <w:b/>
        </w:rPr>
        <w:t>Médicaments disponibles en Algérie (Marques, Laboratoires, Formes et Dosages) :</w:t>
      </w:r>
      <w:r/>
    </w:p>
    <w:p>
      <w:pPr>
        <w:pStyle w:val="ListBullet"/>
      </w:pPr>
      <w:r/>
      <w:r>
        <w:rPr>
          <w:b/>
        </w:rPr>
        <w:t>DOGMATIL</w:t>
      </w:r>
      <w:r>
        <w:t xml:space="preserve"> (INSTITUT MEDICAL ALGERIEN)</w:t>
      </w:r>
    </w:p>
    <w:p>
      <w:pPr>
        <w:pStyle w:val="ListBullet"/>
      </w:pPr>
      <w:r>
        <w:t>Formes et Dosages : Gélule 50 mg — Boîte de 30.</w:t>
      </w:r>
    </w:p>
    <w:p>
      <w:pPr>
        <w:pStyle w:val="ListBullet"/>
      </w:pPr>
      <w:r>
        <w:t>Statut : Actif (LISTE I).</w:t>
      </w:r>
    </w:p>
    <w:p>
      <w:pPr>
        <w:pStyle w:val="ListBullet"/>
      </w:pPr>
      <w:r/>
      <w:r>
        <w:rPr>
          <w:b/>
        </w:rPr>
        <w:t>G-SULPIRIDE</w:t>
      </w:r>
      <w:r>
        <w:t xml:space="preserve"> (BIOGALENIC)</w:t>
      </w:r>
    </w:p>
    <w:p>
      <w:pPr>
        <w:pStyle w:val="ListBullet"/>
      </w:pPr>
      <w:r>
        <w:t>Formes et Dosages : Gélule 50 mg — Boîte de 30 ; Solution buvable 25 mg/5 mL (0,5 g/100 mL) — Flacon de 200 mL.</w:t>
      </w:r>
    </w:p>
    <w:p>
      <w:pPr>
        <w:pStyle w:val="ListBullet"/>
      </w:pPr>
      <w:r>
        <w:t>Statut : Actif (LISTE I).</w:t>
      </w:r>
    </w:p>
    <w:p>
      <w:pPr>
        <w:pStyle w:val="ListBullet"/>
      </w:pPr>
      <w:r/>
      <w:r>
        <w:rPr>
          <w:b/>
        </w:rPr>
        <w:t>SULAN 50</w:t>
      </w:r>
      <w:r>
        <w:t xml:space="preserve"> (TASSILI ARAB PHARMACEUTICAL CO)</w:t>
      </w:r>
    </w:p>
    <w:p>
      <w:pPr>
        <w:pStyle w:val="ListBullet"/>
      </w:pPr>
      <w:r>
        <w:t>Formes et Dosages : Gélule 50 mg — Boîte de 30.</w:t>
      </w:r>
    </w:p>
    <w:p>
      <w:pPr>
        <w:pStyle w:val="ListBullet"/>
      </w:pPr>
      <w:r>
        <w:t>Statut : Actif (LISTE I).</w:t>
      </w:r>
    </w:p>
    <w:p>
      <w:pPr>
        <w:pStyle w:val="ListBullet"/>
      </w:pPr>
      <w:r/>
      <w:r>
        <w:rPr>
          <w:b/>
        </w:rPr>
        <w:t>SULPIDAL</w:t>
      </w:r>
      <w:r>
        <w:t xml:space="preserve"> (SOCIETE PHARMACEUTIQUE ALGERIENNE SOPHAL)</w:t>
      </w:r>
    </w:p>
    <w:p>
      <w:pPr>
        <w:pStyle w:val="ListBullet"/>
      </w:pPr>
      <w:r>
        <w:t>Formes et Dosages : Gélule 50 mg — Boîte de 30.</w:t>
      </w:r>
    </w:p>
    <w:p>
      <w:pPr>
        <w:pStyle w:val="ListBullet"/>
      </w:pPr>
      <w:r>
        <w:t>Statut : Actif (LISTE I).</w:t>
      </w:r>
    </w:p>
    <w:p>
      <w:pPr>
        <w:pStyle w:val="ListBullet"/>
      </w:pPr>
      <w:r/>
      <w:r>
        <w:rPr>
          <w:b/>
        </w:rPr>
        <w:t>SULPIRIDE LS</w:t>
      </w:r>
      <w:r>
        <w:t xml:space="preserve"> (LABORATOIRES SALEM)</w:t>
      </w:r>
    </w:p>
    <w:p>
      <w:pPr>
        <w:pStyle w:val="ListBullet"/>
      </w:pPr>
      <w:r>
        <w:t>Formes et Dosages : Gélule 50 mg — Boîte de 30.</w:t>
      </w:r>
    </w:p>
    <w:p>
      <w:pPr>
        <w:pStyle w:val="ListBullet"/>
      </w:pPr>
      <w:r>
        <w:t>Statut : Actif (LISTE I).</w:t>
      </w:r>
    </w:p>
    <w:p>
      <w:pPr>
        <w:pStyle w:val="ListBullet"/>
      </w:pPr>
      <w:r/>
      <w:r>
        <w:rPr>
          <w:b/>
        </w:rPr>
        <w:t>SULPIRIDE MERINAL</w:t>
      </w:r>
      <w:r>
        <w:t xml:space="preserve"> (LABORATOIRES MERINAL)</w:t>
      </w:r>
    </w:p>
    <w:p>
      <w:pPr>
        <w:pStyle w:val="ListBullet"/>
      </w:pPr>
      <w:r>
        <w:t>Formes et Dosages : Gélule 50 mg — Boîte de 30.</w:t>
      </w:r>
    </w:p>
    <w:p>
      <w:pPr>
        <w:pStyle w:val="ListBullet"/>
      </w:pPr>
      <w:r>
        <w:t>Statut : Actif (LISTE I).</w:t>
      </w:r>
    </w:p>
    <w:p>
      <w:pPr>
        <w:pStyle w:val="ListBullet"/>
      </w:pPr>
      <w:r/>
      <w:r>
        <w:rPr>
          <w:b/>
        </w:rPr>
        <w:t>SULPUREN</w:t>
      </w:r>
      <w:r>
        <w:t xml:space="preserve"> (GROUPE SAIDAL)</w:t>
      </w:r>
    </w:p>
    <w:p>
      <w:pPr>
        <w:pStyle w:val="ListBullet"/>
      </w:pPr>
      <w:r>
        <w:t>Formes et Dosages : Gélule 50 mg — Boîte de 30 ; Solution buvable 25 mg/5 mL (0,5 %) — Flacon de 180 mL.</w:t>
      </w:r>
    </w:p>
    <w:p>
      <w:pPr>
        <w:pStyle w:val="ListBullet"/>
      </w:pPr>
      <w:r>
        <w:t>Statut : Actif (LISTE I).</w:t>
      </w:r>
    </w:p>
    <w:p>
      <w:pPr>
        <w:pStyle w:val="ListBullet"/>
      </w:pPr>
      <w:r/>
      <w:r>
        <w:rPr>
          <w:b/>
        </w:rPr>
        <w:t>SYNED</w:t>
      </w:r>
      <w:r>
        <w:t xml:space="preserve"> (SARL GROUPE SANTE)</w:t>
      </w:r>
    </w:p>
    <w:p>
      <w:pPr>
        <w:pStyle w:val="ListBullet"/>
      </w:pPr>
      <w:r>
        <w:t>Formes et Dosages : Gélule 50 mg — Boîte de 20 ; Solution buvable 25 mg/5 mL (0,5 %) — Flacon de 125 mL.</w:t>
      </w:r>
    </w:p>
    <w:p>
      <w:pPr>
        <w:pStyle w:val="ListBullet"/>
      </w:pPr>
      <w:r>
        <w:t>Statut : Actif (LISTE I).</w:t>
      </w:r>
    </w:p>
    <w:p>
      <w:pPr>
        <w:pStyle w:val="ListBullet"/>
      </w:pPr>
      <w:r/>
      <w:r>
        <w:rPr>
          <w:b/>
        </w:rPr>
        <w:t>DOGMATIL SANS SUCRE</w:t>
      </w:r>
      <w:r>
        <w:t xml:space="preserve"> (SANOFI AVENTIS ALGERIE)</w:t>
      </w:r>
    </w:p>
    <w:p>
      <w:pPr>
        <w:pStyle w:val="ListBullet"/>
      </w:pPr>
      <w:r>
        <w:t>Formes et Dosages : Solution buvable 25 mg/5 mL (0,5 g/100 mL) — Flacon de 200 mL.</w:t>
      </w:r>
    </w:p>
    <w:p>
      <w:pPr>
        <w:pStyle w:val="ListBullet"/>
      </w:pPr>
      <w:r>
        <w:t>Statut : Actif (LISTE I) — solution sans sucre (indiquée pour les patients diabétiques ou en surpoids).</w:t>
      </w:r>
    </w:p>
    <w:p>
      <w:pPr>
        <w:pStyle w:val="ListBullet"/>
      </w:pPr>
      <w:r/>
      <w:r>
        <w:rPr>
          <w:b/>
        </w:rPr>
        <w:t>SULMATIL</w:t>
      </w:r>
      <w:r>
        <w:t xml:space="preserve"> (LABORATOIRE ARAB PHARM)</w:t>
      </w:r>
    </w:p>
    <w:p>
      <w:pPr>
        <w:pStyle w:val="ListBullet"/>
      </w:pPr>
      <w:r>
        <w:t>Formes et Dosages : Solution buvable 0,5 % — Flacon de 180 mL.</w:t>
      </w:r>
    </w:p>
    <w:p>
      <w:pPr>
        <w:pStyle w:val="ListBullet"/>
      </w:pPr>
      <w:r>
        <w:t>Statut : Actif (LISTE I).</w:t>
      </w:r>
    </w:p>
    <w:p>
      <w:pPr>
        <w:pStyle w:val="ListBullet"/>
      </w:pPr>
      <w:r/>
      <w:r>
        <w:rPr>
          <w:b/>
        </w:rPr>
        <w:t>SULPIMEX</w:t>
      </w:r>
      <w:r>
        <w:t xml:space="preserve"> (KPMA BIOTIC)</w:t>
      </w:r>
    </w:p>
    <w:p>
      <w:pPr>
        <w:pStyle w:val="ListBullet"/>
      </w:pPr>
      <w:r>
        <w:t>Formes et Dosages : Solution buvable sans sucre 25 mg/5 mL (0,5 g/100 mL) — Flacon de 200 mL.</w:t>
      </w:r>
    </w:p>
    <w:p>
      <w:pPr>
        <w:pStyle w:val="ListBullet"/>
      </w:pPr>
      <w:r>
        <w:t>Statut : Actif (LISTE I).</w:t>
      </w:r>
    </w:p>
    <w:p>
      <w:pPr>
        <w:pStyle w:val="ListBullet"/>
      </w:pPr>
      <w:r/>
      <w:r>
        <w:rPr>
          <w:b/>
        </w:rPr>
        <w:t>SULPIRYL</w:t>
      </w:r>
      <w:r>
        <w:t xml:space="preserve"> (AFROPHARM SPA)</w:t>
      </w:r>
    </w:p>
    <w:p>
      <w:pPr>
        <w:pStyle w:val="ListBullet"/>
      </w:pPr>
      <w:r>
        <w:t>Formes et Dosages : Solution buvable 0,5 g/100 mL (0,5 %) — Flacon de 180 mL.</w:t>
      </w:r>
    </w:p>
    <w:p>
      <w:pPr>
        <w:pStyle w:val="ListBullet"/>
      </w:pPr>
      <w:r>
        <w:t>Statut : Actif (LISTE I).</w:t>
      </w:r>
    </w:p>
    <w:p>
      <w:pPr>
        <w:pStyle w:val="ListBullet"/>
      </w:pPr>
      <w:r/>
      <w:r>
        <w:rPr>
          <w:b/>
        </w:rPr>
        <w:t>SUNADIL</w:t>
      </w:r>
      <w:r>
        <w:t xml:space="preserve"> (INPHA-MEDIS)</w:t>
      </w:r>
    </w:p>
    <w:p>
      <w:pPr>
        <w:pStyle w:val="ListBullet"/>
      </w:pPr>
      <w:r>
        <w:t>Formes et Dosages : Solution buvable 0,5 g/100 mL — Flacon de 200 mL.</w:t>
      </w:r>
    </w:p>
    <w:p>
      <w:pPr>
        <w:pStyle w:val="ListBullet"/>
      </w:pPr>
      <w:r>
        <w:t>Statut : Actif (LISTE I).</w:t>
      </w:r>
    </w:p>
    <w:p>
      <w:pPr>
        <w:pStyle w:val="ListBullet"/>
      </w:pPr>
      <w:r/>
      <w:r>
        <w:rPr>
          <w:b/>
        </w:rPr>
        <w:t>SUPRIL</w:t>
      </w:r>
      <w:r>
        <w:t xml:space="preserve"> (LABORATOIRE ALGERIEN DU MEDICAMENT)</w:t>
      </w:r>
    </w:p>
    <w:p>
      <w:pPr>
        <w:pStyle w:val="ListBullet"/>
      </w:pPr>
      <w:r>
        <w:t>Formes et Dosages : Solution buvable 25 mg/5 mL (0,5 g/100 mL) — Flacon de 200 mL.</w:t>
      </w:r>
    </w:p>
    <w:p>
      <w:pPr>
        <w:pStyle w:val="ListBullet"/>
      </w:pPr>
      <w:r>
        <w:t>Statut : Actif (LISTE I).</w:t>
      </w:r>
    </w:p>
    <w:p>
      <w:pPr>
        <w:pStyle w:val="ListBullet"/>
      </w:pPr>
      <w:r/>
      <w:r>
        <w:rPr>
          <w:b/>
        </w:rPr>
        <w:t>SYNEDIL GE</w:t>
      </w:r>
      <w:r>
        <w:t xml:space="preserve"> (SPA UNION PHARMACEUTIQUE CONSTANTINOISE PRODUCTION)</w:t>
      </w:r>
    </w:p>
    <w:p>
      <w:pPr>
        <w:pStyle w:val="ListBullet"/>
      </w:pPr>
      <w:r>
        <w:t>Formes et Dosages : Solution buvable 25 mg/5 mL — Flacon de 200 mL.</w:t>
      </w:r>
    </w:p>
    <w:p>
      <w:pPr>
        <w:pStyle w:val="ListBullet"/>
      </w:pPr>
      <w:r>
        <w:t>Statut : Actif (LISTE I).</w:t>
      </w:r>
    </w:p>
    <w:p>
      <w:pPr>
        <w:pStyle w:val="ListBullet"/>
      </w:pPr>
      <w:r/>
      <w:r>
        <w:rPr>
          <w:b/>
        </w:rPr>
        <w:t>SULRID</w:t>
      </w:r>
      <w:r>
        <w:t xml:space="preserve"> (PHARMALLIANCE) — </w:t>
      </w:r>
      <w:r>
        <w:rPr>
          <w:b/>
        </w:rPr>
        <w:t>Non Renouvelable</w:t>
      </w:r>
      <w:r/>
    </w:p>
    <w:p>
      <w:pPr>
        <w:pStyle w:val="ListBullet"/>
      </w:pPr>
      <w:r>
        <w:t>Formes et Dosages : Gélules 50 mg — Boîte de 30 ; Solution buvable 0,5 g/100 mL — Flacon de 200 mL.</w:t>
      </w:r>
    </w:p>
    <w:p>
      <w:pPr>
        <w:pStyle w:val="ListBullet"/>
      </w:pPr>
      <w:r>
        <w:t>Statut : Non Renouvelable.</w:t>
      </w:r>
    </w:p>
    <w:p>
      <w:pPr>
        <w:pStyle w:val="ListBullet"/>
      </w:pPr>
      <w:r/>
      <w:r>
        <w:rPr>
          <w:b/>
        </w:rPr>
        <w:t>SULPIRED</w:t>
      </w:r>
      <w:r>
        <w:t xml:space="preserve"> (LABORATOIRE PHARMACEUTIQUE ALGERIEN LPA) — </w:t>
      </w:r>
      <w:r>
        <w:rPr>
          <w:b/>
        </w:rPr>
        <w:t>Non Renouvelable / Retiré</w:t>
      </w:r>
      <w:r/>
    </w:p>
    <w:p>
      <w:pPr>
        <w:pStyle w:val="ListBullet"/>
      </w:pPr>
      <w:r>
        <w:t>Formes et Dosages : Solution buvable 25 mg/5 mL — Flacon de 200 mL (Non Renouvelable) ; Gélules 50 mg — Boîte de 30 (Retiré R).</w:t>
      </w:r>
    </w:p>
    <w:p>
      <w:pPr>
        <w:pStyle w:val="ListBullet"/>
      </w:pPr>
      <w:r>
        <w:t>Statut : Non Renouvelable / Retiré (R).</w:t>
      </w:r>
    </w:p>
    <w:p>
      <w:pPr>
        <w:pStyle w:val="ListBullet"/>
      </w:pPr>
      <w:r/>
      <w:r>
        <w:rPr>
          <w:b/>
        </w:rPr>
        <w:t>DARLETON</w:t>
      </w:r>
      <w:r>
        <w:t xml:space="preserve"> (ANFARM HELLAS SA) — </w:t>
      </w:r>
      <w:r>
        <w:rPr>
          <w:b/>
        </w:rPr>
        <w:t>Retiré</w:t>
      </w:r>
      <w:r/>
    </w:p>
    <w:p>
      <w:pPr>
        <w:pStyle w:val="ListBullet"/>
      </w:pPr>
      <w:r>
        <w:t>Formes et Dosages : Comprimé 50 mg — Boîte de 24.</w:t>
      </w:r>
    </w:p>
    <w:p>
      <w:pPr>
        <w:pStyle w:val="ListBullet"/>
      </w:pPr>
      <w:r>
        <w:t>Statut : Retiré (R).</w:t>
      </w:r>
    </w:p>
    <w:p>
      <w:pPr>
        <w:pStyle w:val="ListBullet"/>
      </w:pPr>
      <w:r/>
      <w:r>
        <w:rPr>
          <w:b/>
        </w:rPr>
        <w:t>NEURID</w:t>
      </w:r>
      <w:r>
        <w:t xml:space="preserve"> (GALENICA) — </w:t>
      </w:r>
      <w:r>
        <w:rPr>
          <w:b/>
        </w:rPr>
        <w:t>Retiré</w:t>
      </w:r>
      <w:r/>
    </w:p>
    <w:p>
      <w:pPr>
        <w:pStyle w:val="ListBullet"/>
      </w:pPr>
      <w:r>
        <w:t>Formes et Dosages : Gélules 50 mg — Boîte de 20 ; Solution buvable 25 mg/5 mL — Flacon de 180 mL.</w:t>
      </w:r>
    </w:p>
    <w:p>
      <w:pPr>
        <w:pStyle w:val="ListBullet"/>
      </w:pPr>
      <w:r>
        <w:t>Statut : Retiré (R).</w:t>
      </w:r>
    </w:p>
    <w:p>
      <w:pPr>
        <w:pStyle w:val="ListBullet"/>
      </w:pPr>
      <w:r/>
      <w:r>
        <w:rPr>
          <w:b/>
        </w:rPr>
        <w:t>SYNEDIL Gé</w:t>
      </w:r>
      <w:r>
        <w:t xml:space="preserve"> (UNION PHARMACEUTIQUE CONSTANTINOISE UPC) — </w:t>
      </w:r>
      <w:r>
        <w:rPr>
          <w:b/>
        </w:rPr>
        <w:t>Retiré</w:t>
      </w:r>
      <w:r/>
    </w:p>
    <w:p>
      <w:pPr>
        <w:pStyle w:val="ListBullet"/>
      </w:pPr>
      <w:r>
        <w:t>Formes et Dosages : Gélules 50 mg — Boîte de 30.</w:t>
      </w:r>
    </w:p>
    <w:p>
      <w:pPr>
        <w:pStyle w:val="ListBullet"/>
      </w:pPr>
      <w:r>
        <w:t>Statut : Retiré (R).</w:t>
      </w:r>
    </w:p>
    <w:p>
      <w:pPr>
        <w:pStyle w:val="ListBullet"/>
      </w:pPr>
      <w:r/>
      <w:r>
        <w:rPr>
          <w:b/>
        </w:rPr>
        <w:t>SULPYRID-HISPAL</w:t>
      </w:r>
      <w:r>
        <w:t xml:space="preserve"> (HISPAL PHARMA SPA) — </w:t>
      </w:r>
      <w:r>
        <w:rPr>
          <w:b/>
        </w:rPr>
        <w:t>Retiré</w:t>
      </w:r>
      <w:r/>
    </w:p>
    <w:p>
      <w:pPr>
        <w:pStyle w:val="ListBullet"/>
      </w:pPr>
      <w:r>
        <w:t>Formes et Dosages : Gélules 50 mg — Boîte de 30.</w:t>
      </w:r>
    </w:p>
    <w:p>
      <w:pPr>
        <w:pStyle w:val="ListBullet"/>
      </w:pPr>
      <w:r>
        <w:t>Statut : Retiré (R).</w:t>
      </w:r>
    </w:p>
    <w:p>
      <w:pPr>
        <w:pStyle w:val="ListBullet"/>
      </w:pPr>
      <w:r/>
      <w:r>
        <w:rPr>
          <w:b/>
        </w:rPr>
        <w:t>KANISAR</w:t>
      </w:r>
      <w:r>
        <w:t xml:space="preserve"> (SANDOZ) — </w:t>
      </w:r>
      <w:r>
        <w:rPr>
          <w:b/>
        </w:rPr>
        <w:t>Retiré</w:t>
      </w:r>
      <w:r/>
    </w:p>
    <w:p>
      <w:pPr>
        <w:pStyle w:val="ListBullet"/>
      </w:pPr>
      <w:r>
        <w:t>Formes et Dosages : Gélule 50 mg — Boîte de 30.</w:t>
      </w:r>
    </w:p>
    <w:p>
      <w:pPr>
        <w:pStyle w:val="ListBullet"/>
      </w:pPr>
      <w:r>
        <w:t>Statut : Retiré (R).</w:t>
      </w:r>
    </w:p>
    <w:p>
      <w:pPr>
        <w:pStyle w:val="ListBullet"/>
      </w:pPr>
      <w:r/>
      <w:r>
        <w:rPr>
          <w:b/>
        </w:rPr>
        <w:t>SULPIRIDE</w:t>
      </w:r>
      <w:r>
        <w:t xml:space="preserve"> (LABORATOIRE PHARMACEUTIQUE ALGERIEN LPA) — </w:t>
      </w:r>
      <w:r>
        <w:rPr>
          <w:b/>
        </w:rPr>
        <w:t>Retiré</w:t>
      </w:r>
      <w:r/>
    </w:p>
    <w:p>
      <w:pPr>
        <w:pStyle w:val="ListBullet"/>
      </w:pPr>
      <w:r>
        <w:t>Formes et Dosages : Comprimé 200 mg — Boîte de 12.</w:t>
      </w:r>
    </w:p>
    <w:p>
      <w:pPr>
        <w:pStyle w:val="ListBullet"/>
      </w:pPr>
      <w:r>
        <w:t>Statut : Retiré (R).</w:t>
      </w:r>
    </w:p>
    <w:p>
      <w:r/>
      <w:r>
        <w:rPr>
          <w:b/>
        </w:rPr>
        <w:t>Note nomenclature</w:t>
      </w:r>
      <w:r>
        <w:t xml:space="preserve"> : À Avril 2026, le sulpiride est largement disponible en Algérie — 15 marques actives (gélules 50 mg et solution buvable 0,5 %), reflétant la </w:t>
      </w:r>
      <w:r>
        <w:rPr>
          <w:b/>
        </w:rPr>
        <w:t>maturité générique</w:t>
      </w:r>
      <w:r>
        <w:t xml:space="preserve"> de cette molécule. La </w:t>
      </w:r>
      <w:r>
        <w:rPr>
          <w:b/>
        </w:rPr>
        <w:t>forme gélule 50 mg</w:t>
      </w:r>
      <w:r>
        <w:t xml:space="preserve"> est la plus prescrite en psychiatrie (titration par paliers de 50 mg) ; la </w:t>
      </w:r>
      <w:r>
        <w:rPr>
          <w:b/>
        </w:rPr>
        <w:t>solution buvable 0,5 %</w:t>
      </w:r>
      <w:r>
        <w:t xml:space="preserve"> (5 mg/mL, 1 cuillère à café de 5 mL = 25 mg) est utile en pédiatrie, gériatrie, et pour les faibles posologies (50-100 mg/j — indication antidépressogène/dyspepsie). La </w:t>
      </w:r>
      <w:r>
        <w:rPr>
          <w:b/>
        </w:rPr>
        <w:t>forme comprimé 200 mg</w:t>
      </w:r>
      <w:r>
        <w:t xml:space="preserve"> (SULPIRIDE LPA) est retirée du marché algérien — les patients historiquement traités par comprimé 200 mg doivent être orientés vers la </w:t>
      </w:r>
      <w:r>
        <w:rPr>
          <w:b/>
        </w:rPr>
        <w:t>solution buvable 0,5 %</w:t>
      </w:r>
      <w:r>
        <w:t xml:space="preserve"> ou l'</w:t>
      </w:r>
      <w:r>
        <w:rPr>
          <w:b/>
        </w:rPr>
        <w:t>amisulpride comprimé 200 mg</w:t>
      </w:r>
      <w:r>
        <w:t>.</w:t>
      </w:r>
    </w:p>
    <w:p>
      <w:r/>
      <w:r>
        <w:rPr>
          <w:b/>
        </w:rPr>
        <w:t>Sous-classe et Mécanisme d'action :</w:t>
      </w:r>
      <w:r/>
    </w:p>
    <w:p>
      <w:pPr>
        <w:pStyle w:val="ListBullet"/>
      </w:pPr>
      <w:r>
        <w:t xml:space="preserve">Sous-classe : </w:t>
      </w:r>
      <w:r>
        <w:rPr>
          <w:b/>
        </w:rPr>
        <w:t>Benzamide substitué — antipsychotique typique de 1re génération, puissance modérée, profil « atypique partiel »</w:t>
      </w:r>
      <w:r>
        <w:t xml:space="preserve"> avec </w:t>
      </w:r>
      <w:r>
        <w:rPr>
          <w:b/>
        </w:rPr>
        <w:t>effet dose-dépendant biphasique</w:t>
      </w:r>
      <w:r>
        <w:t xml:space="preserve"> (faible dose = antidépressogène, forte dose = antipsychotique). Positionné en psychiatrie pour le traitement de la </w:t>
      </w:r>
      <w:r>
        <w:rPr>
          <w:b/>
        </w:rPr>
        <w:t>schizophrénie</w:t>
      </w:r>
      <w:r>
        <w:t xml:space="preserve"> (symptômes positifs et négatifs), des </w:t>
      </w:r>
      <w:r>
        <w:rPr>
          <w:b/>
        </w:rPr>
        <w:t>troubles dépressifs</w:t>
      </w:r>
      <w:r>
        <w:t xml:space="preserve"> avec ralentissement (faible dose), et en médecine générale pour la </w:t>
      </w:r>
      <w:r>
        <w:rPr>
          <w:b/>
        </w:rPr>
        <w:t>dyspepsie fonctionnelle</w:t>
      </w:r>
      <w:r>
        <w:t xml:space="preserve"> (faible dose, effet prokinétique).</w:t>
      </w:r>
    </w:p>
    <w:p>
      <w:pPr>
        <w:pStyle w:val="ListBullet"/>
      </w:pPr>
      <w:r>
        <w:t xml:space="preserve">Mécanisme d'action : le sulpiride est un </w:t>
      </w:r>
      <w:r>
        <w:rPr>
          <w:b/>
        </w:rPr>
        <w:t>antagoniste sélectif</w:t>
      </w:r>
      <w:r>
        <w:t xml:space="preserve"> des récepteurs </w:t>
      </w:r>
      <w:r>
        <w:rPr>
          <w:b/>
        </w:rPr>
        <w:t>D2</w:t>
      </w:r>
      <w:r>
        <w:t xml:space="preserve"> (Ki ≈ 20-50 nM — affinité modérée) et </w:t>
      </w:r>
      <w:r>
        <w:rPr>
          <w:b/>
        </w:rPr>
        <w:t>D3</w:t>
      </w:r>
      <w:r>
        <w:t xml:space="preserve"> (Ki ≈ 10-30 nM — affinité légèrement supérieure), avec </w:t>
      </w:r>
      <w:r>
        <w:rPr>
          <w:b/>
        </w:rPr>
        <w:t>faible affinité</w:t>
      </w:r>
      <w:r>
        <w:t xml:space="preserve"> pour D1, D4, D5, α1, H1, M1, 5-HT. Cette sélectivité D2/D3 et le </w:t>
      </w:r>
      <w:r>
        <w:rPr>
          <w:b/>
        </w:rPr>
        <w:t>privilège limbique</w:t>
      </w:r>
      <w:r>
        <w:t xml:space="preserve"> (blocage préférentiel des D2/D3 mésolimbiques par rapport aux D2/D3 nigro-striées et tubéro-infundibulaires) expliquent le profil « atypique partiel » avec </w:t>
      </w:r>
      <w:r>
        <w:rPr>
          <w:b/>
        </w:rPr>
        <w:t>peu d'EPS</w:t>
      </w:r>
      <w:r>
        <w:t xml:space="preserve"> à dose modérée, </w:t>
      </w:r>
      <w:r>
        <w:rPr>
          <w:b/>
        </w:rPr>
        <w:t>peu d'hypotension</w:t>
      </w:r>
      <w:r>
        <w:t xml:space="preserve">, </w:t>
      </w:r>
      <w:r>
        <w:rPr>
          <w:b/>
        </w:rPr>
        <w:t>peu de sédation</w:t>
      </w:r>
      <w:r>
        <w:t xml:space="preserve">, </w:t>
      </w:r>
      <w:r>
        <w:rPr>
          <w:b/>
        </w:rPr>
        <w:t>peu d'effets anticholinergiques</w:t>
      </w:r>
      <w:r>
        <w:t xml:space="preserve">. Le sulpiride présente un </w:t>
      </w:r>
      <w:r>
        <w:rPr>
          <w:b/>
        </w:rPr>
        <w:t>effet dose-dépendant biphasique</w:t>
      </w:r>
      <w:r>
        <w:t xml:space="preserve"> :</w:t>
      </w:r>
    </w:p>
    <w:p>
      <w:pPr>
        <w:pStyle w:val="ListBullet"/>
      </w:pPr>
      <w:r/>
      <w:r>
        <w:rPr>
          <w:b/>
        </w:rPr>
        <w:t>À faible dose (50-200 mg/j)</w:t>
      </w:r>
      <w:r>
        <w:t xml:space="preserve"> : blocage préférentiel des </w:t>
      </w:r>
      <w:r>
        <w:rPr>
          <w:b/>
        </w:rPr>
        <w:t>autérécepteurs présynaptiques D2/D3</w:t>
      </w:r>
      <w:r>
        <w:t xml:space="preserve"> (qui contrôlent par rétroaction négative la libération de dopamine endogène) → levée de l'inhibition autocrine → </w:t>
      </w:r>
      <w:r>
        <w:rPr>
          <w:b/>
        </w:rPr>
        <w:t>augmentation de la dopamine synaptique</w:t>
      </w:r>
      <w:r>
        <w:t xml:space="preserve"> dans les voies mésocorticale et mésolimbique → effet </w:t>
      </w:r>
      <w:r>
        <w:rPr>
          <w:b/>
        </w:rPr>
        <w:t>psychostimulant, antidépressogène, désinhibiteur</w:t>
      </w:r>
      <w:r>
        <w:t xml:space="preserve"> (indication dans les troubles dépressifs avec ralentissement, dyspepsie fonctionnelle, troubles psychosomatiques avec composante dépressive).</w:t>
      </w:r>
    </w:p>
    <w:p>
      <w:pPr>
        <w:pStyle w:val="ListBullet"/>
      </w:pPr>
      <w:r/>
      <w:r>
        <w:rPr>
          <w:b/>
        </w:rPr>
        <w:t>À forte dose (200-1000 mg/j)</w:t>
      </w:r>
      <w:r>
        <w:t xml:space="preserve"> : blocage préférentiel des </w:t>
      </w:r>
      <w:r>
        <w:rPr>
          <w:b/>
        </w:rPr>
        <w:t>récepteurs postsynaptiques D2/D3 mésolimbiques</w:t>
      </w:r>
      <w:r>
        <w:t xml:space="preserve"> → effet </w:t>
      </w:r>
      <w:r>
        <w:rPr>
          <w:b/>
        </w:rPr>
        <w:t>antipsychotique</w:t>
      </w:r>
      <w:r>
        <w:t xml:space="preserve"> (réduction des symptômes positifs), avec un </w:t>
      </w:r>
      <w:r>
        <w:rPr>
          <w:b/>
        </w:rPr>
        <w:t>risque EPS modéré</w:t>
      </w:r>
      <w:r>
        <w:t xml:space="preserve"> (inférieur à l'halopéridol mais supérieur aux atypiques) et un </w:t>
      </w:r>
      <w:r>
        <w:rPr>
          <w:b/>
        </w:rPr>
        <w:t>risque d'hyperprolactinémie majeur</w:t>
      </w:r>
      <w:r>
        <w:t xml:space="preserve"> (blocage D2 tubéro-infundibulaire prédominant — incidence 60-90 % chez la femme — galactorrhée, aménorrhée, gynécomastie, troubles sexuels).</w:t>
      </w:r>
    </w:p>
    <w:p>
      <w:pPr>
        <w:pStyle w:val="ListBullet"/>
      </w:pPr>
      <w:r>
        <w:t xml:space="preserve">Le sulpiride est </w:t>
      </w:r>
      <w:r>
        <w:rPr>
          <w:b/>
        </w:rPr>
        <w:t>mal absorbé</w:t>
      </w:r>
      <w:r>
        <w:t xml:space="preserve"> par voie orale (biodisponibilité ~25-30 %) en raison de sa </w:t>
      </w:r>
      <w:r>
        <w:rPr>
          <w:b/>
        </w:rPr>
        <w:t>polarité</w:t>
      </w:r>
      <w:r>
        <w:t xml:space="preserve"> (groupement sulfamoyl) qui limite le passage transmembranaire — d'où la nécessité de </w:t>
      </w:r>
      <w:r>
        <w:rPr>
          <w:b/>
        </w:rPr>
        <w:t>doses élevées</w:t>
      </w:r>
      <w:r>
        <w:t xml:space="preserve"> par rapport à l'amisulpride (qui est mieux absorbé). La demi-vie d'élimination est de </w:t>
      </w:r>
      <w:r>
        <w:rPr>
          <w:b/>
        </w:rPr>
        <w:t>6-8 h</w:t>
      </w:r>
      <w:r>
        <w:t xml:space="preserve"> per os, nécessitant 2-3 prises par jour. Le sulpiride est </w:t>
      </w:r>
      <w:r>
        <w:rPr>
          <w:b/>
        </w:rPr>
        <w:t>peu métabolisé</w:t>
      </w:r>
      <w:r>
        <w:t xml:space="preserve"> par le foie (essentiellement éliminé inchangé par voie rénale) — d'où une </w:t>
      </w:r>
      <w:r>
        <w:rPr>
          <w:b/>
        </w:rPr>
        <w:t>adaptation posologique en cas d'insuffisance rénale</w:t>
      </w:r>
      <w:r>
        <w:t>.</w:t>
      </w:r>
    </w:p>
    <w:p>
      <w:r/>
      <w:r>
        <w:rPr>
          <w:b/>
        </w:rPr>
        <w:t>Profil Pharmacologique :</w:t>
      </w:r>
      <w:r/>
    </w:p>
    <w:p>
      <w:pPr>
        <w:pStyle w:val="ListBullet"/>
      </w:pPr>
      <w:r>
        <w:t>Indications :</w:t>
      </w:r>
    </w:p>
    <w:p>
      <w:pPr>
        <w:pStyle w:val="ListBullet"/>
      </w:pPr>
      <w:r/>
      <w:r>
        <w:rPr>
          <w:b/>
        </w:rPr>
        <w:t>À faible dose (50-200 mg/j)</w:t>
      </w:r>
      <w:r>
        <w:t xml:space="preserve"> : troubles dépressifs avec ralentissement (en association ou monothérapie courte), troubles psychosomatiques, dyspepsie fonctionnelle, vertiges, troubles du comportement chez le sujet âgé.</w:t>
      </w:r>
    </w:p>
    <w:p>
      <w:pPr>
        <w:pStyle w:val="ListBullet"/>
      </w:pPr>
      <w:r/>
      <w:r>
        <w:rPr>
          <w:b/>
        </w:rPr>
        <w:t>À forte dose (200-1000 mg/j)</w:t>
      </w:r>
      <w:r>
        <w:t xml:space="preserve"> : schizophrénie (symptômes positifs et négatifs), troubles psychotiques chroniques.</w:t>
      </w:r>
    </w:p>
    <w:p>
      <w:pPr>
        <w:pStyle w:val="ListBullet"/>
      </w:pPr>
      <w:r>
        <w:t>Contre-indications :</w:t>
      </w:r>
    </w:p>
    <w:p>
      <w:pPr>
        <w:pStyle w:val="ListBullet"/>
      </w:pPr>
      <w:r>
        <w:t>(i) Hypersensibilité au sulpiride.</w:t>
      </w:r>
    </w:p>
    <w:p>
      <w:pPr>
        <w:pStyle w:val="ListBullet"/>
      </w:pPr>
      <w:r>
        <w:t xml:space="preserve">(ii) </w:t>
      </w:r>
      <w:r>
        <w:rPr>
          <w:b/>
        </w:rPr>
        <w:t>Maladie de Parkinson</w:t>
      </w:r>
      <w:r>
        <w:t xml:space="preserve"> — CI absolue (malgré le profil « atypique partiel », le sulpiride bloque les D2 striatales).</w:t>
      </w:r>
    </w:p>
    <w:p>
      <w:pPr>
        <w:pStyle w:val="ListBullet"/>
      </w:pPr>
      <w:r>
        <w:t xml:space="preserve">(iii) </w:t>
      </w:r>
      <w:r>
        <w:rPr>
          <w:b/>
        </w:rPr>
        <w:t>Démence à corps de Lewy</w:t>
      </w:r>
      <w:r>
        <w:t xml:space="preserve"> — CI absolue.</w:t>
      </w:r>
    </w:p>
    <w:p>
      <w:pPr>
        <w:pStyle w:val="ListBullet"/>
      </w:pPr>
      <w:r>
        <w:t xml:space="preserve">(iv) </w:t>
      </w:r>
      <w:r>
        <w:rPr>
          <w:b/>
        </w:rPr>
        <w:t>Syndrome malin des neuroleptiques (SMN)</w:t>
      </w:r>
      <w:r>
        <w:t xml:space="preserve"> personnel.</w:t>
      </w:r>
    </w:p>
    <w:p>
      <w:pPr>
        <w:pStyle w:val="ListBullet"/>
      </w:pPr>
      <w:r>
        <w:t xml:space="preserve">(v) </w:t>
      </w:r>
      <w:r>
        <w:rPr>
          <w:b/>
        </w:rPr>
        <w:t>Phéochromocytome</w:t>
      </w:r>
      <w:r>
        <w:t>.</w:t>
      </w:r>
    </w:p>
    <w:p>
      <w:pPr>
        <w:pStyle w:val="ListBullet"/>
      </w:pPr>
      <w:r>
        <w:t xml:space="preserve">(vi) </w:t>
      </w:r>
      <w:r>
        <w:rPr>
          <w:b/>
        </w:rPr>
        <w:t>Allongement préexistant du QT</w:t>
      </w:r>
      <w:r>
        <w:t xml:space="preserve"> (QTc &gt; 450 ms homme, &gt; 470 ms femme) — CI absolue.</w:t>
      </w:r>
    </w:p>
    <w:p>
      <w:pPr>
        <w:pStyle w:val="ListBullet"/>
      </w:pPr>
      <w:r>
        <w:t xml:space="preserve">(vii) </w:t>
      </w:r>
      <w:r>
        <w:rPr>
          <w:b/>
        </w:rPr>
        <w:t>Association avec d'autres allongeurs de QT</w:t>
      </w:r>
      <w:r>
        <w:t xml:space="preserve"> — CI absolue.</w:t>
      </w:r>
    </w:p>
    <w:p>
      <w:pPr>
        <w:pStyle w:val="ListBullet"/>
      </w:pPr>
      <w:r>
        <w:t xml:space="preserve">(viii) </w:t>
      </w:r>
      <w:r>
        <w:rPr>
          <w:b/>
        </w:rPr>
        <w:t>Association avec lévodopa/agonistes dopaminergiques</w:t>
      </w:r>
      <w:r>
        <w:t xml:space="preserve"> — CI absolue (antagonisme pharmacodynamique).</w:t>
      </w:r>
    </w:p>
    <w:p>
      <w:pPr>
        <w:pStyle w:val="ListBullet"/>
      </w:pPr>
      <w:r>
        <w:t xml:space="preserve">(ix) </w:t>
      </w:r>
      <w:r>
        <w:rPr>
          <w:b/>
        </w:rPr>
        <w:t>Insuffisance rénale sévère</w:t>
      </w:r>
      <w:r>
        <w:t xml:space="preserve"> (clairance &lt; 30 mL/min) — prudence, adaptation posologique (élimination rénale dominante).</w:t>
      </w:r>
    </w:p>
    <w:p>
      <w:pPr>
        <w:pStyle w:val="ListBullet"/>
      </w:pPr>
      <w:r>
        <w:t xml:space="preserve">(x) </w:t>
      </w:r>
      <w:r>
        <w:rPr>
          <w:b/>
        </w:rPr>
        <w:t>Tumeur prolactine-dépendante</w:t>
      </w:r>
      <w:r>
        <w:t xml:space="preserve"> (prolactinome hypophysaire, cancer du sein hormonodépendant) — CI relative (hyperprolactinémie majeure).</w:t>
      </w:r>
    </w:p>
    <w:p>
      <w:pPr>
        <w:pStyle w:val="ListBullet"/>
      </w:pPr>
      <w:r>
        <w:t xml:space="preserve">(xi) </w:t>
      </w:r>
      <w:r>
        <w:rPr>
          <w:b/>
        </w:rPr>
        <w:t>Allaitement</w:t>
      </w:r>
      <w:r>
        <w:t xml:space="preserve"> — CI relative (hyperprolactinémie, passage lacté).</w:t>
      </w:r>
    </w:p>
    <w:p>
      <w:pPr>
        <w:pStyle w:val="ListBullet"/>
      </w:pPr>
      <w:r>
        <w:t>Effets Indésirables :</w:t>
      </w:r>
    </w:p>
    <w:p>
      <w:pPr>
        <w:pStyle w:val="ListBullet"/>
      </w:pPr>
      <w:r/>
      <w:r>
        <w:rPr>
          <w:b/>
        </w:rPr>
        <w:t>Très fréquents (≥ 1/10)</w:t>
      </w:r>
      <w:r>
        <w:t xml:space="preserve"> : </w:t>
      </w:r>
      <w:r>
        <w:rPr>
          <w:b/>
        </w:rPr>
        <w:t>hyperprolactinémie</w:t>
      </w:r>
      <w:r>
        <w:t xml:space="preserve"> (incidence 60-90 % chez la femme — galactorrhée, aménorrhée, gynécomastie, troubles sexuels — l'un des plus hyperprolactinémiants de la classe) ; </w:t>
      </w:r>
      <w:r>
        <w:rPr>
          <w:b/>
        </w:rPr>
        <w:t>sédation modérée</w:t>
      </w:r>
      <w:r>
        <w:t xml:space="preserve"> (surtout à forte dose) ; </w:t>
      </w:r>
      <w:r>
        <w:rPr>
          <w:b/>
        </w:rPr>
        <w:t>insomnie</w:t>
      </w:r>
      <w:r>
        <w:t xml:space="preserve"> (surtout à faible dose — effet psychostimulant paradoxal).</w:t>
      </w:r>
    </w:p>
    <w:p>
      <w:pPr>
        <w:pStyle w:val="ListBullet"/>
      </w:pPr>
      <w:r/>
      <w:r>
        <w:rPr>
          <w:b/>
        </w:rPr>
        <w:t>Fréquents (≥ 1/100 à &lt; 1/10)</w:t>
      </w:r>
      <w:r>
        <w:t xml:space="preserve"> : </w:t>
      </w:r>
      <w:r>
        <w:rPr>
          <w:b/>
        </w:rPr>
        <w:t>akathisie</w:t>
      </w:r>
      <w:r>
        <w:t xml:space="preserve"> (incidence 10-20 % — moindre que l'halopéridol) ; </w:t>
      </w:r>
      <w:r>
        <w:rPr>
          <w:b/>
        </w:rPr>
        <w:t>parkinsonisme</w:t>
      </w:r>
      <w:r>
        <w:t xml:space="preserve"> (incidence 5-15 %) ; </w:t>
      </w:r>
      <w:r>
        <w:rPr>
          <w:b/>
        </w:rPr>
        <w:t>prise de poids</w:t>
      </w:r>
      <w:r>
        <w:t xml:space="preserve"> (modérée) ; </w:t>
      </w:r>
      <w:r>
        <w:rPr>
          <w:b/>
        </w:rPr>
        <w:t>sécheresse buccale</w:t>
      </w:r>
      <w:r>
        <w:t xml:space="preserve"> (légère) ; </w:t>
      </w:r>
      <w:r>
        <w:rPr>
          <w:b/>
        </w:rPr>
        <w:t>constipation</w:t>
      </w:r>
      <w:r>
        <w:t xml:space="preserve"> (légère) ; </w:t>
      </w:r>
      <w:r>
        <w:rPr>
          <w:b/>
        </w:rPr>
        <w:t>hypotension orthostatique</w:t>
      </w:r>
      <w:r>
        <w:t xml:space="preserve"> (modeste).</w:t>
      </w:r>
    </w:p>
    <w:p>
      <w:pPr>
        <w:pStyle w:val="ListBullet"/>
      </w:pPr>
      <w:r/>
      <w:r>
        <w:rPr>
          <w:b/>
        </w:rPr>
        <w:t>Peu fréquents (≥ 1/1000 à &lt; 1/100)</w:t>
      </w:r>
      <w:r>
        <w:t xml:space="preserve"> : </w:t>
      </w:r>
      <w:r>
        <w:rPr>
          <w:b/>
        </w:rPr>
        <w:t>dystonie aiguë</w:t>
      </w:r>
      <w:r>
        <w:t xml:space="preserve"> (incidence 2-5 % — moindre que l'halopéridol) ; </w:t>
      </w:r>
      <w:r>
        <w:rPr>
          <w:b/>
        </w:rPr>
        <w:t>dyskinésie tardive</w:t>
      </w:r>
      <w:r>
        <w:t xml:space="preserve"> (incidence 3-5 % par an — moindre que l'halopéridol et les pipérazinées) ; </w:t>
      </w:r>
      <w:r>
        <w:rPr>
          <w:b/>
        </w:rPr>
        <w:t>SMN</w:t>
      </w:r>
      <w:r>
        <w:t xml:space="preserve"> (urgence vitale) ; </w:t>
      </w:r>
      <w:r>
        <w:rPr>
          <w:b/>
        </w:rPr>
        <w:t>allongement de l'espace QT</w:t>
      </w:r>
      <w:r>
        <w:t xml:space="preserve"> (modéré — risque de </w:t>
      </w:r>
      <w:r>
        <w:rPr>
          <w:b/>
        </w:rPr>
        <w:t>torsades de pointes (TdP)</w:t>
      </w:r>
      <w:r>
        <w:t xml:space="preserve"> surtout à dose élevée ou association) ; convulsions.</w:t>
      </w:r>
    </w:p>
    <w:p>
      <w:pPr>
        <w:pStyle w:val="ListBullet"/>
      </w:pPr>
      <w:r/>
      <w:r>
        <w:rPr>
          <w:b/>
        </w:rPr>
        <w:t>Rares</w:t>
      </w:r>
      <w:r>
        <w:t xml:space="preserve"> : syndrome de Stevens-Johnson, nécrolyse épidermique toxique (Lyell), réactions anaphylactiques.</w:t>
      </w:r>
    </w:p>
    <w:p>
      <w:r/>
      <w:r>
        <w:rPr>
          <w:b/>
        </w:rPr>
        <w:t>Prévention et Gestion des Effets Indésirables :</w:t>
      </w:r>
      <w:r/>
    </w:p>
    <w:p>
      <w:pPr>
        <w:pStyle w:val="ListBullet"/>
      </w:pPr>
      <w:r>
        <w:t xml:space="preserve">Mesures Préventives : </w:t>
      </w:r>
      <w:r>
        <w:rPr>
          <w:b/>
        </w:rPr>
        <w:t>dose minimale efficace</w:t>
      </w:r>
      <w:r>
        <w:t xml:space="preserve"> (adapter à l'indication : faible dose pour troubles dépressifs, forte dose pour schizophrénie) ; surveillance EPS (Simpson-Angus, Barnes, AIMS) ; surveillance ECG (initial, à 1 semaine, mensuel si dose élevée ou antécédent) ; surveillance </w:t>
      </w:r>
      <w:r>
        <w:rPr>
          <w:b/>
        </w:rPr>
        <w:t>prolactinémie</w:t>
      </w:r>
      <w:r>
        <w:t xml:space="preserve"> à l'initiation puis à 3 mois (en cas d'hyperprolactinémie symptomatique : galactorrhée, aménorrhée — envisager réduction de dose ou switch vers un atypique peu hyperprolactinémiante — aripiprazole, quetiapine) ; surveillance </w:t>
      </w:r>
      <w:r>
        <w:rPr>
          <w:b/>
        </w:rPr>
        <w:t>fonction rénale</w:t>
      </w:r>
      <w:r>
        <w:t xml:space="preserve"> (clairance créatinine) en raison de l'élimination rénale dominante — adaptation posologique en cas d'IR ; hydratation.</w:t>
      </w:r>
    </w:p>
    <w:p>
      <w:pPr>
        <w:pStyle w:val="ListBullet"/>
      </w:pPr>
      <w:r>
        <w:t>Conduite à Tenir : arrêt immédiat en cas de SMN (réanimation, dantrolène IV, bromocriptine) ; dystonie aiguë (bipéridène IM/IV 5 mg — urgence) ; akathisie (réduction de dose, propranolol, lorazépam) ; parkinsonisme (réduction de dose, trihexyphénidyle, bipéridène) ; allongement QT (arrêt, contrôle électrolytique, ECG) ; hyperprolactinémie symptomatique (réduction de dose ou switch vers aripiprazole ou quetiapine) ; dyskinésie tardive (arrêt progressif, switch vers un atypique — clozapine, quetiapine).</w:t>
      </w:r>
    </w:p>
    <w:p>
      <w:r/>
      <w:r>
        <w:rPr>
          <w:b/>
        </w:rPr>
        <w:t>Interactions Importantes :</w:t>
      </w:r>
      <w:r/>
    </w:p>
    <w:p>
      <w:pPr>
        <w:pStyle w:val="ListBullet"/>
      </w:pPr>
      <w:r/>
      <w:r>
        <w:rPr>
          <w:b/>
        </w:rPr>
        <w:t>Sulpiride + lévodopa/agonistes dopaminergiques</w:t>
      </w:r>
      <w:r>
        <w:t xml:space="preserve"> : </w:t>
      </w:r>
      <w:r>
        <w:rPr>
          <w:b/>
        </w:rPr>
        <w:t>CI absolue</w:t>
      </w:r>
      <w:r>
        <w:t xml:space="preserve"> (antagonisme pharmacodynamique — malgré le profil « atypique partiel » du sulpiride, le blocage D2 striatale annule l'effet antiparkinsonien).</w:t>
      </w:r>
    </w:p>
    <w:p>
      <w:pPr>
        <w:pStyle w:val="ListBullet"/>
      </w:pPr>
      <w:r/>
      <w:r>
        <w:rPr>
          <w:b/>
        </w:rPr>
        <w:t>Sulpiride + autres allongeurs de QT</w:t>
      </w:r>
      <w:r>
        <w:t xml:space="preserve"> : </w:t>
      </w:r>
      <w:r>
        <w:rPr>
          <w:b/>
        </w:rPr>
        <w:t>CI absolue</w:t>
      </w:r>
      <w:r>
        <w:t xml:space="preserve"> (cf. section Halopéridol pour la liste exhaustive).</w:t>
      </w:r>
    </w:p>
    <w:p>
      <w:pPr>
        <w:pStyle w:val="ListBullet"/>
      </w:pPr>
      <w:r/>
      <w:r>
        <w:rPr>
          <w:b/>
        </w:rPr>
        <w:t>Sulpiride + dépresseurs du SNC</w:t>
      </w:r>
      <w:r>
        <w:t xml:space="preserve"> : sédation additive.</w:t>
      </w:r>
    </w:p>
    <w:p>
      <w:pPr>
        <w:pStyle w:val="ListBullet"/>
      </w:pPr>
      <w:r/>
      <w:r>
        <w:rPr>
          <w:b/>
        </w:rPr>
        <w:t>Sulpiride + antihypertenseurs</w:t>
      </w:r>
      <w:r>
        <w:t xml:space="preserve"> : potentialisation modérée de l'hypotension orthostatique.</w:t>
      </w:r>
    </w:p>
    <w:p>
      <w:pPr>
        <w:pStyle w:val="ListBullet"/>
      </w:pPr>
      <w:r/>
      <w:r>
        <w:rPr>
          <w:b/>
        </w:rPr>
        <w:t>Sulpiride + lithium</w:t>
      </w:r>
      <w:r>
        <w:t xml:space="preserve"> : potentialisation de l'effet antipsychotique, augmentation du risque d'encéphalopathie toxique.</w:t>
      </w:r>
    </w:p>
    <w:p>
      <w:pPr>
        <w:pStyle w:val="ListBullet"/>
      </w:pPr>
      <w:r/>
      <w:r>
        <w:rPr>
          <w:b/>
        </w:rPr>
        <w:t>Sulpiride + inhibiteurs de la P-gp</w:t>
      </w:r>
      <w:r>
        <w:t xml:space="preserve"> : augmentation possible des concentrations (sulpiride est substrat P-gp).</w:t>
      </w:r>
    </w:p>
    <w:p>
      <w:pPr>
        <w:pStyle w:val="ListBullet"/>
      </w:pPr>
      <w:r/>
      <w:r>
        <w:rPr>
          <w:b/>
        </w:rPr>
        <w:t>Sulpiride + sucralfate, antiacides</w:t>
      </w:r>
      <w:r>
        <w:t xml:space="preserve"> (hydroxyde d'aluminium et de magnésium) : réduction de l'absorption digestive du sulpiride (chélation) — espacer les prises de 2 h.</w:t>
      </w:r>
    </w:p>
    <w:p>
      <w:r/>
      <w:r>
        <w:rPr>
          <w:b/>
        </w:rPr>
        <w:t>Grossesse et Allaitement :</w:t>
      </w:r>
      <w:r/>
    </w:p>
    <w:p>
      <w:pPr>
        <w:pStyle w:val="ListBullet"/>
      </w:pPr>
      <w:r>
        <w:t xml:space="preserve">Grossesse : selon le </w:t>
      </w:r>
      <w:r>
        <w:rPr>
          <w:b/>
        </w:rPr>
        <w:t>CRAT</w:t>
      </w:r>
      <w:r>
        <w:t xml:space="preserve">, le sulpiride a un </w:t>
      </w:r>
      <w:r>
        <w:rPr>
          <w:b/>
        </w:rPr>
        <w:t>recul limité</w:t>
      </w:r>
      <w:r>
        <w:t xml:space="preserve"> mais rassurant — aucune donnée d'augmentation du risque de malformations congénitales majeures. Cependant, le sulpiride traverse la barrière placentaire et expose le nouveau-né à un risque de </w:t>
      </w:r>
      <w:r>
        <w:rPr>
          <w:b/>
        </w:rPr>
        <w:t>symptômes néonatals transitoires</w:t>
      </w:r>
      <w:r>
        <w:t xml:space="preserve"> (somnolence, hypotonie, hyperréflexie, EPS transitoires). Recommandations : si traitement nécessaire pendant la grossesse, </w:t>
      </w:r>
      <w:r>
        <w:rPr>
          <w:b/>
        </w:rPr>
        <w:t>privilégier l'halopéridol à dose minimale efficace</w:t>
      </w:r>
      <w:r>
        <w:t xml:space="preserve"> (profil mieux documenté) ; le sulpiride est une option de 2e intention — à dose minimale, éviter le 1er trimestre, surveiller le nouveau-né en maternité.</w:t>
      </w:r>
    </w:p>
    <w:p>
      <w:pPr>
        <w:pStyle w:val="ListBullet"/>
      </w:pPr>
      <w:r>
        <w:t xml:space="preserve">Allaitement : selon le </w:t>
      </w:r>
      <w:r>
        <w:rPr>
          <w:b/>
        </w:rPr>
        <w:t>CRAT</w:t>
      </w:r>
      <w:r>
        <w:t xml:space="preserve">, le sulpiride passe dans le lait maternel — la dose ingérée par le nourrisson est estimée à </w:t>
      </w:r>
      <w:r>
        <w:rPr>
          <w:b/>
        </w:rPr>
        <w:t>2-5 % de la dose maternelle pondérée par le poids</w:t>
      </w:r>
      <w:r>
        <w:t xml:space="preserve">. Aux doses thérapeutiques habituelles (faible dose 50-200 mg/j ou forte dose 200-1000 mg/j), l'allaitement est </w:t>
      </w:r>
      <w:r>
        <w:rPr>
          <w:b/>
        </w:rPr>
        <w:t>déconseillé</w:t>
      </w:r>
      <w:r>
        <w:t xml:space="preserve"> en raison du risque de </w:t>
      </w:r>
      <w:r>
        <w:rPr>
          <w:b/>
        </w:rPr>
        <w:t>sédation néonatale, hypotonie, hyperprolactinémie néonatale transitoire</w:t>
      </w:r>
      <w:r>
        <w:t>. Recommandation : privilégier si possible l'halopéridol (meilleur profil lacté selon le CRAT) ou un atypique (aripiprazole, quetiapine), surveiller le nourrisson.</w:t>
      </w:r>
    </w:p>
    <w:p>
      <w:pPr>
        <w:pStyle w:val="ListBullet"/>
      </w:pPr>
      <w:r>
        <w:t xml:space="preserve">Précisions : évaluation </w:t>
      </w:r>
      <w:r>
        <w:rPr>
          <w:b/>
        </w:rPr>
        <w:t>bénéfice/risque</w:t>
      </w:r>
      <w:r>
        <w:t xml:space="preserve"> individuelle. Pour une femme en âge de procréer avec projet de grossesse, </w:t>
      </w:r>
      <w:r>
        <w:rPr>
          <w:b/>
        </w:rPr>
        <w:t>privilégier l'halopéridol ou un atypique</w:t>
      </w:r>
      <w:r>
        <w:t>.</w:t>
      </w:r>
    </w:p>
    <w:p>
      <w:r/>
      <w:r>
        <w:rPr>
          <w:b/>
        </w:rPr>
        <w:t>Posologie et Mode d'administration (Standard) :</w:t>
      </w:r>
      <w:r/>
    </w:p>
    <w:p>
      <w:pPr>
        <w:pStyle w:val="ListBullet"/>
      </w:pPr>
      <w:r>
        <w:t>Adulte (per os — gélules 50 mg ou solution buvable 0,5 % — 5 mg/mL) :</w:t>
      </w:r>
    </w:p>
    <w:p>
      <w:pPr>
        <w:pStyle w:val="ListBullet"/>
      </w:pPr>
      <w:r/>
      <w:r>
        <w:rPr>
          <w:b/>
        </w:rPr>
        <w:t>Indication psychiatrique — faible dose (troubles dépressifs avec ralentissement, symptômes négatifs de la schizophrénie)</w:t>
      </w:r>
      <w:r>
        <w:t xml:space="preserve"> : 50-200 mg/jour (1-4 gélules 50 mg, ou 10-40 mL de solution 0,5 %) en 1-2 prises, le matin privilégié (effet psychostimulant).</w:t>
      </w:r>
    </w:p>
    <w:p>
      <w:pPr>
        <w:pStyle w:val="ListBullet"/>
      </w:pPr>
      <w:r/>
      <w:r>
        <w:rPr>
          <w:b/>
        </w:rPr>
        <w:t>Indication psychiatrique — forte dose (schizophrénie, symptômes positifs)</w:t>
      </w:r>
      <w:r>
        <w:t xml:space="preserve"> : 200-1000 mg/jour (4-20 gélules 50 mg, ou 40-200 mL de solution 0,5 %) en 2-3 prises.</w:t>
      </w:r>
    </w:p>
    <w:p>
      <w:pPr>
        <w:pStyle w:val="ListBullet"/>
      </w:pPr>
      <w:r/>
      <w:r>
        <w:rPr>
          <w:b/>
        </w:rPr>
        <w:t>Dose maximale</w:t>
      </w:r>
      <w:r>
        <w:t xml:space="preserve"> : 1200-1600 mg/jour per os (au-delà, surveillance renforcée ECG, EPS, prolactinémie).</w:t>
      </w:r>
    </w:p>
    <w:p>
      <w:pPr>
        <w:pStyle w:val="ListBullet"/>
      </w:pPr>
      <w:r/>
      <w:r>
        <w:rPr>
          <w:b/>
        </w:rPr>
        <w:t>Equivalence solution ↔ mg</w:t>
      </w:r>
      <w:r>
        <w:t xml:space="preserve"> : solution 0,5 % = 5 g/1000 mL = 5 mg/mL ; 1 cuillère à café (5 mL) = 25 mg ; 1 cuillère à soupe (15 mL) = 75 mg.</w:t>
      </w:r>
    </w:p>
    <w:p>
      <w:pPr>
        <w:pStyle w:val="ListBullet"/>
      </w:pPr>
      <w:r/>
      <w:r>
        <w:rPr>
          <w:b/>
        </w:rPr>
        <w:t>Indication gastro-entérologique (dyspepsie fonctionnelle, troubles psychosomatiques)</w:t>
      </w:r>
      <w:r>
        <w:t xml:space="preserve"> : 50-100 mg/jour (1-2 gélules 50 mg, ou 10-20 mL de solution 0,5 %) en 1-2 prises avant les repas.</w:t>
      </w:r>
    </w:p>
    <w:p>
      <w:pPr>
        <w:pStyle w:val="ListBullet"/>
      </w:pPr>
      <w:r>
        <w:t>Sujet âgé (&gt; 65 ans) :</w:t>
      </w:r>
    </w:p>
    <w:p>
      <w:pPr>
        <w:pStyle w:val="ListBullet"/>
      </w:pPr>
      <w:r/>
      <w:r>
        <w:rPr>
          <w:b/>
        </w:rPr>
        <w:t>Per os</w:t>
      </w:r>
      <w:r>
        <w:t xml:space="preserve"> : 25-50 mg/jour en 1-2 prises (titration très lente, dose réduite de moitié). Dose maximale recommandée : 300-400 mg/jour.</w:t>
      </w:r>
    </w:p>
    <w:p>
      <w:pPr>
        <w:pStyle w:val="ListBullet"/>
      </w:pPr>
      <w:r>
        <w:t xml:space="preserve">Insuffisant rénal : </w:t>
      </w:r>
      <w:r>
        <w:rPr>
          <w:b/>
        </w:rPr>
        <w:t>adaptation posologique stricte selon la clairance créatinine</w:t>
      </w:r>
      <w:r>
        <w:t xml:space="preserve"> (élimination rénale dominante) — ClCr 30-60 mL/min : réduire la dose de moitié ; ClCr 10-30 mL/min : réduire la dose au quart ; ClCr &lt; 10 mL/min : CI absolue (ou dialyse).</w:t>
      </w:r>
    </w:p>
    <w:p>
      <w:pPr>
        <w:pStyle w:val="ListBullet"/>
      </w:pPr>
      <w:r>
        <w:t>Insuffisant hépatique : pas d'adaptation stricte (peu de métabolisme hépatique).</w:t>
      </w:r>
    </w:p>
    <w:p>
      <w:pPr>
        <w:pStyle w:val="ListBullet"/>
      </w:pPr>
      <w:r>
        <w:t xml:space="preserve">Durée : </w:t>
      </w:r>
      <w:r>
        <w:rPr>
          <w:b/>
        </w:rPr>
        <w:t>au long cours</w:t>
      </w:r>
      <w:r>
        <w:t xml:space="preserve"> en psychiatrie — courte en gastro-entérologie (2-4 semaines). Réduction progressive par paliers sur 4-8 semaines en cas d'arrêt psychiatrique.</w:t>
      </w:r>
    </w:p>
    <w:p>
      <w:pPr>
        <w:pStyle w:val="ListBullet"/>
      </w:pPr>
      <w:r>
        <w:t>Moment de la prise : per os avant les repas (meilleure absorption — éviter les antiacides et sucralfate) en 1-3 prises selon la dose. Prise du matin privilégiée pour faible dose (effet psychostimulant).</w:t>
      </w:r>
    </w:p>
    <w:p>
      <w:r/>
      <w:r>
        <w:rPr>
          <w:b/>
        </w:rPr>
        <w:t>Arbitrage et Bénéfices des Formes Galéniques :</w:t>
      </w:r>
      <w:r/>
    </w:p>
    <w:p>
      <w:pPr>
        <w:pStyle w:val="ListBullet"/>
      </w:pPr>
      <w:r/>
      <w:r>
        <w:rPr>
          <w:b/>
        </w:rPr>
        <w:t>Gélules 50 mg</w:t>
      </w:r>
      <w:r>
        <w:t xml:space="preserve"> : titration fine par 1-2 gélules, administration aisée. Forme la plus prescrite en psychiatrie.</w:t>
      </w:r>
    </w:p>
    <w:p>
      <w:pPr>
        <w:pStyle w:val="ListBullet"/>
      </w:pPr>
      <w:r/>
      <w:r>
        <w:rPr>
          <w:b/>
        </w:rPr>
        <w:t>Solution buvable 0,5 %</w:t>
      </w:r>
      <w:r>
        <w:t xml:space="preserve"> (5 mg/mL) : titration fine (1 cuillère à café = 25 mg), administration aisée chez le sujet âgé (difficulté à avaler les gélules), pédiatrie (rare en Algérie — hors AMM), relais per os. Forme privilégiée pour les faibles posologies (50-100 mg/j — indication antidépressogène/dyspepsie) et en gastro-entérologie.</w:t>
      </w:r>
    </w:p>
    <w:p>
      <w:pPr>
        <w:pStyle w:val="ListBullet"/>
      </w:pPr>
      <w:r/>
      <w:r>
        <w:rPr>
          <w:b/>
        </w:rPr>
        <w:t>Forme comprimé 200 mg</w:t>
      </w:r>
      <w:r>
        <w:t xml:space="preserve"> (SULPIRIDE LPA) — </w:t>
      </w:r>
      <w:r>
        <w:rPr>
          <w:b/>
        </w:rPr>
        <w:t>retirée du marché algérien</w:t>
      </w:r>
      <w:r>
        <w:t xml:space="preserve"> — les patients historiquement traités par comprimé 200 mg doivent être orientés vers la solution buvable 0,5 % (8 cuillères à café = 200 mg) ou l'amisulpride comprimé 200 mg.</w:t>
      </w:r>
    </w:p>
    <w:p>
      <w:r/>
      <w:r>
        <w:rPr>
          <w:b/>
        </w:rPr>
        <w:t>Instructions et Conseils au Patient :</w:t>
      </w:r>
      <w:r/>
    </w:p>
    <w:p>
      <w:pPr>
        <w:pStyle w:val="ListBullet"/>
      </w:pPr>
      <w:r>
        <w:t xml:space="preserve">Communication au comptoir : expliquer la nature du traitement (antipsychotique à faible dose ou antidépressogène selon l'indication), les effets indésirables attendus (sédation à forte dose, insomnie à faible dose, akathisie initiale modérée), la surveillance fièvre (SMN), l'interdiction d'arrêt brutal, l'hydratation, le lever progressif (surtout à forte dose), l'éviction de l'alcool. </w:t>
      </w:r>
      <w:r>
        <w:rPr>
          <w:b/>
        </w:rPr>
        <w:t>Information particulière pour les femmes</w:t>
      </w:r>
      <w:r>
        <w:t xml:space="preserve"> : risque d'hyperprolactinémie (galactorrhée, aménorrhée, gynécomastie, troubles sexuels) — signalement au médecin en cas d'écoulement mammaire ou d'irrégularités menstruelles.</w:t>
      </w:r>
    </w:p>
    <w:p>
      <w:pPr>
        <w:pStyle w:val="ListBullet"/>
      </w:pPr>
      <w:r>
        <w:t>Mode d'utilisation pratique : gélules avant les repas avec un grand verre d'eau — éviter les antiacides et le sucralfate dans les 2 h ; solution buvable avant les repas, bien agiter le flacon avant emploi, utiliser une cuillère doseuse ou un gobelet gradué.</w:t>
      </w:r>
    </w:p>
    <w:p>
      <w:r/>
      <w:r>
        <w:rPr>
          <w:b/>
        </w:rPr>
        <w:t>Notes, Règles d'Or &amp; Pièges au Comptoir :</w:t>
      </w:r>
      <w:r/>
    </w:p>
    <w:p>
      <w:pPr>
        <w:pStyle w:val="ListBullet"/>
      </w:pPr>
      <w:r>
        <w:t>Piège classique :</w:t>
      </w:r>
    </w:p>
    <w:p>
      <w:pPr>
        <w:pStyle w:val="ListBullet"/>
      </w:pPr>
      <w:r/>
      <w:r>
        <w:rPr>
          <w:b/>
        </w:rPr>
        <w:t>Hyperprolactinémie majeure</w:t>
      </w:r>
      <w:r>
        <w:t xml:space="preserve"> : les benzamides sont les plus hyperprolactinémiants de tous les antipsychotiques — incidence 60-90 % chez la femme sous sulpiride — surveillance prolactinémie à 3 mois, information particulière aux femmes (galactorrhée, aménorrhée, gynécomastie, troubles sexuels) — switch vers aripiprazole ou quetiapine si symptomatique.</w:t>
      </w:r>
    </w:p>
    <w:p>
      <w:pPr>
        <w:pStyle w:val="ListBullet"/>
      </w:pPr>
      <w:r/>
      <w:r>
        <w:rPr>
          <w:b/>
        </w:rPr>
        <w:t>Effet dose-dépendant biphasique</w:t>
      </w:r>
      <w:r>
        <w:t xml:space="preserve"> : ne pas confondre faible dose (antidépressogène — prise le matin) et forte dose (antipsychotique — prise 2-3 fois par jour) — risque d'erreur thérapeutique.</w:t>
      </w:r>
    </w:p>
    <w:p>
      <w:pPr>
        <w:pStyle w:val="ListBullet"/>
      </w:pPr>
      <w:r/>
      <w:r>
        <w:rPr>
          <w:b/>
        </w:rPr>
        <w:t>Adaptation posologique en cas d'insuffisance rénale</w:t>
      </w:r>
      <w:r>
        <w:t xml:space="preserve"> : élimination rénale dominante — risque d'accumulation et de surdosage si IR non détectée — surveillance clairance créatinine.</w:t>
      </w:r>
    </w:p>
    <w:p>
      <w:pPr>
        <w:pStyle w:val="ListBullet"/>
      </w:pPr>
      <w:r/>
      <w:r>
        <w:rPr>
          <w:b/>
        </w:rPr>
        <w:t>Réduction de l'absorption par antiacides/sucralfate</w:t>
      </w:r>
      <w:r>
        <w:t xml:space="preserve"> : espacer les prises de 2 h.</w:t>
      </w:r>
    </w:p>
    <w:p>
      <w:pPr>
        <w:pStyle w:val="ListBullet"/>
      </w:pPr>
      <w:r/>
      <w:r>
        <w:rPr>
          <w:b/>
        </w:rPr>
        <w:t>CI absolue avec lévodopa/agonistes dopaminergiques</w:t>
      </w:r>
      <w:r>
        <w:t xml:space="preserve"> — préférer clozapine ou quetiapine en cas de maladie de Parkinson.</w:t>
      </w:r>
    </w:p>
    <w:p>
      <w:pPr>
        <w:pStyle w:val="ListBullet"/>
      </w:pPr>
      <w:r/>
      <w:r>
        <w:rPr>
          <w:b/>
        </w:rPr>
        <w:t>CI absolue avec allongeurs de QT</w:t>
      </w:r>
      <w:r>
        <w:t>.</w:t>
      </w:r>
    </w:p>
    <w:p>
      <w:pPr>
        <w:pStyle w:val="ListBullet"/>
      </w:pPr>
      <w:r/>
      <w:r>
        <w:rPr>
          <w:b/>
        </w:rPr>
        <w:t>Maladie de Parkinson / Démence à corps de Lewy</w:t>
      </w:r>
      <w:r>
        <w:t xml:space="preserve"> — CI absolue (malgré le profil « atypique partiel »).</w:t>
      </w:r>
    </w:p>
    <w:p>
      <w:pPr>
        <w:pStyle w:val="ListBullet"/>
      </w:pPr>
      <w:r/>
      <w:r>
        <w:rPr>
          <w:b/>
        </w:rPr>
        <w:t>Tumeur prolactine-dépendante</w:t>
      </w:r>
      <w:r>
        <w:t xml:space="preserve"> (prolactinome, cancer du sein hormonodépendant) — CI relative.</w:t>
      </w:r>
    </w:p>
    <w:p>
      <w:pPr>
        <w:pStyle w:val="ListBullet"/>
      </w:pPr>
      <w:r>
        <w:t>Règle de prise : avant les repas, prise du matin privilégiée pour faible dose, 2-3 prises pour forte dose, hydratation, éviter l'alcool, éviter les antiacides dans les 2 h.</w:t>
      </w:r>
    </w:p>
    <w:p>
      <w:pPr>
        <w:pStyle w:val="ListBullet"/>
      </w:pPr>
      <w:r>
        <w:t>Préparation et Conservation : gélules et solution buvable à température ambiante &lt; 25 °C, à l'abri de la lumière et de l'humidité. Solution buvable bien fermée, conservation après ouverture selon RCP (généralement 1-3 mois).</w:t>
      </w:r>
    </w:p>
    <w:p>
      <w:pPr>
        <w:pStyle w:val="ListBullet"/>
      </w:pPr>
      <w:r>
        <w:t xml:space="preserve">Piège du surdosage / Substitution : surdosage symptomatique en réanimation (EPS majeurs, hypotension, allongement QT). </w:t>
      </w:r>
      <w:r>
        <w:rPr>
          <w:b/>
        </w:rPr>
        <w:t>Substitution sulpiride → amisulpride</w:t>
      </w:r>
      <w:r>
        <w:t xml:space="preserve"> : équivalence approximative (sulpiride 200 mg ≈ amisulpride 100 mg — l'amisulpride est environ 2 fois plus puissant par mg en raison d'une meilleure biodisponibilité orale).</w:t>
      </w:r>
    </w:p>
    <w:p>
      <w:pPr>
        <w:pStyle w:val="Heading3"/>
      </w:pPr>
      <w:r>
        <w:t>8. DCI : Amisulpride (Seule)</w:t>
      </w:r>
    </w:p>
    <w:p>
      <w:r/>
      <w:r>
        <w:rPr>
          <w:b/>
        </w:rPr>
        <w:t>Liste des Catégories :</w:t>
      </w:r>
      <w:r>
        <w:t xml:space="preserve"> Antipsychotique typique (1re génération) — Benzamide substitué — Antagoniste sélectif D2/D3 avec privilège limbique et effet dose-dépendant biphasique (faible dose = antidépressogène, forte dose = antipsychotique) — Schizophrénie (symptômes positifs et négatifs), troubles dépressifs avec ralentissement — Liste I — Formes orales (comprimés sécables 200 et 400 mg) — Délivrance sur ordonnance.</w:t>
      </w:r>
    </w:p>
    <w:p>
      <w:r>
        <w:t>L'</w:t>
      </w:r>
      <w:r>
        <w:rPr>
          <w:b/>
        </w:rPr>
        <w:t>amisulpride</w:t>
      </w:r>
      <w:r>
        <w:t xml:space="preserve"> (Solian® — Sanofi-Aventis, commercialisé dès 1992) est un </w:t>
      </w:r>
      <w:r>
        <w:rPr>
          <w:b/>
        </w:rPr>
        <w:t>benzamide substitué</w:t>
      </w:r>
      <w:r>
        <w:t xml:space="preserve"> de synthèse, dérivé structuré du sulpiride (dont il partage le squelette benzamide et la sélectivité D2/D3), mais avec une </w:t>
      </w:r>
      <w:r>
        <w:rPr>
          <w:b/>
        </w:rPr>
        <w:t>puissance antipsychotique environ 2 fois supérieure</w:t>
      </w:r>
      <w:r>
        <w:t xml:space="preserve"> (par mg) et une </w:t>
      </w:r>
      <w:r>
        <w:rPr>
          <w:b/>
        </w:rPr>
        <w:t>biodisponibilité orale meilleure</w:t>
      </w:r>
      <w:r>
        <w:t xml:space="preserve"> (~50 % vs 25-30 % pour le sulpiride). Sa structure — benzamide substituée par une chaîne </w:t>
      </w:r>
      <w:r>
        <w:rPr>
          <w:b/>
        </w:rPr>
        <w:t>N-éthylpyrrolidinyl-méthyl</w:t>
      </w:r>
      <w:r>
        <w:t xml:space="preserve"> et un groupement </w:t>
      </w:r>
      <w:r>
        <w:rPr>
          <w:b/>
        </w:rPr>
        <w:t>amino-sulfonyl</w:t>
      </w:r>
      <w:r>
        <w:t xml:space="preserve"> (différence avec le sulpiride qui porte un groupement sulfamoyl) — lui confère un profil pharmacologique </w:t>
      </w:r>
      <w:r>
        <w:rPr>
          <w:b/>
        </w:rPr>
        <w:t>très proche du sulpiride</w:t>
      </w:r>
      <w:r>
        <w:t xml:space="preserve"> : </w:t>
      </w:r>
      <w:r>
        <w:rPr>
          <w:b/>
        </w:rPr>
        <w:t>sélectivité pour D2/D3</w:t>
      </w:r>
      <w:r>
        <w:t xml:space="preserve">, </w:t>
      </w:r>
      <w:r>
        <w:rPr>
          <w:b/>
        </w:rPr>
        <w:t>privilège limbique</w:t>
      </w:r>
      <w:r>
        <w:t xml:space="preserve">, </w:t>
      </w:r>
      <w:r>
        <w:rPr>
          <w:b/>
        </w:rPr>
        <w:t>effet dose-dépendant biphasique</w:t>
      </w:r>
      <w:r>
        <w:t xml:space="preserve"> (faible dose = blocage présynaptique = effet antidépressogène ; forte dose = blocage postsynaptique = effet antipsychotique). L'amisulpride est parfois classé parmi les </w:t>
      </w:r>
      <w:r>
        <w:rPr>
          <w:b/>
        </w:rPr>
        <w:t>antipsychotiques atypiques (2e génération)</w:t>
      </w:r>
      <w:r>
        <w:t xml:space="preserve"> par certains auteurs en raison de son profil préférentiel limbique et de son meilleur profil de tolérance EPS que l'halopéridol — mais la classification française classique (et le RCP de l'AMM) le maintient parmi les </w:t>
      </w:r>
      <w:r>
        <w:rPr>
          <w:b/>
        </w:rPr>
        <w:t>antipsychotiques typiques (1re génération)</w:t>
      </w:r>
      <w:r>
        <w:t xml:space="preserve"> en raison de son absence d'affinité pour 5-HT2A (critère classiquement retenu pour les atypiques — qui sont caractérisés par une affinité 5-HT2A &gt; D2). En Algérie, l'amisulpride est largement disponible — 8 marques actives sous forme de comprimés sécables 200 mg et 400 mg (princeps SOLIAN — Sanofi-Aventis Algérie ; génériques algériens : AMILAN, AMIPRIDE, AMISULPRID, AMISULPRIDE BEKER, MISULAR, SUPRIMIDE, AMIPRID). C'est l'un des antipsychotiques typiques les plus prescrits en Algérie dans les schizophrénies avec symptômes négatifs prédominants (apathie, émoussement affectif, retrait social) — indication privilégiée de l'amisulpride à faible dose (50-300 mg/j). Sa principale limite est l'</w:t>
      </w:r>
      <w:r>
        <w:rPr>
          <w:b/>
        </w:rPr>
        <w:t>hyperprolactinémie majeure</w:t>
      </w:r>
      <w:r>
        <w:t xml:space="preserve"> (incidence 60-90 % chez la femme — comme le sulpiride) et un </w:t>
      </w:r>
      <w:r>
        <w:rPr>
          <w:b/>
        </w:rPr>
        <w:t>allongement QT modéré</w:t>
      </w:r>
      <w:r>
        <w:t xml:space="preserve"> (surveillance ECG si dose élevée ou association).</w:t>
      </w:r>
    </w:p>
    <w:p>
      <w:r/>
      <w:r>
        <w:rPr>
          <w:b/>
        </w:rPr>
        <w:t>Médicaments disponibles en Algérie (Marques, Laboratoires, Formes et Dosages) :</w:t>
      </w:r>
      <w:r/>
    </w:p>
    <w:p>
      <w:pPr>
        <w:pStyle w:val="ListBullet"/>
      </w:pPr>
      <w:r/>
      <w:r>
        <w:rPr>
          <w:b/>
        </w:rPr>
        <w:t>SOLIAN</w:t>
      </w:r>
      <w:r>
        <w:t xml:space="preserve"> (SANOFI AVENTIS ALGERIE)</w:t>
      </w:r>
    </w:p>
    <w:p>
      <w:pPr>
        <w:pStyle w:val="ListBullet"/>
      </w:pPr>
      <w:r>
        <w:t>Formes et Dosages : Comprimé sécable 200 mg — Boîte de 30 ; Comprimé pelliculé sécable 400 mg — Boîte de 30.</w:t>
      </w:r>
    </w:p>
    <w:p>
      <w:pPr>
        <w:pStyle w:val="ListBullet"/>
      </w:pPr>
      <w:r>
        <w:t>Statut : Actif (LISTE I) — princeps historique de la molécule en Algérie.</w:t>
      </w:r>
    </w:p>
    <w:p>
      <w:pPr>
        <w:pStyle w:val="ListBullet"/>
      </w:pPr>
      <w:r/>
      <w:r>
        <w:rPr>
          <w:b/>
        </w:rPr>
        <w:t>AMILAN</w:t>
      </w:r>
      <w:r>
        <w:t xml:space="preserve"> (BIOGALENIC)</w:t>
      </w:r>
    </w:p>
    <w:p>
      <w:pPr>
        <w:pStyle w:val="ListBullet"/>
      </w:pPr>
      <w:r>
        <w:t>Formes et Dosages : Comprimé sécable 200 mg — Boîte de 30.</w:t>
      </w:r>
    </w:p>
    <w:p>
      <w:pPr>
        <w:pStyle w:val="ListBullet"/>
      </w:pPr>
      <w:r>
        <w:t>Statut : Actif (LISTE I).</w:t>
      </w:r>
    </w:p>
    <w:p>
      <w:pPr>
        <w:pStyle w:val="ListBullet"/>
      </w:pPr>
      <w:r/>
      <w:r>
        <w:rPr>
          <w:b/>
        </w:rPr>
        <w:t>AMIPRIDE</w:t>
      </w:r>
      <w:r>
        <w:t xml:space="preserve"> (SANAMED)</w:t>
      </w:r>
    </w:p>
    <w:p>
      <w:pPr>
        <w:pStyle w:val="ListBullet"/>
      </w:pPr>
      <w:r>
        <w:t>Formes et Dosages : Comprimé sécable 200 mg — Boîte de 30.</w:t>
      </w:r>
    </w:p>
    <w:p>
      <w:pPr>
        <w:pStyle w:val="ListBullet"/>
      </w:pPr>
      <w:r>
        <w:t>Statut : Actif (LISTE I).</w:t>
      </w:r>
    </w:p>
    <w:p>
      <w:pPr>
        <w:pStyle w:val="ListBullet"/>
      </w:pPr>
      <w:r/>
      <w:r>
        <w:rPr>
          <w:b/>
        </w:rPr>
        <w:t>AMISULPRID</w:t>
      </w:r>
      <w:r>
        <w:t xml:space="preserve"> (LABORATOIRES DE DIAGNOSTIC MAGHREBINS — LDM)</w:t>
      </w:r>
    </w:p>
    <w:p>
      <w:pPr>
        <w:pStyle w:val="ListBullet"/>
      </w:pPr>
      <w:r>
        <w:t>Formes et Dosages : Comprimé sécable 200 mg — Boîte de 30.</w:t>
      </w:r>
    </w:p>
    <w:p>
      <w:pPr>
        <w:pStyle w:val="ListBullet"/>
      </w:pPr>
      <w:r>
        <w:t>Statut : Actif (LISTE I).</w:t>
      </w:r>
    </w:p>
    <w:p>
      <w:pPr>
        <w:pStyle w:val="ListBullet"/>
      </w:pPr>
      <w:r/>
      <w:r>
        <w:rPr>
          <w:b/>
        </w:rPr>
        <w:t>AMISULPRIDE BEKER</w:t>
      </w:r>
      <w:r>
        <w:t xml:space="preserve"> (LABORATOIRES BEKER)</w:t>
      </w:r>
    </w:p>
    <w:p>
      <w:pPr>
        <w:pStyle w:val="ListBullet"/>
      </w:pPr>
      <w:r>
        <w:t>Formes et Dosages : Comprimé sécable 200 mg — Boîte de 30 ; Comprimé pelliculé sécable 400 mg — Boîte de 30.</w:t>
      </w:r>
    </w:p>
    <w:p>
      <w:pPr>
        <w:pStyle w:val="ListBullet"/>
      </w:pPr>
      <w:r>
        <w:t>Statut : Actif (LISTE I).</w:t>
      </w:r>
    </w:p>
    <w:p>
      <w:pPr>
        <w:pStyle w:val="ListBullet"/>
      </w:pPr>
      <w:r/>
      <w:r>
        <w:rPr>
          <w:b/>
        </w:rPr>
        <w:t>MISULAR</w:t>
      </w:r>
      <w:r>
        <w:t xml:space="preserve"> (PHARMALLIANCE)</w:t>
      </w:r>
    </w:p>
    <w:p>
      <w:pPr>
        <w:pStyle w:val="ListBullet"/>
      </w:pPr>
      <w:r>
        <w:t>Formes et Dosages : Comprimé sécable 200 mg — Boîte de 30.</w:t>
      </w:r>
    </w:p>
    <w:p>
      <w:pPr>
        <w:pStyle w:val="ListBullet"/>
      </w:pPr>
      <w:r>
        <w:t>Statut : Actif (LISTE I).</w:t>
      </w:r>
    </w:p>
    <w:p>
      <w:pPr>
        <w:pStyle w:val="ListBullet"/>
      </w:pPr>
      <w:r/>
      <w:r>
        <w:rPr>
          <w:b/>
        </w:rPr>
        <w:t>SUPRIMIDE</w:t>
      </w:r>
      <w:r>
        <w:t xml:space="preserve"> (EL KENDI INDUSTRIE DU MEDICAMENT)</w:t>
      </w:r>
    </w:p>
    <w:p>
      <w:pPr>
        <w:pStyle w:val="ListBullet"/>
      </w:pPr>
      <w:r>
        <w:t>Formes et Dosages : Comprimé 200 mg — Boîte de 28 ; Comprimé pelliculé sécable 400 mg — Boîte de 30.</w:t>
      </w:r>
    </w:p>
    <w:p>
      <w:pPr>
        <w:pStyle w:val="ListBullet"/>
      </w:pPr>
      <w:r>
        <w:t>Statut : Actif (LISTE I).</w:t>
      </w:r>
    </w:p>
    <w:p>
      <w:pPr>
        <w:pStyle w:val="ListBullet"/>
      </w:pPr>
      <w:r/>
      <w:r>
        <w:rPr>
          <w:b/>
        </w:rPr>
        <w:t>AMIPRID</w:t>
      </w:r>
      <w:r>
        <w:t xml:space="preserve"> (LABORATOIRES DE DIAGNOSTIC MAGHREBINS — LDM)</w:t>
      </w:r>
    </w:p>
    <w:p>
      <w:pPr>
        <w:pStyle w:val="ListBullet"/>
      </w:pPr>
      <w:r>
        <w:t>Formes et Dosages : Comprimé pelliculé sécable 400 mg — Boîte de 30.</w:t>
      </w:r>
    </w:p>
    <w:p>
      <w:pPr>
        <w:pStyle w:val="ListBullet"/>
      </w:pPr>
      <w:r>
        <w:t>Statut : Actif (LISTE I).</w:t>
      </w:r>
    </w:p>
    <w:p>
      <w:r/>
      <w:r>
        <w:rPr>
          <w:b/>
        </w:rPr>
        <w:t>Note nomenclature</w:t>
      </w:r>
      <w:r>
        <w:t xml:space="preserve"> : À Avril 2026, l'amisulpride est largement disponible en Algérie — 8 marques actives (comprimés sécables 200 mg et 400 mg). Le dosage </w:t>
      </w:r>
      <w:r>
        <w:rPr>
          <w:b/>
        </w:rPr>
        <w:t>200 mg</w:t>
      </w:r>
      <w:r>
        <w:t xml:space="preserve"> est privilégié pour l'initiation et la titration ; le dosage </w:t>
      </w:r>
      <w:r>
        <w:rPr>
          <w:b/>
        </w:rPr>
        <w:t>400 mg</w:t>
      </w:r>
      <w:r>
        <w:t xml:space="preserve"> est utilisé pour la dose d'entretien (permet de réduire le nombre de comprimés quotidiens). Aucune marque n'est retirée du marché algérien — disponibilité stable.</w:t>
      </w:r>
    </w:p>
    <w:p>
      <w:r/>
      <w:r>
        <w:rPr>
          <w:b/>
        </w:rPr>
        <w:t>Sous-classe et Mécanisme d'action :</w:t>
      </w:r>
      <w:r/>
    </w:p>
    <w:p>
      <w:pPr>
        <w:pStyle w:val="ListBullet"/>
      </w:pPr>
      <w:r>
        <w:t xml:space="preserve">Sous-classe : </w:t>
      </w:r>
      <w:r>
        <w:rPr>
          <w:b/>
        </w:rPr>
        <w:t>Benzamide substitué — antipsychotique typique de 1re génération, puissance modérée à élevée, profil « atypique partiel »</w:t>
      </w:r>
      <w:r>
        <w:t xml:space="preserve"> avec </w:t>
      </w:r>
      <w:r>
        <w:rPr>
          <w:b/>
        </w:rPr>
        <w:t>effet dose-dépendant biphasique</w:t>
      </w:r>
      <w:r>
        <w:t xml:space="preserve"> (faible dose = antidépressogène, forte dose = antipsychotique). Positionné en psychiatrie pour le traitement de la </w:t>
      </w:r>
      <w:r>
        <w:rPr>
          <w:b/>
        </w:rPr>
        <w:t>schizophrénie</w:t>
      </w:r>
      <w:r>
        <w:t xml:space="preserve"> (symptômes positifs et négatifs) et des </w:t>
      </w:r>
      <w:r>
        <w:rPr>
          <w:b/>
        </w:rPr>
        <w:t>troubles dépressifs</w:t>
      </w:r>
      <w:r>
        <w:t xml:space="preserve"> avec ralentissement (faible dose). Profil pharmacologique très proche du sulpiride mais avec puissance antipsychotique environ 2 fois supérieure (par mg) et biodisponibilité orale meilleure (~50 % vs 25-30 %).</w:t>
      </w:r>
    </w:p>
    <w:p>
      <w:pPr>
        <w:pStyle w:val="ListBullet"/>
      </w:pPr>
      <w:r>
        <w:t>Mécanisme d'action : identique au sulpiride — antagoniste sélectif D2/D3 (Ki D2 ≈ 5-10 nM — affinité modérée à élevée, Ki D3 ≈ 3-5 nM — affinité supérieure), faible affinité pour D1, D4, D5, α1, H1, M1, 5-HT, privilège limbique, effet dose-dépendant biphasique :</w:t>
      </w:r>
    </w:p>
    <w:p>
      <w:pPr>
        <w:pStyle w:val="ListBullet"/>
      </w:pPr>
      <w:r/>
      <w:r>
        <w:rPr>
          <w:b/>
        </w:rPr>
        <w:t>À faible dose (50-300 mg/j)</w:t>
      </w:r>
      <w:r>
        <w:t xml:space="preserve"> : blocage préférentiel des </w:t>
      </w:r>
      <w:r>
        <w:rPr>
          <w:b/>
        </w:rPr>
        <w:t>autérécepteurs présynaptiques D2/D3</w:t>
      </w:r>
      <w:r>
        <w:t xml:space="preserve"> → levée de l'inhibition autocrine → augmentation de la dopamine synaptique → effet </w:t>
      </w:r>
      <w:r>
        <w:rPr>
          <w:b/>
        </w:rPr>
        <w:t>psychostimulant, antidépressogène</w:t>
      </w:r>
      <w:r>
        <w:t xml:space="preserve"> (indication dans les troubles dépressifs avec ralentissement, symptômes négatifs prédominants de la schizophrénie).</w:t>
      </w:r>
    </w:p>
    <w:p>
      <w:pPr>
        <w:pStyle w:val="ListBullet"/>
      </w:pPr>
      <w:r/>
      <w:r>
        <w:rPr>
          <w:b/>
        </w:rPr>
        <w:t>À forte dose (400-1200 mg/j)</w:t>
      </w:r>
      <w:r>
        <w:t xml:space="preserve"> : blocage préférentiel des </w:t>
      </w:r>
      <w:r>
        <w:rPr>
          <w:b/>
        </w:rPr>
        <w:t>récepteurs postsynaptiques D2/D3 mésolimbiques</w:t>
      </w:r>
      <w:r>
        <w:t xml:space="preserve"> → effet </w:t>
      </w:r>
      <w:r>
        <w:rPr>
          <w:b/>
        </w:rPr>
        <w:t>antipsychotique</w:t>
      </w:r>
      <w:r>
        <w:t xml:space="preserve"> (réduction des symptômes positifs), avec un </w:t>
      </w:r>
      <w:r>
        <w:rPr>
          <w:b/>
        </w:rPr>
        <w:t>risque EPS modéré</w:t>
      </w:r>
      <w:r>
        <w:t xml:space="preserve"> (inférieur à l'halopéridol mais supérieur aux atypiques) et un </w:t>
      </w:r>
      <w:r>
        <w:rPr>
          <w:b/>
        </w:rPr>
        <w:t>risque d'hyperprolactinémie majeur</w:t>
      </w:r>
      <w:r>
        <w:t xml:space="preserve"> (incidence 60-90 % chez la femme).</w:t>
      </w:r>
    </w:p>
    <w:p>
      <w:pPr>
        <w:pStyle w:val="ListBullet"/>
      </w:pPr>
      <w:r>
        <w:t xml:space="preserve">L'amisulpride est mieux absorbé que le sulpiride (biodisponibilité ~50 % vs 25-30 %) — d'où une posologie réduite d'environ moitié. La demi-vie d'élimination est de </w:t>
      </w:r>
      <w:r>
        <w:rPr>
          <w:b/>
        </w:rPr>
        <w:t>12-15 h</w:t>
      </w:r>
      <w:r>
        <w:t xml:space="preserve"> per os, permettant une monoprise journalière (ou biprise). L'amisulpride est </w:t>
      </w:r>
      <w:r>
        <w:rPr>
          <w:b/>
        </w:rPr>
        <w:t>peu métabolisé</w:t>
      </w:r>
      <w:r>
        <w:t xml:space="preserve"> par le foie (élimination rénale dominante inchangée) — adaptation posologique en cas d'insuffisance rénale.</w:t>
      </w:r>
    </w:p>
    <w:p>
      <w:r/>
      <w:r>
        <w:rPr>
          <w:b/>
        </w:rPr>
        <w:t>Profil Pharmacologique :</w:t>
      </w:r>
      <w:r/>
    </w:p>
    <w:p>
      <w:pPr>
        <w:pStyle w:val="ListBullet"/>
      </w:pPr>
      <w:r>
        <w:t>Indications :</w:t>
      </w:r>
    </w:p>
    <w:p>
      <w:pPr>
        <w:pStyle w:val="ListBullet"/>
      </w:pPr>
      <w:r/>
      <w:r>
        <w:rPr>
          <w:b/>
        </w:rPr>
        <w:t>À faible dose (50-300 mg/j)</w:t>
      </w:r>
      <w:r>
        <w:t xml:space="preserve"> : troubles dépressifs avec ralentissement (en association ou monothérapie courte), symptômes négatifs prédominants de la schizophrénie (apathie, émoussement affectif, retrait social).</w:t>
      </w:r>
    </w:p>
    <w:p>
      <w:pPr>
        <w:pStyle w:val="ListBullet"/>
      </w:pPr>
      <w:r/>
      <w:r>
        <w:rPr>
          <w:b/>
        </w:rPr>
        <w:t>À forte dose (400-1200 mg/j)</w:t>
      </w:r>
      <w:r>
        <w:t xml:space="preserve"> : schizophrénie (symptômes positifs prédominants), troubles psychotiques aigus.</w:t>
      </w:r>
    </w:p>
    <w:p>
      <w:pPr>
        <w:pStyle w:val="ListBullet"/>
      </w:pPr>
      <w:r>
        <w:t xml:space="preserve">Contre-indications : identiques au sulpiride — hypersensibilité, </w:t>
      </w:r>
      <w:r>
        <w:rPr>
          <w:b/>
        </w:rPr>
        <w:t>maladie de Parkinson</w:t>
      </w:r>
      <w:r>
        <w:t xml:space="preserve"> (CI absolue), </w:t>
      </w:r>
      <w:r>
        <w:rPr>
          <w:b/>
        </w:rPr>
        <w:t>démence à corps de Lewy</w:t>
      </w:r>
      <w:r>
        <w:t xml:space="preserve"> (CI absolue), SMN personnel, phéochromocytome, allongement préexistant du QT (CI absolue), association avec allongeurs de QT (CI absolue), association avec lévodopa/agonistes dopaminergiques (CI absolue), insuffisance rénale sévère (adaptation posologique stricte), tumeur prolactine-dépendante (CI relative), allaitement (CI relative).</w:t>
      </w:r>
    </w:p>
    <w:p>
      <w:pPr>
        <w:pStyle w:val="ListBullet"/>
      </w:pPr>
      <w:r>
        <w:t xml:space="preserve">Effets Indésirables : identiques au sulpiride — </w:t>
      </w:r>
      <w:r>
        <w:rPr>
          <w:b/>
        </w:rPr>
        <w:t>hyperprolactinémie majeure</w:t>
      </w:r>
      <w:r>
        <w:t xml:space="preserve"> (incidence 60-90 % chez la femme — galactorrhée, aménorrhée, gynécomastie, troubles sexuels — l'un des plus hyperprolactinémiants de la classe), sédation modérée, akathisie (10-20 %), parkinsonisme (5-15 %), prise de poids modérée, dystonie aiguë (2-5 %), dyskinésie tardive (3-5 %/an), SMN (urgence vitale), allongement QT (modéré — risque de TdP surtout à dose élevée ou association), convulsions. Rares : Stevens-Johnson, Lyell, anaphylaxie.</w:t>
      </w:r>
    </w:p>
    <w:p>
      <w:r/>
      <w:r>
        <w:rPr>
          <w:b/>
        </w:rPr>
        <w:t>Prévention et Gestion des Effets Indésirables :</w:t>
      </w:r>
      <w:r/>
    </w:p>
    <w:p>
      <w:pPr>
        <w:pStyle w:val="ListBullet"/>
      </w:pPr>
      <w:r>
        <w:t xml:space="preserve">Identiques au sulpiride — </w:t>
      </w:r>
      <w:r>
        <w:rPr>
          <w:b/>
        </w:rPr>
        <w:t>dose minimale efficace</w:t>
      </w:r>
      <w:r>
        <w:t xml:space="preserve"> (adapter à l'indication : faible dose pour troubles dépressifs/symptômes négatifs, forte dose pour schizophrénie positive) ; surveillance EPS, ECG, </w:t>
      </w:r>
      <w:r>
        <w:rPr>
          <w:b/>
        </w:rPr>
        <w:t>prolactinémie</w:t>
      </w:r>
      <w:r>
        <w:t xml:space="preserve"> à l'initiation puis à 3 mois, </w:t>
      </w:r>
      <w:r>
        <w:rPr>
          <w:b/>
        </w:rPr>
        <w:t>fonction rénale</w:t>
      </w:r>
      <w:r>
        <w:t xml:space="preserve"> (clairance créatinine — adaptation posologique en cas d'IR), hydratation. Conduite à tenir identique : arrêt en cas de SMN, dystonie (bipéridène), akathisie (propranolol), parkinsonisme (anticholinergique), allongement QT, hyperprolactinémie symptomatique (réduction de dose ou switch vers aripiprazole/quetiapine).</w:t>
      </w:r>
    </w:p>
    <w:p>
      <w:r/>
      <w:r>
        <w:rPr>
          <w:b/>
        </w:rPr>
        <w:t>Interactions Importantes :</w:t>
      </w:r>
      <w:r/>
    </w:p>
    <w:p>
      <w:pPr>
        <w:pStyle w:val="ListBullet"/>
      </w:pPr>
      <w:r>
        <w:t>Identiques au sulpiride — CI absolue avec lévodopa/agonistes dopaminergiques, CI absolue avec allongeurs de QT, sédation additive avec dépresseurs du SNC, potentialisation modérée de l'hypotension avec antihypertenseurs, interaction avec lithium, inhibiteurs P-gp.</w:t>
      </w:r>
    </w:p>
    <w:p>
      <w:r/>
      <w:r>
        <w:rPr>
          <w:b/>
        </w:rPr>
        <w:t>Grossesse et Allaitement :</w:t>
      </w:r>
      <w:r/>
    </w:p>
    <w:p>
      <w:pPr>
        <w:pStyle w:val="ListBullet"/>
      </w:pPr>
      <w:r>
        <w:t xml:space="preserve">Identiques au sulpiride — selon le CRAT, recul limité mais rassurant, mais </w:t>
      </w:r>
      <w:r>
        <w:rPr>
          <w:b/>
        </w:rPr>
        <w:t>privilégier l'halopéridol à dose minimale efficace</w:t>
      </w:r>
      <w:r>
        <w:t xml:space="preserve"> pendant la grossesse et l'allaitement. Surveillance néonatale renforcée (somnolence, hypotonie, hyperprolactinémie néonatale transitoire).</w:t>
      </w:r>
    </w:p>
    <w:p>
      <w:r/>
      <w:r>
        <w:rPr>
          <w:b/>
        </w:rPr>
        <w:t>Posologie et Mode d'administration (Standard) :</w:t>
      </w:r>
      <w:r/>
    </w:p>
    <w:p>
      <w:pPr>
        <w:pStyle w:val="ListBullet"/>
      </w:pPr>
      <w:r>
        <w:t>Adulte (per os — comprimés sécables 200 et 400 mg) :</w:t>
      </w:r>
    </w:p>
    <w:p>
      <w:pPr>
        <w:pStyle w:val="ListBullet"/>
      </w:pPr>
      <w:r/>
      <w:r>
        <w:rPr>
          <w:b/>
        </w:rPr>
        <w:t>Indication psychiatrique — faible dose (troubles dépressifs avec ralentissement, symptômes négatifs prédominants de la schizophrénie)</w:t>
      </w:r>
      <w:r>
        <w:t xml:space="preserve"> : 50-300 mg/jour (1/4 à 1,5 comprimé 200 mg) en 1 prise le matin (effet psychostimulant).</w:t>
      </w:r>
    </w:p>
    <w:p>
      <w:pPr>
        <w:pStyle w:val="ListBullet"/>
      </w:pPr>
      <w:r/>
      <w:r>
        <w:rPr>
          <w:b/>
        </w:rPr>
        <w:t>Indication psychiatrique — dose modérée (schizophrénie mixte)</w:t>
      </w:r>
      <w:r>
        <w:t xml:space="preserve"> : 400-800 mg/jour (1-2 comprimés 400 mg, ou 2-4 comprimés 200 mg) en 1-2 prises.</w:t>
      </w:r>
    </w:p>
    <w:p>
      <w:pPr>
        <w:pStyle w:val="ListBullet"/>
      </w:pPr>
      <w:r/>
      <w:r>
        <w:rPr>
          <w:b/>
        </w:rPr>
        <w:t>Indication psychiatrique — forte dose (schizophrénie avec symptômes positifs prédominants)</w:t>
      </w:r>
      <w:r>
        <w:t xml:space="preserve"> : 800-1200 mg/jour (2-3 comprimés 400 mg, ou 4-6 comprimés 200 mg) en 2 prises.</w:t>
      </w:r>
    </w:p>
    <w:p>
      <w:pPr>
        <w:pStyle w:val="ListBullet"/>
      </w:pPr>
      <w:r/>
      <w:r>
        <w:rPr>
          <w:b/>
        </w:rPr>
        <w:t>Dose maximale</w:t>
      </w:r>
      <w:r>
        <w:t xml:space="preserve"> : 1200 mg/jour per os (au-delà, surveillance renforcée ECG, EPS, prolactinémie).</w:t>
      </w:r>
    </w:p>
    <w:p>
      <w:pPr>
        <w:pStyle w:val="ListBullet"/>
      </w:pPr>
      <w:r>
        <w:t>Sujet âgé (&gt; 65 ans) :</w:t>
      </w:r>
    </w:p>
    <w:p>
      <w:pPr>
        <w:pStyle w:val="ListBullet"/>
      </w:pPr>
      <w:r/>
      <w:r>
        <w:rPr>
          <w:b/>
        </w:rPr>
        <w:t>Per os</w:t>
      </w:r>
      <w:r>
        <w:t xml:space="preserve"> : 50-200 mg/jour en 1-2 prises (titration très lente, dose réduite de moitié). Dose maximale recommandée : 400-600 mg/jour.</w:t>
      </w:r>
    </w:p>
    <w:p>
      <w:pPr>
        <w:pStyle w:val="ListBullet"/>
      </w:pPr>
      <w:r>
        <w:t xml:space="preserve">Insuffisant rénal : </w:t>
      </w:r>
      <w:r>
        <w:rPr>
          <w:b/>
        </w:rPr>
        <w:t>adaptation posologique stricte selon la clairance créatinine</w:t>
      </w:r>
      <w:r>
        <w:t xml:space="preserve"> (élimination rénale dominante) — ClCr 30-60 mL/min : réduire la dose de moitié ; ClCr 10-30 mL/min : réduire la dose au quart ; ClCr &lt; 10 mL/min : CI absolue (ou dialyse).</w:t>
      </w:r>
    </w:p>
    <w:p>
      <w:pPr>
        <w:pStyle w:val="ListBullet"/>
      </w:pPr>
      <w:r>
        <w:t>Insuffisant hépatique : pas d'adaptation stricte (peu de métabolisme hépatique).</w:t>
      </w:r>
    </w:p>
    <w:p>
      <w:pPr>
        <w:pStyle w:val="ListBullet"/>
      </w:pPr>
      <w:r>
        <w:t xml:space="preserve">Durée : </w:t>
      </w:r>
      <w:r>
        <w:rPr>
          <w:b/>
        </w:rPr>
        <w:t>au long cours</w:t>
      </w:r>
      <w:r>
        <w:t xml:space="preserve"> en psychiatrie. Réduction progressive par paliers sur 4-8 semaines en cas d'arrêt.</w:t>
      </w:r>
    </w:p>
    <w:p>
      <w:pPr>
        <w:pStyle w:val="ListBullet"/>
      </w:pPr>
      <w:r>
        <w:t>Moment de la prise : per os pendant ou en dehors des repas (peu d'effet de l'alimentation sur l'absorption, contrairement au sulpiride) en 1-2 prises selon la dose. Prise du matin privilégiée pour faible dose (effet psychostimulant), prise du soir pour la dose la plus élevée si biprise.</w:t>
      </w:r>
    </w:p>
    <w:p>
      <w:r/>
      <w:r>
        <w:rPr>
          <w:b/>
        </w:rPr>
        <w:t>Arbitrage et Bénéfices des Formes Galéniques :</w:t>
      </w:r>
      <w:r/>
    </w:p>
    <w:p>
      <w:pPr>
        <w:pStyle w:val="ListBullet"/>
      </w:pPr>
      <w:r/>
      <w:r>
        <w:rPr>
          <w:b/>
        </w:rPr>
        <w:t>Comprimés sécables 200 mg</w:t>
      </w:r>
      <w:r>
        <w:t xml:space="preserve"> : titration fine (quart ou demi-comprimé), administration aisée. Forme privilégiée pour l'initiation et les faibles posologies (50-300 mg/j — indication antidépressogène/symptômes négatifs).</w:t>
      </w:r>
    </w:p>
    <w:p>
      <w:pPr>
        <w:pStyle w:val="ListBullet"/>
      </w:pPr>
      <w:r/>
      <w:r>
        <w:rPr>
          <w:b/>
        </w:rPr>
        <w:t>Comprimés pelliculés sécables 400 mg</w:t>
      </w:r>
      <w:r>
        <w:t xml:space="preserve"> : forme privilégiée pour la dose d'entretien (permet de réduire le nombre de comprimés quotidiens à 1-3/jour dans la schizophrénie positive).</w:t>
      </w:r>
    </w:p>
    <w:p>
      <w:pPr>
        <w:pStyle w:val="ListBullet"/>
      </w:pPr>
      <w:r/>
      <w:r>
        <w:rPr>
          <w:b/>
        </w:rPr>
        <w:t>Absence de solution buvable en Algérie</w:t>
      </w:r>
      <w:r>
        <w:t xml:space="preserve"> : à la différence du sulpiride, l'amisulpride n'est pas disponible en solution buvable en Algérie — en cas de difficulté à avaler les comprimés (sujet âgé, pédiatrie), orienter vers le sulpiride solution buvable 0,5 % (équivalence : amisulpride 100 mg ≈ sulpiride 200 mg).</w:t>
      </w:r>
    </w:p>
    <w:p>
      <w:r/>
      <w:r>
        <w:rPr>
          <w:b/>
        </w:rPr>
        <w:t>Instructions et Conseils au Patient :</w:t>
      </w:r>
      <w:r/>
    </w:p>
    <w:p>
      <w:pPr>
        <w:pStyle w:val="ListBullet"/>
      </w:pPr>
      <w:r>
        <w:t xml:space="preserve">Communication au comptoir : identique au sulpiride — expliquer la nature du traitement (antipsychotique à faible dose ou antidépressogène selon l'indication), les effets indésirables attendus (sédation à forte dose, insomnie à faible dose, akathisie initiale modérée), la surveillance fièvre (SMN), l'interdiction d'arrêt brutal, l'hydratation, le lever progressif (surtout à forte dose), l'éviction de l'alcool. </w:t>
      </w:r>
      <w:r>
        <w:rPr>
          <w:b/>
        </w:rPr>
        <w:t>Information particulière pour les femmes</w:t>
      </w:r>
      <w:r>
        <w:t xml:space="preserve"> : risque d'hyperprolactinémie (galactorrhée, aménorrhée, gynécomastie, troubles sexuels) — signalement au médecin en cas d'écoulement mammaire ou d'irrégularités menstruelles.</w:t>
      </w:r>
    </w:p>
    <w:p>
      <w:pPr>
        <w:pStyle w:val="ListBullet"/>
      </w:pPr>
      <w:r>
        <w:t>Mode d'utilisation pratique : comprimés pendant ou en dehors des repas avec un grand verre d'eau — ne pas écraser ni mâcher (comprimé pelliculé).</w:t>
      </w:r>
    </w:p>
    <w:p>
      <w:r/>
      <w:r>
        <w:rPr>
          <w:b/>
        </w:rPr>
        <w:t>Notes, Règles d'Or &amp; Pièges au Comptoir :</w:t>
      </w:r>
      <w:r/>
    </w:p>
    <w:p>
      <w:pPr>
        <w:pStyle w:val="ListBullet"/>
      </w:pPr>
      <w:r>
        <w:t>Piège classique :</w:t>
      </w:r>
    </w:p>
    <w:p>
      <w:pPr>
        <w:pStyle w:val="ListBullet"/>
      </w:pPr>
      <w:r/>
      <w:r>
        <w:rPr>
          <w:b/>
        </w:rPr>
        <w:t>Hyperprolactinémie majeure</w:t>
      </w:r>
      <w:r>
        <w:t xml:space="preserve"> : identique au sulpiride — incidence 60-90 % chez la femme — surveillance prolactinémie à 3 mois, information particulière aux femmes.</w:t>
      </w:r>
    </w:p>
    <w:p>
      <w:pPr>
        <w:pStyle w:val="ListBullet"/>
      </w:pPr>
      <w:r/>
      <w:r>
        <w:rPr>
          <w:b/>
        </w:rPr>
        <w:t>Effet dose-dépendant biphasique</w:t>
      </w:r>
      <w:r>
        <w:t xml:space="preserve"> : ne pas confondre faible dose (antidépressogène — prise le matin) et forte dose (antipsychotique — prise 2 fois par jour) — risque d'erreur thérapeutique.</w:t>
      </w:r>
    </w:p>
    <w:p>
      <w:pPr>
        <w:pStyle w:val="ListBullet"/>
      </w:pPr>
      <w:r/>
      <w:r>
        <w:rPr>
          <w:b/>
        </w:rPr>
        <w:t>Adaptation posologique en cas d'insuffisance rénale</w:t>
      </w:r>
      <w:r>
        <w:t xml:space="preserve"> : élimination rénale dominante — risque d'accumulation et de surdosage si IR non détectée.</w:t>
      </w:r>
    </w:p>
    <w:p>
      <w:pPr>
        <w:pStyle w:val="ListBullet"/>
      </w:pPr>
      <w:r/>
      <w:r>
        <w:rPr>
          <w:b/>
        </w:rPr>
        <w:t>CI absolue avec lévodopa/agonistes dopaminergiques</w:t>
      </w:r>
      <w:r>
        <w:t>.</w:t>
      </w:r>
    </w:p>
    <w:p>
      <w:pPr>
        <w:pStyle w:val="ListBullet"/>
      </w:pPr>
      <w:r/>
      <w:r>
        <w:rPr>
          <w:b/>
        </w:rPr>
        <w:t>CI absolue avec allongeurs de QT</w:t>
      </w:r>
      <w:r>
        <w:t>.</w:t>
      </w:r>
    </w:p>
    <w:p>
      <w:pPr>
        <w:pStyle w:val="ListBullet"/>
      </w:pPr>
      <w:r/>
      <w:r>
        <w:rPr>
          <w:b/>
        </w:rPr>
        <w:t>Maladie de Parkinson / Démence à corps de Lewy</w:t>
      </w:r>
      <w:r>
        <w:t xml:space="preserve"> — CI absolue.</w:t>
      </w:r>
    </w:p>
    <w:p>
      <w:pPr>
        <w:pStyle w:val="ListBullet"/>
      </w:pPr>
      <w:r/>
      <w:r>
        <w:rPr>
          <w:b/>
        </w:rPr>
        <w:t>Tumeur prolactine-dépendante</w:t>
      </w:r>
      <w:r>
        <w:t xml:space="preserve"> (prolactinome, cancer du sein hormonodépendant) — CI relative.</w:t>
      </w:r>
    </w:p>
    <w:p>
      <w:pPr>
        <w:pStyle w:val="ListBullet"/>
      </w:pPr>
      <w:r/>
      <w:r>
        <w:rPr>
          <w:b/>
        </w:rPr>
        <w:t>Absence de solution buvable en Algérie</w:t>
      </w:r>
      <w:r>
        <w:t xml:space="preserve"> : en cas de difficulté à avaler les comprimés (sujet âgé, pédiatrie), orienter vers le sulpiride solution buvable 0,5 %.</w:t>
      </w:r>
    </w:p>
    <w:p>
      <w:pPr>
        <w:pStyle w:val="ListBullet"/>
      </w:pPr>
      <w:r>
        <w:t>Règle de prise : pendant ou en dehors des repas, prise du matin privilégiée pour faible dose, 2 prises pour forte dose, hydratation, éviter l'alcool.</w:t>
      </w:r>
    </w:p>
    <w:p>
      <w:pPr>
        <w:pStyle w:val="ListBullet"/>
      </w:pPr>
      <w:r>
        <w:t>Préparation et Conservation : comprimés à température ambiante &lt; 25 °C, à l'abri de l'humidité et de la lumière.</w:t>
      </w:r>
    </w:p>
    <w:p>
      <w:pPr>
        <w:pStyle w:val="ListBullet"/>
      </w:pPr>
      <w:r>
        <w:t xml:space="preserve">Piège du surdosage / Substitution : surdosage symptomatique en réanimation (EPS majeurs, hypotension, allongement QT). </w:t>
      </w:r>
      <w:r>
        <w:rPr>
          <w:b/>
        </w:rPr>
        <w:t>Substitution amisulpride → sulpiride</w:t>
      </w:r>
      <w:r>
        <w:t xml:space="preserve"> : équivalence approximative (amisulpride 100 mg ≈ sulpiride 200 mg — le sulpiride est environ 2 fois moins puissant par mg en raison d'une biodisponibilité orale moindre).</w:t>
      </w:r>
    </w:p>
    <w:p>
      <w:pPr>
        <w:pStyle w:val="Heading2"/>
      </w:pPr>
      <w:r>
        <w:t>12. Tableau comparatif synthétique des 8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 chimique</w:t>
            </w:r>
          </w:p>
        </w:tc>
        <w:tc>
          <w:tcPr>
            <w:tcW w:type="dxa" w:w="1336"/>
          </w:tcPr>
          <w:p>
            <w:r>
              <w:rPr>
                <w:b/>
                <w:sz w:val="20"/>
              </w:rPr>
              <w:t>Mécanisme principal</w:t>
            </w:r>
          </w:p>
        </w:tc>
        <w:tc>
          <w:tcPr>
            <w:tcW w:type="dxa" w:w="1336"/>
          </w:tcPr>
          <w:p>
            <w:r>
              <w:rPr>
                <w:b/>
                <w:sz w:val="20"/>
              </w:rPr>
              <w:t>Posologie standard adulte (per os)</w:t>
            </w:r>
          </w:p>
        </w:tc>
        <w:tc>
          <w:tcPr>
            <w:tcW w:type="dxa" w:w="1336"/>
          </w:tcPr>
          <w:p>
            <w:r>
              <w:rPr>
                <w:b/>
                <w:sz w:val="20"/>
              </w:rPr>
              <w:t>EI majeur</w:t>
            </w:r>
          </w:p>
        </w:tc>
        <w:tc>
          <w:tcPr>
            <w:tcW w:type="dxa" w:w="1336"/>
          </w:tcPr>
          <w:p>
            <w:r>
              <w:rPr>
                <w:b/>
                <w:sz w:val="20"/>
              </w:rPr>
              <w:t>CI majeure</w:t>
            </w:r>
          </w:p>
        </w:tc>
        <w:tc>
          <w:tcPr>
            <w:tcW w:type="dxa" w:w="1336"/>
          </w:tcPr>
          <w:p>
            <w:r>
              <w:rPr>
                <w:b/>
                <w:sz w:val="20"/>
              </w:rPr>
              <w:t>Grossesse / Allaitement (CRAT)</w:t>
            </w:r>
          </w:p>
        </w:tc>
      </w:tr>
      <w:tr>
        <w:tc>
          <w:tcPr>
            <w:tcW w:type="dxa" w:w="1336"/>
          </w:tcPr>
          <w:p>
            <w:r>
              <w:rPr>
                <w:sz w:val="20"/>
              </w:rPr>
              <w:t>**Halopéridol**</w:t>
            </w:r>
          </w:p>
        </w:tc>
        <w:tc>
          <w:tcPr>
            <w:tcW w:type="dxa" w:w="1336"/>
          </w:tcPr>
          <w:p>
            <w:r>
              <w:rPr>
                <w:sz w:val="20"/>
              </w:rPr>
              <w:t>Butyrophénone</w:t>
            </w:r>
          </w:p>
        </w:tc>
        <w:tc>
          <w:tcPr>
            <w:tcW w:type="dxa" w:w="1336"/>
          </w:tcPr>
          <w:p>
            <w:r>
              <w:rPr>
                <w:sz w:val="20"/>
              </w:rPr>
              <w:t>Antagoniste D2 haute affinité (Ki ≈ 1-2 nM), faible α1/H1/M1</w:t>
            </w:r>
          </w:p>
        </w:tc>
        <w:tc>
          <w:tcPr>
            <w:tcW w:type="dxa" w:w="1336"/>
          </w:tcPr>
          <w:p>
            <w:r>
              <w:rPr>
                <w:sz w:val="20"/>
              </w:rPr>
              <w:t>5-15 mg/j (forme orale gouttes 2 mg/mL) ; 5-10 mg IM aigu ; 50-200 mg/mois decanoate LP IM</w:t>
            </w:r>
          </w:p>
        </w:tc>
        <w:tc>
          <w:tcPr>
            <w:tcW w:type="dxa" w:w="1336"/>
          </w:tcPr>
          <w:p>
            <w:r>
              <w:rPr>
                <w:sz w:val="20"/>
              </w:rPr>
              <w:t>EPS majeurs (akathisie 30-50 %, parkinsonisme 20-40 %, dyskinésie tardive 5 %/an), SMN, allongement QT modéré</w:t>
            </w:r>
          </w:p>
        </w:tc>
        <w:tc>
          <w:tcPr>
            <w:tcW w:type="dxa" w:w="1336"/>
          </w:tcPr>
          <w:p>
            <w:r>
              <w:rPr>
                <w:sz w:val="20"/>
              </w:rPr>
              <w:t>Maladie de Parkinson, démence à corps de Lewy, allongement QT préexistant, association allongeurs QT, association lévodopa/agonistes dopaminergiques</w:t>
            </w:r>
          </w:p>
        </w:tc>
        <w:tc>
          <w:tcPr>
            <w:tcW w:type="dxa" w:w="1336"/>
          </w:tcPr>
          <w:p>
            <w:r>
              <w:rPr>
                <w:sz w:val="20"/>
              </w:rPr>
              <w:t>Grossesse : OK à dose minimale (recul important, CRAT). Allaitement : compatible à dose standard</w:t>
            </w:r>
          </w:p>
        </w:tc>
      </w:tr>
      <w:tr>
        <w:tc>
          <w:tcPr>
            <w:tcW w:type="dxa" w:w="1336"/>
          </w:tcPr>
          <w:p>
            <w:r>
              <w:rPr>
                <w:sz w:val="20"/>
              </w:rPr>
              <w:t>**Chlorpromazine**</w:t>
            </w:r>
          </w:p>
        </w:tc>
        <w:tc>
          <w:tcPr>
            <w:tcW w:type="dxa" w:w="1336"/>
          </w:tcPr>
          <w:p>
            <w:r>
              <w:rPr>
                <w:sz w:val="20"/>
              </w:rPr>
              <w:t>Phénothiazine aliphatique</w:t>
            </w:r>
          </w:p>
        </w:tc>
        <w:tc>
          <w:tcPr>
            <w:tcW w:type="dxa" w:w="1336"/>
          </w:tcPr>
          <w:p>
            <w:r>
              <w:rPr>
                <w:sz w:val="20"/>
              </w:rPr>
              <w:t>Antagoniste plurirécepteur D2, α1, H1, M1, 5-HT2A/2C</w:t>
            </w:r>
          </w:p>
        </w:tc>
        <w:tc>
          <w:tcPr>
            <w:tcW w:type="dxa" w:w="1336"/>
          </w:tcPr>
          <w:p>
            <w:r>
              <w:rPr>
                <w:sz w:val="20"/>
              </w:rPr>
              <w:t>75-300 mg/j (comprimé 100 mg, solution buvable 4 % gttes)</w:t>
            </w:r>
          </w:p>
        </w:tc>
        <w:tc>
          <w:tcPr>
            <w:tcW w:type="dxa" w:w="1336"/>
          </w:tcPr>
          <w:p>
            <w:r>
              <w:rPr>
                <w:sz w:val="20"/>
              </w:rPr>
              <w:t>Sédation ++, hypotension orthostatique ++, photosensibilité, prise de poids, EPS modérés, SMN, allongement QT modéré</w:t>
            </w:r>
          </w:p>
        </w:tc>
        <w:tc>
          <w:tcPr>
            <w:tcW w:type="dxa" w:w="1336"/>
          </w:tcPr>
          <w:p>
            <w:r>
              <w:rPr>
                <w:sz w:val="20"/>
              </w:rPr>
              <w:t>Maladie de Parkinson, démence à corps de Lewy, glaucome angle fermé, HBP sévère, association lévodopa/allongeurs QT</w:t>
            </w:r>
          </w:p>
        </w:tc>
        <w:tc>
          <w:tcPr>
            <w:tcW w:type="dxa" w:w="1336"/>
          </w:tcPr>
          <w:p>
            <w:r>
              <w:rPr>
                <w:sz w:val="20"/>
              </w:rPr>
              <w:t>Grossesse : OK mais préférer halopéridol. Allaitement : déconseillé à dose élevée</w:t>
            </w:r>
          </w:p>
        </w:tc>
      </w:tr>
      <w:tr>
        <w:tc>
          <w:tcPr>
            <w:tcW w:type="dxa" w:w="1336"/>
          </w:tcPr>
          <w:p>
            <w:r>
              <w:rPr>
                <w:sz w:val="20"/>
              </w:rPr>
              <w:t>**Lévomépromazine**</w:t>
            </w:r>
          </w:p>
        </w:tc>
        <w:tc>
          <w:tcPr>
            <w:tcW w:type="dxa" w:w="1336"/>
          </w:tcPr>
          <w:p>
            <w:r>
              <w:rPr>
                <w:sz w:val="20"/>
              </w:rPr>
              <w:t>Phénothiazine aliphatique</w:t>
            </w:r>
          </w:p>
        </w:tc>
        <w:tc>
          <w:tcPr>
            <w:tcW w:type="dxa" w:w="1336"/>
          </w:tcPr>
          <w:p>
            <w:r>
              <w:rPr>
                <w:sz w:val="20"/>
              </w:rPr>
              <w:t>Antagoniste plurirécepteur D2, α1, H1, M1, 5-HT2A/2C (sédation profonde ++)</w:t>
            </w:r>
          </w:p>
        </w:tc>
        <w:tc>
          <w:tcPr>
            <w:tcW w:type="dxa" w:w="1336"/>
          </w:tcPr>
          <w:p>
            <w:r>
              <w:rPr>
                <w:sz w:val="20"/>
              </w:rPr>
              <w:t>25-200 mg/j (comprimés 25 et 100 mg, solution buvable 4 % gttes)</w:t>
            </w:r>
          </w:p>
        </w:tc>
        <w:tc>
          <w:tcPr>
            <w:tcW w:type="dxa" w:w="1336"/>
          </w:tcPr>
          <w:p>
            <w:r>
              <w:rPr>
                <w:sz w:val="20"/>
              </w:rPr>
              <w:t>Sédation profonde ++, hypotension ++, hypothermie ++, antalgie centrale</w:t>
            </w:r>
          </w:p>
        </w:tc>
        <w:tc>
          <w:tcPr>
            <w:tcW w:type="dxa" w:w="1336"/>
          </w:tcPr>
          <w:p>
            <w:r>
              <w:rPr>
                <w:sz w:val="20"/>
              </w:rPr>
              <w:t>Identiques à chlorpromazine</w:t>
            </w:r>
          </w:p>
        </w:tc>
        <w:tc>
          <w:tcPr>
            <w:tcW w:type="dxa" w:w="1336"/>
          </w:tcPr>
          <w:p>
            <w:r>
              <w:rPr>
                <w:sz w:val="20"/>
              </w:rPr>
              <w:t>Grossesse : préférer halopéridol. Allaitement : déconseillé</w:t>
            </w:r>
          </w:p>
        </w:tc>
      </w:tr>
      <w:tr>
        <w:tc>
          <w:tcPr>
            <w:tcW w:type="dxa" w:w="1336"/>
          </w:tcPr>
          <w:p>
            <w:r>
              <w:rPr>
                <w:sz w:val="20"/>
              </w:rPr>
              <w:t>**Fluphénazine**</w:t>
            </w:r>
          </w:p>
        </w:tc>
        <w:tc>
          <w:tcPr>
            <w:tcW w:type="dxa" w:w="1336"/>
          </w:tcPr>
          <w:p>
            <w:r>
              <w:rPr>
                <w:sz w:val="20"/>
              </w:rPr>
              <w:t>Phénothiazine pipérazinée</w:t>
            </w:r>
          </w:p>
        </w:tc>
        <w:tc>
          <w:tcPr>
            <w:tcW w:type="dxa" w:w="1336"/>
          </w:tcPr>
          <w:p>
            <w:r>
              <w:rPr>
                <w:sz w:val="20"/>
              </w:rPr>
              <w:t>Antagoniste D2 très haute affinité (Ki ≈ 0,5-2 nM), faible α1/H1/M1</w:t>
            </w:r>
          </w:p>
        </w:tc>
        <w:tc>
          <w:tcPr>
            <w:tcW w:type="dxa" w:w="1336"/>
          </w:tcPr>
          <w:p>
            <w:r>
              <w:rPr>
                <w:sz w:val="20"/>
              </w:rPr>
              <w:t>2,5-15 mg/j (forme orale retirée en Algérie) ; 25 mg/mois decanoate LP IM (retiré en Algérie)</w:t>
            </w:r>
          </w:p>
        </w:tc>
        <w:tc>
          <w:tcPr>
            <w:tcW w:type="dxa" w:w="1336"/>
          </w:tcPr>
          <w:p>
            <w:r>
              <w:rPr>
                <w:sz w:val="20"/>
              </w:rPr>
              <w:t>EPS majeurs (akathisie 40-60 %, parkinsonisme 30-50 %, dyskinésie tardive 7-10 %/an), SMN, allongement QT modéré</w:t>
            </w:r>
          </w:p>
        </w:tc>
        <w:tc>
          <w:tcPr>
            <w:tcW w:type="dxa" w:w="1336"/>
          </w:tcPr>
          <w:p>
            <w:r>
              <w:rPr>
                <w:sz w:val="20"/>
              </w:rPr>
              <w:t>Identiques à halopéridol — maladie de Parkinson, démence à corps de Lewy, association lévodopa/allongeurs QT</w:t>
            </w:r>
          </w:p>
        </w:tc>
        <w:tc>
          <w:tcPr>
            <w:tcW w:type="dxa" w:w="1336"/>
          </w:tcPr>
          <w:p>
            <w:r>
              <w:rPr>
                <w:sz w:val="20"/>
              </w:rPr>
              <w:t>Grossesse : préférer halopéridol. Allaitement : compatible à dose standard</w:t>
            </w:r>
          </w:p>
        </w:tc>
      </w:tr>
      <w:tr>
        <w:tc>
          <w:tcPr>
            <w:tcW w:type="dxa" w:w="1336"/>
          </w:tcPr>
          <w:p>
            <w:r>
              <w:rPr>
                <w:sz w:val="20"/>
              </w:rPr>
              <w:t>**Trifluopérazine**</w:t>
            </w:r>
          </w:p>
        </w:tc>
        <w:tc>
          <w:tcPr>
            <w:tcW w:type="dxa" w:w="1336"/>
          </w:tcPr>
          <w:p>
            <w:r>
              <w:rPr>
                <w:sz w:val="20"/>
              </w:rPr>
              <w:t>Phénothiazine pipérazinée</w:t>
            </w:r>
          </w:p>
        </w:tc>
        <w:tc>
          <w:tcPr>
            <w:tcW w:type="dxa" w:w="1336"/>
          </w:tcPr>
          <w:p>
            <w:r>
              <w:rPr>
                <w:sz w:val="20"/>
              </w:rPr>
              <w:t>Antagoniste D2 très haute affinité (Ki ≈ 0,5-2 nM), faible α1/H1/M1</w:t>
            </w:r>
          </w:p>
        </w:tc>
        <w:tc>
          <w:tcPr>
            <w:tcW w:type="dxa" w:w="1336"/>
          </w:tcPr>
          <w:p>
            <w:r>
              <w:rPr>
                <w:sz w:val="20"/>
              </w:rPr>
              <w:t>5-20 mg/j (forme retirée du marché algérien)</w:t>
            </w:r>
          </w:p>
        </w:tc>
        <w:tc>
          <w:tcPr>
            <w:tcW w:type="dxa" w:w="1336"/>
          </w:tcPr>
          <w:p>
            <w:r>
              <w:rPr>
                <w:sz w:val="20"/>
              </w:rPr>
              <w:t>Identiques à fluphénazine</w:t>
            </w:r>
          </w:p>
        </w:tc>
        <w:tc>
          <w:tcPr>
            <w:tcW w:type="dxa" w:w="1336"/>
          </w:tcPr>
          <w:p>
            <w:r>
              <w:rPr>
                <w:sz w:val="20"/>
              </w:rPr>
              <w:t>Identiques à halopéridol</w:t>
            </w:r>
          </w:p>
        </w:tc>
        <w:tc>
          <w:tcPr>
            <w:tcW w:type="dxa" w:w="1336"/>
          </w:tcPr>
          <w:p>
            <w:r>
              <w:rPr>
                <w:sz w:val="20"/>
              </w:rPr>
              <w:t>Identiques à fluphénazine</w:t>
            </w:r>
          </w:p>
        </w:tc>
      </w:tr>
      <w:tr>
        <w:tc>
          <w:tcPr>
            <w:tcW w:type="dxa" w:w="1336"/>
          </w:tcPr>
          <w:p>
            <w:r>
              <w:rPr>
                <w:sz w:val="20"/>
              </w:rPr>
              <w:t>**Thioridazine**</w:t>
            </w:r>
          </w:p>
        </w:tc>
        <w:tc>
          <w:tcPr>
            <w:tcW w:type="dxa" w:w="1336"/>
          </w:tcPr>
          <w:p>
            <w:r>
              <w:rPr>
                <w:sz w:val="20"/>
              </w:rPr>
              <w:t>Phénothiazine pipéridinée</w:t>
            </w:r>
          </w:p>
        </w:tc>
        <w:tc>
          <w:tcPr>
            <w:tcW w:type="dxa" w:w="1336"/>
          </w:tcPr>
          <w:p>
            <w:r>
              <w:rPr>
                <w:sz w:val="20"/>
              </w:rPr>
              <w:t>Antagoniste plurirécepteur D2, α1, H1, M1 + métabolite sulfone cardiotoxique (blocage hERG Kv11.1 IC50 ≈ 50 nM)</w:t>
            </w:r>
          </w:p>
        </w:tc>
        <w:tc>
          <w:tcPr>
            <w:tcW w:type="dxa" w:w="1336"/>
          </w:tcPr>
          <w:p>
            <w:r>
              <w:rPr>
                <w:sz w:val="20"/>
              </w:rPr>
              <w:t>50-300 mg/j (max 300 mg/j — FDA 2000) — **forme retirée du marché algérien et mondial**</w:t>
            </w:r>
          </w:p>
        </w:tc>
        <w:tc>
          <w:tcPr>
            <w:tcW w:type="dxa" w:w="1336"/>
          </w:tcPr>
          <w:p>
            <w:r>
              <w:rPr>
                <w:sz w:val="20"/>
              </w:rPr>
              <w:t>**Allongement QT majeur**, **TdP**, **mort subite** (× 3-6), sédation ++, rétinite pigmentaire au long cours</w:t>
            </w:r>
          </w:p>
        </w:tc>
        <w:tc>
          <w:tcPr>
            <w:tcW w:type="dxa" w:w="1336"/>
          </w:tcPr>
          <w:p>
            <w:r>
              <w:rPr>
                <w:sz w:val="20"/>
              </w:rPr>
              <w:t>Allongement QT préexistant, association allongeurs QT, association inhibiteurs CYP2D6, hypokaliémie/hypomagnésémie, association lévodopa/allongeurs QT</w:t>
            </w:r>
          </w:p>
        </w:tc>
        <w:tc>
          <w:tcPr>
            <w:tcW w:type="dxa" w:w="1336"/>
          </w:tcPr>
          <w:p>
            <w:r>
              <w:rPr>
                <w:sz w:val="20"/>
              </w:rPr>
              <w:t>Grossesse : contre-indiquée (cardiotoxicité). Allaitement : déconseillé</w:t>
            </w:r>
          </w:p>
        </w:tc>
      </w:tr>
      <w:tr>
        <w:tc>
          <w:tcPr>
            <w:tcW w:type="dxa" w:w="1336"/>
          </w:tcPr>
          <w:p>
            <w:r>
              <w:rPr>
                <w:sz w:val="20"/>
              </w:rPr>
              <w:t>**Sulpiride**</w:t>
            </w:r>
          </w:p>
        </w:tc>
        <w:tc>
          <w:tcPr>
            <w:tcW w:type="dxa" w:w="1336"/>
          </w:tcPr>
          <w:p>
            <w:r>
              <w:rPr>
                <w:sz w:val="20"/>
              </w:rPr>
              <w:t>Benzamide substitué</w:t>
            </w:r>
          </w:p>
        </w:tc>
        <w:tc>
          <w:tcPr>
            <w:tcW w:type="dxa" w:w="1336"/>
          </w:tcPr>
          <w:p>
            <w:r>
              <w:rPr>
                <w:sz w:val="20"/>
              </w:rPr>
              <w:t>Antagoniste sélectif D2/D3 (Ki D2 ≈ 20-50 nM), privilège limbique, effet biphasique dose-dépendant</w:t>
            </w:r>
          </w:p>
        </w:tc>
        <w:tc>
          <w:tcPr>
            <w:tcW w:type="dxa" w:w="1336"/>
          </w:tcPr>
          <w:p>
            <w:r>
              <w:rPr>
                <w:sz w:val="20"/>
              </w:rPr>
              <w:t>Faible dose : 50-200 mg/j (antidépressogène) ; forte dose : 200-1000 mg/j (antipsychotique) (gélules 50 mg, solution 0,5 %)</w:t>
            </w:r>
          </w:p>
        </w:tc>
        <w:tc>
          <w:tcPr>
            <w:tcW w:type="dxa" w:w="1336"/>
          </w:tcPr>
          <w:p>
            <w:r>
              <w:rPr>
                <w:sz w:val="20"/>
              </w:rPr>
              <w:t>**Hyperprolactinémie majeure** (60-90 % femme), EPS modérés, allongement QT modéré, SMN</w:t>
            </w:r>
          </w:p>
        </w:tc>
        <w:tc>
          <w:tcPr>
            <w:tcW w:type="dxa" w:w="1336"/>
          </w:tcPr>
          <w:p>
            <w:r>
              <w:rPr>
                <w:sz w:val="20"/>
              </w:rPr>
              <w:t>Maladie de Parkinson, démence à corps de Lewy, insuffisance rénale sévère (adaptation), tumeur prolactine-dépendante, association lévodopa/allongeurs QT</w:t>
            </w:r>
          </w:p>
        </w:tc>
        <w:tc>
          <w:tcPr>
            <w:tcW w:type="dxa" w:w="1336"/>
          </w:tcPr>
          <w:p>
            <w:r>
              <w:rPr>
                <w:sz w:val="20"/>
              </w:rPr>
              <w:t>Grossesse : préférer halopéridol. Allaitement : déconseillé (hyperprolactinémie néonatale)</w:t>
            </w:r>
          </w:p>
        </w:tc>
      </w:tr>
      <w:tr>
        <w:tc>
          <w:tcPr>
            <w:tcW w:type="dxa" w:w="1336"/>
          </w:tcPr>
          <w:p>
            <w:r>
              <w:rPr>
                <w:sz w:val="20"/>
              </w:rPr>
              <w:t>**Amisulpride**</w:t>
            </w:r>
          </w:p>
        </w:tc>
        <w:tc>
          <w:tcPr>
            <w:tcW w:type="dxa" w:w="1336"/>
          </w:tcPr>
          <w:p>
            <w:r>
              <w:rPr>
                <w:sz w:val="20"/>
              </w:rPr>
              <w:t>Benzamide substitué</w:t>
            </w:r>
          </w:p>
        </w:tc>
        <w:tc>
          <w:tcPr>
            <w:tcW w:type="dxa" w:w="1336"/>
          </w:tcPr>
          <w:p>
            <w:r>
              <w:rPr>
                <w:sz w:val="20"/>
              </w:rPr>
              <w:t>Antagoniste sélectif D2/D3 (Ki D2 ≈ 5-10 nM), privilège limbique, effet biphasique dose-dépendant</w:t>
            </w:r>
          </w:p>
        </w:tc>
        <w:tc>
          <w:tcPr>
            <w:tcW w:type="dxa" w:w="1336"/>
          </w:tcPr>
          <w:p>
            <w:r>
              <w:rPr>
                <w:sz w:val="20"/>
              </w:rPr>
              <w:t>Faible dose : 50-300 mg/j ; forte dose : 400-1200 mg/j (comprimés sécables 200 et 400 mg)</w:t>
            </w:r>
          </w:p>
        </w:tc>
        <w:tc>
          <w:tcPr>
            <w:tcW w:type="dxa" w:w="1336"/>
          </w:tcPr>
          <w:p>
            <w:r>
              <w:rPr>
                <w:sz w:val="20"/>
              </w:rPr>
              <w:t>Identiques à sulpiride — hyperprolactinémie majeure (60-90 % femme), EPS modérés, allongement QT modéré, SMN</w:t>
            </w:r>
          </w:p>
        </w:tc>
        <w:tc>
          <w:tcPr>
            <w:tcW w:type="dxa" w:w="1336"/>
          </w:tcPr>
          <w:p>
            <w:r>
              <w:rPr>
                <w:sz w:val="20"/>
              </w:rPr>
              <w:t>Identiques à sulpiride</w:t>
            </w:r>
          </w:p>
        </w:tc>
        <w:tc>
          <w:tcPr>
            <w:tcW w:type="dxa" w:w="1336"/>
          </w:tcPr>
          <w:p>
            <w:r>
              <w:rPr>
                <w:sz w:val="20"/>
              </w:rPr>
              <w:t>Identiques à sulpiride</w:t>
            </w:r>
          </w:p>
        </w:tc>
      </w:tr>
    </w:tbl>
    <w:p/>
    <w:p>
      <w:pPr>
        <w:pStyle w:val="Heading2"/>
      </w:pPr>
      <w:r>
        <w:t>13. Règles d'Or et points-clés au comptoir</w:t>
      </w:r>
    </w:p>
    <w:p>
      <w:pPr>
        <w:pStyle w:val="Heading3"/>
      </w:pPr>
      <w:r>
        <w:t>Règles d'Or absolues (à connaître par cœur)</w:t>
      </w:r>
    </w:p>
    <w:p>
      <w:pPr>
        <w:pStyle w:val="ListNumber"/>
      </w:pPr>
      <w:r/>
      <w:r>
        <w:rPr>
          <w:b/>
        </w:rPr>
        <w:t>SMN — URGENCE VITALE</w:t>
      </w:r>
      <w:r>
        <w:t xml:space="preserve"> : tout patient sous antipsychotique typique présentant une </w:t>
      </w:r>
      <w:r>
        <w:rPr>
          <w:b/>
        </w:rPr>
        <w:t>fièvre &gt; 38,5 °C + rigidité musculaire + troubles de la conscience</w:t>
      </w:r>
      <w:r>
        <w:t xml:space="preserve"> doit être </w:t>
      </w:r>
      <w:r>
        <w:rPr>
          <w:b/>
        </w:rPr>
        <w:t>orienté en urgence</w:t>
      </w:r>
      <w:r>
        <w:t xml:space="preserve"> vers les urgences (SMN — mortalité 10-20 %). </w:t>
      </w:r>
      <w:r>
        <w:rPr>
          <w:b/>
        </w:rPr>
        <w:t>Arrêt immédiat du neuroleptique</w:t>
      </w:r>
      <w:r>
        <w:t xml:space="preserve"> + réanimation + dantrolène IV + bromocriptine. Information systématique du patient et de son entourage du signe d'alerte « fièvre + raideur ».</w:t>
      </w:r>
    </w:p>
    <w:p>
      <w:pPr>
        <w:pStyle w:val="ListNumber"/>
      </w:pPr>
      <w:r/>
      <w:r>
        <w:rPr>
          <w:b/>
        </w:rPr>
        <w:t>Dyskinésie tardive — IRRÉVERSIBLE</w:t>
      </w:r>
      <w:r>
        <w:t xml:space="preserve"> : tout mouvement anormal orofacial (mastication, protrusion de la langue, smacking des lèvres) ou des membres apparaissant après plusieurs mois/années de traitement doit être signalé au psychiatre pour évaluation — potentiellement irréversible — prévention par </w:t>
      </w:r>
      <w:r>
        <w:rPr>
          <w:b/>
        </w:rPr>
        <w:t>dose minimale efficace</w:t>
      </w:r>
      <w:r>
        <w:t>.</w:t>
      </w:r>
    </w:p>
    <w:p>
      <w:pPr>
        <w:pStyle w:val="ListNumber"/>
      </w:pPr>
      <w:r/>
      <w:r>
        <w:rPr>
          <w:b/>
        </w:rPr>
        <w:t>Maladie de Parkinson / Démence à corps de Lewy — CI ABSOLUE</w:t>
      </w:r>
      <w:r>
        <w:t xml:space="preserve"> : tous les antipsychotiques typiques sont </w:t>
      </w:r>
      <w:r>
        <w:rPr>
          <w:b/>
        </w:rPr>
        <w:t>contre-indiqués</w:t>
      </w:r>
      <w:r>
        <w:t xml:space="preserve"> chez le patient parkinsonien ou porteur d'une démence à corps de Lewy (hypersensibilité extrême — risque de dégradation neurologique sévère, parfois létale). En cas de psychose parkinsonienne, </w:t>
      </w:r>
      <w:r>
        <w:rPr>
          <w:b/>
        </w:rPr>
        <w:t>privilégier la clozapine</w:t>
      </w:r>
      <w:r>
        <w:t xml:space="preserve"> (référence — pas de blocage D2 striatale) ou la </w:t>
      </w:r>
      <w:r>
        <w:rPr>
          <w:b/>
        </w:rPr>
        <w:t>quetiapine</w:t>
      </w:r>
      <w:r>
        <w:t xml:space="preserve"> (alternative — peu de blocage D2 striatale).</w:t>
      </w:r>
    </w:p>
    <w:p>
      <w:pPr>
        <w:pStyle w:val="ListNumber"/>
      </w:pPr>
      <w:r/>
      <w:r>
        <w:rPr>
          <w:b/>
        </w:rPr>
        <w:t>Association antipsychotique + lévodopa/agonistes dopaminergiques — CI ABSOLUE</w:t>
      </w:r>
      <w:r>
        <w:t xml:space="preserve"> : l'antagonisme pharmacodynamique annule l'effet antiparkinsonien et peut déclencher un syndrome akinétique sévère. Vérifier systématiquement l'ordonnance à la recherche de lévodopa, bromocriptine, pergolide, ropinirole, pramipexole, rotigotine, apomorphine.</w:t>
      </w:r>
    </w:p>
    <w:p>
      <w:pPr>
        <w:pStyle w:val="ListNumber"/>
      </w:pPr>
      <w:r/>
      <w:r>
        <w:rPr>
          <w:b/>
        </w:rPr>
        <w:t>Association antipsychotique + allongeurs de QT — CI ABSOLUE</w:t>
      </w:r>
      <w:r>
        <w:t xml:space="preserve"> : risque synergique de torsades de pointes (TdP) pouvant dégénérer en fibrillation ventriculaire et mort subite. Vérifier systématiquement l'ordonnance à la recherche d'antiarythmiques Ia/III, macrolides, fluoroquinolones, antidépresseurs tricycliques, méthadone, autres antipsychotiques. Surveillance ECG si association nécessaire.</w:t>
      </w:r>
    </w:p>
    <w:p>
      <w:pPr>
        <w:pStyle w:val="ListNumber"/>
      </w:pPr>
      <w:r/>
      <w:r>
        <w:rPr>
          <w:b/>
        </w:rPr>
        <w:t>Allongement QT — surveillance ECG systématique</w:t>
      </w:r>
      <w:r>
        <w:t xml:space="preserve"> : ECG initial, à 1 semaine, mensuel si dose élevée ou antécédent cardiaque. Surveillance kaliémie et magnésémie. </w:t>
      </w:r>
      <w:r>
        <w:rPr>
          <w:b/>
        </w:rPr>
        <w:t>Particulièrement critique avec la thioridazine</w:t>
      </w:r>
      <w:r>
        <w:t xml:space="preserve"> (retrait du marché) et l'halopéridol IV à forte dose.</w:t>
      </w:r>
    </w:p>
    <w:p>
      <w:pPr>
        <w:pStyle w:val="ListNumber"/>
      </w:pPr>
      <w:r/>
      <w:r>
        <w:rPr>
          <w:b/>
        </w:rPr>
        <w:t>Interdiction d'arrêt brutal</w:t>
      </w:r>
      <w:r>
        <w:t xml:space="preserve"> : tout antipsychotique typique doit être </w:t>
      </w:r>
      <w:r>
        <w:rPr>
          <w:b/>
        </w:rPr>
        <w:t>arrêté très progressivement</w:t>
      </w:r>
      <w:r>
        <w:t xml:space="preserve"> par paliers sur 4-8 semaines pour éviter le syndrome de sevrage (rebond psychotique, akathisie, dyskinésie émergente, troubles du sommeil, anxiété). L'arrêt brutal expose à un risque de rechute psychotique aiguë dans 50 % des cas à 6 mois.</w:t>
      </w:r>
    </w:p>
    <w:p>
      <w:pPr>
        <w:pStyle w:val="ListNumber"/>
      </w:pPr>
      <w:r/>
      <w:r>
        <w:rPr>
          <w:b/>
        </w:rPr>
        <w:t>Dose minimale efficace</w:t>
      </w:r>
      <w:r>
        <w:t xml:space="preserve"> : règle absolue pour tous les antipsychotiques typiques — la dose prescrite doit être la plus faible permettant le contrôle des symptômes. Réduire le risque EPS (akathisie, parkinsonisme, dyskinésie tardive), QT, hyperprolactinémie.</w:t>
      </w:r>
    </w:p>
    <w:p>
      <w:pPr>
        <w:pStyle w:val="ListNumber"/>
      </w:pPr>
      <w:r/>
      <w:r>
        <w:rPr>
          <w:b/>
        </w:rPr>
        <w:t>Sujet âgé — dose réduite de moitié</w:t>
      </w:r>
      <w:r>
        <w:t xml:space="preserve"> : le métabolisme hépatique et la clairance rénale diminués exposent à une augmentation des concentrations plasmatiques — réduction posologique systématique de moitié chez le sujet âgé (&gt; 65 ans), titration très lente.</w:t>
      </w:r>
    </w:p>
    <w:p>
      <w:pPr>
        <w:pStyle w:val="ListNumber"/>
      </w:pPr>
      <w:r/>
      <w:r>
        <w:rPr>
          <w:b/>
        </w:rPr>
        <w:t>Grossesse — privilégier l'halopéridol à dose minimale efficace</w:t>
      </w:r>
      <w:r>
        <w:t xml:space="preserve"> : selon le CRAT, l'halopéridol est l'antipsychotique typique ayant le </w:t>
      </w:r>
      <w:r>
        <w:rPr>
          <w:b/>
        </w:rPr>
        <w:t>recul le plus important</w:t>
      </w:r>
      <w:r>
        <w:t xml:space="preserve"> et le profil de sécurité le mieux documenté pendant la grossesse. Éviter les autres typiques sauf indication spécifique. Ne jamais arrêter brutalement un traitement en cours de grossesse.</w:t>
      </w:r>
    </w:p>
    <w:p>
      <w:pPr>
        <w:pStyle w:val="ListNumber"/>
      </w:pPr>
      <w:r/>
      <w:r>
        <w:rPr>
          <w:b/>
        </w:rPr>
        <w:t>Allaitement — généralement compatible à dose standard</w:t>
      </w:r>
      <w:r>
        <w:t xml:space="preserve"> : selon le CRAT, l'halopéridol est compatible avec l'allaitement à dose standard (passage lacté faible). Pour les autres typiques (chlorpromazine, lévomépromazine, sulpiride, amisulpride), l'allaitement est </w:t>
      </w:r>
      <w:r>
        <w:rPr>
          <w:b/>
        </w:rPr>
        <w:t>déconseillé</w:t>
      </w:r>
      <w:r>
        <w:t xml:space="preserve"> en raison du risque de sédation néonatale, hypotonie, hyperprolactinémie néonatale.</w:t>
      </w:r>
    </w:p>
    <w:p>
      <w:pPr>
        <w:pStyle w:val="ListNumber"/>
      </w:pPr>
      <w:r/>
      <w:r>
        <w:rPr>
          <w:b/>
        </w:rPr>
        <w:t>Halopéridol decanoate LP — forme essentielle</w:t>
      </w:r>
      <w:r>
        <w:t xml:space="preserve"> : le </w:t>
      </w:r>
      <w:r>
        <w:rPr>
          <w:b/>
        </w:rPr>
        <w:t>Haldol Decanoas®</w:t>
      </w:r>
      <w:r>
        <w:t xml:space="preserve"> (Janssen — 50 mg/mL IM mensuel) est la </w:t>
      </w:r>
      <w:r>
        <w:rPr>
          <w:b/>
        </w:rPr>
        <w:t>seule forme LP d'antipsychotique typique disponible en Algérie</w:t>
      </w:r>
      <w:r>
        <w:t xml:space="preserve"> — forme essentielle pour les patients non observants (50 % de schizophrènes à 1 an). Équivalence : dose mensuelle (mg) ≈ 10-15 × dose orale journalière (mg/j). Ne jamais injecter en IV.</w:t>
      </w:r>
    </w:p>
    <w:p>
      <w:pPr>
        <w:pStyle w:val="ListNumber"/>
      </w:pPr>
      <w:r/>
      <w:r>
        <w:rPr>
          <w:b/>
        </w:rPr>
        <w:t>Benzamides (sulpiride, amisulpride) — hyperprolactinémie majeure</w:t>
      </w:r>
      <w:r>
        <w:t xml:space="preserve"> : les benzamides sont les </w:t>
      </w:r>
      <w:r>
        <w:rPr>
          <w:b/>
        </w:rPr>
        <w:t>plus hyperprolactinémiants</w:t>
      </w:r>
      <w:r>
        <w:t xml:space="preserve"> de tous les antipsychotiques (incidence 60-90 % chez la femme — galactorrhée, aménorrhée, gynécomastie, troubles sexuels). Surveillance prolactinémie à 3 mois — information particulière aux femmes — switch vers aripiprazole ou quetiapine si symptomatique.</w:t>
      </w:r>
    </w:p>
    <w:p>
      <w:pPr>
        <w:pStyle w:val="ListNumber"/>
      </w:pPr>
      <w:r/>
      <w:r>
        <w:rPr>
          <w:b/>
        </w:rPr>
        <w:t>Benzamides — effet dose-dépendant biphasique</w:t>
      </w:r>
      <w:r>
        <w:t xml:space="preserve"> : ne pas confondre faible dose (50-300 mg/j — antidépressogène — prise le matin) et forte dose (400-1200 mg/j — antipsychotique — prise 2-3 fois par jour) — risque d'erreur thérapeutique.</w:t>
      </w:r>
    </w:p>
    <w:p>
      <w:pPr>
        <w:pStyle w:val="ListNumber"/>
      </w:pPr>
      <w:r/>
      <w:r>
        <w:rPr>
          <w:b/>
        </w:rPr>
        <w:t>Benzamides — adaptation posologique en cas d'insuffisance rénale</w:t>
      </w:r>
      <w:r>
        <w:t xml:space="preserve"> : élimination rénale dominante (peu de métabolisme hépatique) — risque d'accumulation et de surdosage si IR non détectée. Surveillance clairance créatinine — ClCr 30-60 mL/min : dose réduite de moitié ; ClCr 10-30 mL/min : dose réduite au quart ; ClCr &lt; 10 mL/min : CI absolue (ou dialyse).</w:t>
      </w:r>
    </w:p>
    <w:p>
      <w:pPr>
        <w:pStyle w:val="ListNumber"/>
      </w:pPr>
      <w:r/>
      <w:r>
        <w:rPr>
          <w:b/>
        </w:rPr>
        <w:t>Phénothiazines aliphatiques (chlorpromazine, lévomépromazine) — hypotension orthostatique</w:t>
      </w:r>
      <w:r>
        <w:t xml:space="preserve"> : risque majeur (10-30 %) — surtout en début de traitement, chez le sujet âgé, à dose élevée. Prévention : lever progressif, hydratation, vérifier l'absence d'association avec d'autres hypotenseurs (IEC, ARA2, diurétiques, alpha-bloquants urologiques — Chapitre 71 HBP).</w:t>
      </w:r>
    </w:p>
    <w:p>
      <w:pPr>
        <w:pStyle w:val="ListNumber"/>
      </w:pPr>
      <w:r/>
      <w:r>
        <w:rPr>
          <w:b/>
        </w:rPr>
        <w:t>Phénothiazines aliphatiques — photosensibilité</w:t>
      </w:r>
      <w:r>
        <w:t xml:space="preserve"> : protection solaire absolue (crème écran total, vêtements couvrants), pigmentation cutanée gris-bleu au long cours, surveillance ophtalmologique annuelle (dépôts pigmentaires rétiniens et cornéens).</w:t>
      </w:r>
    </w:p>
    <w:p>
      <w:pPr>
        <w:pStyle w:val="ListNumber"/>
      </w:pPr>
      <w:r/>
      <w:r>
        <w:rPr>
          <w:b/>
        </w:rPr>
        <w:t>Thioridazine — RETIRÉE DU MARCHÉ</w:t>
      </w:r>
      <w:r>
        <w:t xml:space="preserve"> : aucune nouvelle prescription ne doit être acceptée — orienter vers le prescripteur pour mise à jour thérapeutique (relais vers halopéridol ou atypique, wash-out 7-14 jours préalable en raison de la demi-vie prolongée de la thioridazine sulfone cardiotoxique).</w:t>
      </w:r>
    </w:p>
    <w:p>
      <w:pPr>
        <w:pStyle w:val="ListNumber"/>
      </w:pPr>
      <w:r/>
      <w:r>
        <w:rPr>
          <w:b/>
        </w:rPr>
        <w:t>Fluphénazine / Trifluopérazine — INDISPONIBILITÉ PARTIELLE/TOTALE EN ALGÉRIE</w:t>
      </w:r>
      <w:r>
        <w:t xml:space="preserve"> : à Avril 2026, la fluphénazine est </w:t>
      </w:r>
      <w:r>
        <w:rPr>
          <w:b/>
        </w:rPr>
        <w:t>pratiquement indisponible</w:t>
      </w:r>
      <w:r>
        <w:t xml:space="preserve"> (forme orale retirée, decanoate LP retiré — seule PROLINATE Sun Pharma solution injectable IM 25 mg/mL persiste — usage hospitalier) ; la trifluopérazine est </w:t>
      </w:r>
      <w:r>
        <w:rPr>
          <w:b/>
        </w:rPr>
        <w:t>totalement retirée du marché algérien</w:t>
      </w:r>
      <w:r>
        <w:t xml:space="preserve">. Les patients doivent être </w:t>
      </w:r>
      <w:r>
        <w:rPr>
          <w:b/>
        </w:rPr>
        <w:t>relayés vers l'halopéridol decanoate LP</w:t>
      </w:r>
      <w:r>
        <w:t xml:space="preserve"> (Haldol Decanoas® — disponible) ou un atypique, sous surveillance psychiatrique étroite — prévoir un chevauchement progressif sur 2-4 semaines.</w:t>
      </w:r>
    </w:p>
    <w:p>
      <w:pPr>
        <w:pStyle w:val="ListNumber"/>
      </w:pPr>
      <w:r/>
      <w:r>
        <w:rPr>
          <w:b/>
        </w:rPr>
        <w:t>Adrénaline déconseillée en cas d'hypotension sous antipsychotique</w:t>
      </w:r>
      <w:r>
        <w:t xml:space="preserve"> : en raison du blocage α1 par les phénothiazines (et accessoirement l'halopéridol), l'adrénaline peut avoir un </w:t>
      </w:r>
      <w:r>
        <w:rPr>
          <w:b/>
        </w:rPr>
        <w:t>effet vasodilatateur paradoxal</w:t>
      </w:r>
      <w:r>
        <w:t xml:space="preserve"> (blocage α1 prédominant → effet β2 vasodilatateur) — </w:t>
      </w:r>
      <w:r>
        <w:rPr>
          <w:b/>
        </w:rPr>
        <w:t>préférer la noradrénaline</w:t>
      </w:r>
      <w:r>
        <w:t xml:space="preserve"> en cas d'hypotension sévère.</w:t>
      </w:r>
    </w:p>
    <w:p>
      <w:pPr>
        <w:pStyle w:val="Heading2"/>
      </w:pPr>
      <w:r>
        <w:t>14. Pièges majeurs à l'officine algérienne</w:t>
      </w:r>
    </w:p>
    <w:p>
      <w:pPr>
        <w:pStyle w:val="Heading3"/>
      </w:pPr>
      <w:r>
        <w:t>Pièges liés à la disponibilité des molécules en Algérie</w:t>
      </w:r>
    </w:p>
    <w:p>
      <w:pPr>
        <w:pStyle w:val="ListNumber"/>
      </w:pPr>
      <w:r/>
      <w:r>
        <w:rPr>
          <w:b/>
        </w:rPr>
        <w:t>Trifluopérazine indisponible</w:t>
      </w:r>
      <w:r>
        <w:t xml:space="preserve"> : toute prescription de trifluopérazine (Terfluzine®) doit être signalée au prescripteur pour </w:t>
      </w:r>
      <w:r>
        <w:rPr>
          <w:b/>
        </w:rPr>
        <w:t>relais thérapeutique</w:t>
      </w:r>
      <w:r>
        <w:t xml:space="preserve"> vers l'halopéridol ou un atypique. Équivalence : trifluopérazine 10 mg ≈ halopéridol 5 mg.</w:t>
      </w:r>
    </w:p>
    <w:p>
      <w:pPr>
        <w:pStyle w:val="ListNumber"/>
      </w:pPr>
      <w:r/>
      <w:r>
        <w:rPr>
          <w:b/>
        </w:rPr>
        <w:t>Thioridazine retirée</w:t>
      </w:r>
      <w:r>
        <w:t xml:space="preserve"> : aucune nouvelle délivrance — orienter vers le prescripteur pour </w:t>
      </w:r>
      <w:r>
        <w:rPr>
          <w:b/>
        </w:rPr>
        <w:t>mise à jour thérapeutique</w:t>
      </w:r>
      <w:r>
        <w:t xml:space="preserve">. Prévoir un </w:t>
      </w:r>
      <w:r>
        <w:rPr>
          <w:b/>
        </w:rPr>
        <w:t>wash-out de 7-14 jours</w:t>
      </w:r>
      <w:r>
        <w:t xml:space="preserve"> avant l'introduction du nouvel antipsychotique (demi-vie prolongée de la thioridazine sulfone — 6-12 jours — risque synergique de TdP en cas d'association transitoire).</w:t>
      </w:r>
    </w:p>
    <w:p>
      <w:pPr>
        <w:pStyle w:val="ListNumber"/>
      </w:pPr>
      <w:r/>
      <w:r>
        <w:rPr>
          <w:b/>
        </w:rPr>
        <w:t>Fluphénazine orale retirée</w:t>
      </w:r>
      <w:r>
        <w:t xml:space="preserve"> : orienter vers l'halopéridol per os (solution buvable 2 mg/mL — disponible). Équivalence : fluphénazine 5 mg/j ≈ halopéridol 5 mg/j.</w:t>
      </w:r>
    </w:p>
    <w:p>
      <w:pPr>
        <w:pStyle w:val="ListNumber"/>
      </w:pPr>
      <w:r/>
      <w:r>
        <w:rPr>
          <w:b/>
        </w:rPr>
        <w:t>Fluphénazine decanoate LP retiré (Modecate®)</w:t>
      </w:r>
      <w:r>
        <w:t xml:space="preserve"> : orienter vers l'halopéridol decanoate LP (Haldol Decanoas® 50 mg/mL — disponible). Équivalence approximative : fluphénazine decanoate 25 mg/mois ≈ halopéridol decanoate 50-75 mg/mois.</w:t>
      </w:r>
    </w:p>
    <w:p>
      <w:pPr>
        <w:pStyle w:val="ListNumber"/>
      </w:pPr>
      <w:r/>
      <w:r>
        <w:rPr>
          <w:b/>
        </w:rPr>
        <w:t>Anomalie de dosage MODITEN (fluphénazine)</w:t>
      </w:r>
      <w:r>
        <w:t xml:space="preserve"> : les dosages 25 mg et 100 mg indiqués dans la nomenclature algérienne sont </w:t>
      </w:r>
      <w:r>
        <w:rPr>
          <w:b/>
        </w:rPr>
        <w:t>anormalement élevés</w:t>
      </w:r>
      <w:r>
        <w:t xml:space="preserve"> par rapport aux dosages internationaux standard (1, 2,5, 5 mg en France). Le pharmacien doit se référer au RCP international pour la posologie standard (2,5-15 mg/j) et contacter le prescripteur en cas de doute.</w:t>
      </w:r>
    </w:p>
    <w:p>
      <w:pPr>
        <w:pStyle w:val="ListNumber"/>
      </w:pPr>
      <w:r/>
      <w:r>
        <w:rPr>
          <w:b/>
        </w:rPr>
        <w:t>Forme comprimé chlorpromazine</w:t>
      </w:r>
      <w:r>
        <w:t xml:space="preserve"> : disponible sous 3 marques actives (LARGACTIL, DORMAZINE, LARGAMED 100, PROMAZ) — bien vérifier le dosage (100 mg) et la forme (comprimé pelliculé sécable ou dragée).</w:t>
      </w:r>
    </w:p>
    <w:p>
      <w:pPr>
        <w:pStyle w:val="ListNumber"/>
      </w:pPr>
      <w:r/>
      <w:r>
        <w:rPr>
          <w:b/>
        </w:rPr>
        <w:t>Solution buvable chlorpromazine/lévomépromazine à 4 %</w:t>
      </w:r>
      <w:r>
        <w:t xml:space="preserve"> : équivalence 1 mL = 40 mg, 1 goutte ≈ 1,6 mg — attention à la </w:t>
      </w:r>
      <w:r>
        <w:rPr>
          <w:b/>
        </w:rPr>
        <w:t>conversion gouttes ↔ mg</w:t>
      </w:r>
      <w:r>
        <w:t xml:space="preserve"> (erreur fréquente au comptoir). Toujours vérifier la prescription et le nombre de gouttes.</w:t>
      </w:r>
    </w:p>
    <w:p>
      <w:pPr>
        <w:pStyle w:val="ListNumber"/>
      </w:pPr>
      <w:r/>
      <w:r>
        <w:rPr>
          <w:b/>
        </w:rPr>
        <w:t>Solution buvable halopéridol 2 mg/mL</w:t>
      </w:r>
      <w:r>
        <w:t xml:space="preserve"> : 1 mL = 20 gouttes = 2 mg, 1 goutte = 0,1 mg — erreur fréquente : confondre gouttes et mL.</w:t>
      </w:r>
    </w:p>
    <w:p>
      <w:pPr>
        <w:pStyle w:val="ListNumber"/>
      </w:pPr>
      <w:r/>
      <w:r>
        <w:rPr>
          <w:b/>
        </w:rPr>
        <w:t>Sulpiride solution buvable 0,5 %</w:t>
      </w:r>
      <w:r>
        <w:t xml:space="preserve"> : 5 mg/mL ; 1 cuillère à café (5 mL) = 25 mg ; 1 cuillère à soupe (15 mL) = 75 mg. Bien vérifier la posologie prescrite (50-100 mg/j pour troubles dépressifs/dyspepsie ; 200-1000 mg/j pour schizophrénie).</w:t>
      </w:r>
    </w:p>
    <w:p>
      <w:pPr>
        <w:pStyle w:val="ListNumber"/>
      </w:pPr>
      <w:r/>
      <w:r>
        <w:rPr>
          <w:b/>
        </w:rPr>
        <w:t>Forme comprimé sulpiride 200 mg retirée</w:t>
      </w:r>
      <w:r>
        <w:t xml:space="preserve"> (SULPIRIDE LPA) : orienter vers la solution buvable 0,5 % (8 cuillères à café = 200 mg) ou l'amisulpride comprimé 200 mg.</w:t>
      </w:r>
    </w:p>
    <w:p>
      <w:pPr>
        <w:pStyle w:val="Heading3"/>
      </w:pPr>
      <w:r>
        <w:t>Pièges cliniques majeurs</w:t>
      </w:r>
    </w:p>
    <w:p>
      <w:pPr>
        <w:pStyle w:val="ListNumber"/>
      </w:pPr>
      <w:r/>
      <w:r>
        <w:rPr>
          <w:b/>
        </w:rPr>
        <w:t>SMN méconnu</w:t>
      </w:r>
      <w:r>
        <w:t xml:space="preserve"> : tout patient présentant une </w:t>
      </w:r>
      <w:r>
        <w:rPr>
          <w:b/>
        </w:rPr>
        <w:t>fièvre inexpliquée + rigidité musculaire</w:t>
      </w:r>
      <w:r>
        <w:t xml:space="preserve"> sous antipsychotique doit être orienté en urgence. </w:t>
      </w:r>
      <w:r>
        <w:rPr>
          <w:b/>
        </w:rPr>
        <w:t>Information systématique du patient et de son entourage</w:t>
      </w:r>
      <w:r>
        <w:t xml:space="preserve"> du signe d'alerte.</w:t>
      </w:r>
    </w:p>
    <w:p>
      <w:pPr>
        <w:pStyle w:val="ListNumber"/>
      </w:pPr>
      <w:r/>
      <w:r>
        <w:rPr>
          <w:b/>
        </w:rPr>
        <w:t>Dystonie aiguë chez le sujet jeune homme</w:t>
      </w:r>
      <w:r>
        <w:t xml:space="preserve"> : crise oculogyre, torticolis spasmodique, opisthotonos dans les premiers jours de traitement — </w:t>
      </w:r>
      <w:r>
        <w:rPr>
          <w:b/>
        </w:rPr>
        <w:t>urgence thérapeutique</w:t>
      </w:r>
      <w:r>
        <w:t xml:space="preserve"> — bipéridène IM/IV 5 mg.</w:t>
      </w:r>
    </w:p>
    <w:p>
      <w:pPr>
        <w:pStyle w:val="ListNumber"/>
      </w:pPr>
      <w:r/>
      <w:r>
        <w:rPr>
          <w:b/>
        </w:rPr>
        <w:t>Akathisie initiale</w:t>
      </w:r>
      <w:r>
        <w:t xml:space="preserve"> : impatience motrice dans les premières heures à jours de traitement — souvent confondue avec agitation psychotique majorée — </w:t>
      </w:r>
      <w:r>
        <w:rPr>
          <w:b/>
        </w:rPr>
        <w:t>ne pas augmenter la dose</w:t>
      </w:r>
      <w:r>
        <w:t xml:space="preserve"> mais </w:t>
      </w:r>
      <w:r>
        <w:rPr>
          <w:b/>
        </w:rPr>
        <w:t>réduire</w:t>
      </w:r>
      <w:r>
        <w:t xml:space="preserve"> ou ajouter propranolol/lorazépam.</w:t>
      </w:r>
    </w:p>
    <w:p>
      <w:pPr>
        <w:pStyle w:val="ListNumber"/>
      </w:pPr>
      <w:r/>
      <w:r>
        <w:rPr>
          <w:b/>
        </w:rPr>
        <w:t>Hyperprolactinémie sous benzamides</w:t>
      </w:r>
      <w:r>
        <w:t xml:space="preserve"> : galactorrhée, aménorrhée, gynécomastie, troubles sexuels — </w:t>
      </w:r>
      <w:r>
        <w:rPr>
          <w:b/>
        </w:rPr>
        <w:t>information particulière aux femmes</w:t>
      </w:r>
      <w:r>
        <w:t xml:space="preserve"> sous sulpiride ou amisulpride — surveillance prolactinémie à 3 mois.</w:t>
      </w:r>
    </w:p>
    <w:p>
      <w:pPr>
        <w:pStyle w:val="ListNumber"/>
      </w:pPr>
      <w:r/>
      <w:r>
        <w:rPr>
          <w:b/>
        </w:rPr>
        <w:t>Hypotension orthostatique du sujet âgé</w:t>
      </w:r>
      <w:r>
        <w:t xml:space="preserve"> : risque majeur de chute (fracture du col fémoral) — surtout avec phénothiazines aliphatiques — prévention par lever progressif, hydratation, vérifier l'absence d'association avec d'autres hypotenseurs.</w:t>
      </w:r>
    </w:p>
    <w:p>
      <w:pPr>
        <w:pStyle w:val="ListNumber"/>
      </w:pPr>
      <w:r/>
      <w:r>
        <w:rPr>
          <w:b/>
        </w:rPr>
        <w:t>Allongement QT méconnu</w:t>
      </w:r>
      <w:r>
        <w:t xml:space="preserve"> : risque de TdP et mort subite — surveillance ECG systématique si dose élevée, sujet âgé, antécédent cardiaque, association à un autre allongeur de QT.</w:t>
      </w:r>
    </w:p>
    <w:p>
      <w:pPr>
        <w:pStyle w:val="ListNumber"/>
      </w:pPr>
      <w:r/>
      <w:r>
        <w:rPr>
          <w:b/>
        </w:rPr>
        <w:t>Photosensibilité</w:t>
      </w:r>
      <w:r>
        <w:t xml:space="preserve"> : protection solaire absolue — pigmentation cutanée au long cours.</w:t>
      </w:r>
    </w:p>
    <w:p>
      <w:pPr>
        <w:pStyle w:val="ListNumber"/>
      </w:pPr>
      <w:r/>
      <w:r>
        <w:rPr>
          <w:b/>
        </w:rPr>
        <w:t>Rétention urinaire / Occlusion paralytique chez le sujet âgé</w:t>
      </w:r>
      <w:r>
        <w:t xml:space="preserve"> : surtout avec phénothiazines (effet anticholinergique M1) — vérifier l'absence d'adénome prostatique sévère, surveillance transit intestinal.</w:t>
      </w:r>
    </w:p>
    <w:p>
      <w:pPr>
        <w:pStyle w:val="ListNumber"/>
      </w:pPr>
      <w:r/>
      <w:r>
        <w:rPr>
          <w:b/>
        </w:rPr>
        <w:t>Association avec lévodopa/agonistes dopaminergiques</w:t>
      </w:r>
      <w:r>
        <w:t xml:space="preserve"> : </w:t>
      </w:r>
      <w:r>
        <w:rPr>
          <w:b/>
        </w:rPr>
        <w:t>CI absolue</w:t>
      </w:r>
      <w:r>
        <w:t xml:space="preserve"> — vérifier systématiquement l'ordonnance.</w:t>
      </w:r>
    </w:p>
    <w:p>
      <w:pPr>
        <w:pStyle w:val="ListNumber"/>
      </w:pPr>
      <w:r/>
      <w:r>
        <w:rPr>
          <w:b/>
        </w:rPr>
        <w:t>Association avec allongeurs de QT</w:t>
      </w:r>
      <w:r>
        <w:t xml:space="preserve"> : </w:t>
      </w:r>
      <w:r>
        <w:rPr>
          <w:b/>
        </w:rPr>
        <w:t>CI absolue</w:t>
      </w:r>
      <w:r>
        <w:t xml:space="preserve"> — vérifier systématiquement l'ordonnance (antiarythmiques, macrolides, fluoroquinolones, ATC, méthadone, autres antipsychotiques).</w:t>
      </w:r>
    </w:p>
    <w:p>
      <w:pPr>
        <w:pStyle w:val="ListNumber"/>
      </w:pPr>
      <w:r/>
      <w:r>
        <w:rPr>
          <w:b/>
        </w:rPr>
        <w:t>Arrêt brutal</w:t>
      </w:r>
      <w:r>
        <w:t xml:space="preserve"> : risque de rechute psychotique aiguë (50 % à 6 mois), syndrome de sevrage — </w:t>
      </w:r>
      <w:r>
        <w:rPr>
          <w:b/>
        </w:rPr>
        <w:t>arrêt progressif par paliers sur 4-8 semaines obligatoire</w:t>
      </w:r>
      <w:r>
        <w:t>.</w:t>
      </w:r>
    </w:p>
    <w:p>
      <w:pPr>
        <w:pStyle w:val="ListNumber"/>
      </w:pPr>
      <w:r/>
      <w:r>
        <w:rPr>
          <w:b/>
        </w:rPr>
        <w:t>Sujet âgé dément</w:t>
      </w:r>
      <w:r>
        <w:t xml:space="preserve"> : signal FDA 2005 et EMA 2008 d'augmentation de la mortalité (cardiovasculaire et infectieuse) sous antipsychotique — réserver à l'échec des mesures non pharmacologiques, à dose minimale, durée la plus courte possible.</w:t>
      </w:r>
    </w:p>
    <w:p>
      <w:pPr>
        <w:pStyle w:val="ListNumber"/>
      </w:pPr>
      <w:r/>
      <w:r>
        <w:rPr>
          <w:b/>
        </w:rPr>
        <w:t>IV à forte dose halopéridol</w:t>
      </w:r>
      <w:r>
        <w:t xml:space="preserve"> : risque d'allongement QT majeur et de TdP — réserver à l'usage hospitalier sous surveillance ECG continue.</w:t>
      </w:r>
    </w:p>
    <w:p>
      <w:pPr>
        <w:pStyle w:val="ListNumber"/>
      </w:pPr>
      <w:r/>
      <w:r>
        <w:rPr>
          <w:b/>
        </w:rPr>
        <w:t>Halopéridol decanoate LP en IV</w:t>
      </w:r>
      <w:r>
        <w:t xml:space="preserve"> : </w:t>
      </w:r>
      <w:r>
        <w:rPr>
          <w:b/>
        </w:rPr>
        <w:t>jamais en IV</w:t>
      </w:r>
      <w:r>
        <w:t xml:space="preserve"> — décès rapportés — uniquement IM profonde.</w:t>
      </w:r>
    </w:p>
    <w:p>
      <w:pPr>
        <w:pStyle w:val="ListNumber"/>
      </w:pPr>
      <w:r/>
      <w:r>
        <w:rPr>
          <w:b/>
        </w:rPr>
        <w:t>Adrénaline en cas d'hypotension</w:t>
      </w:r>
      <w:r>
        <w:t xml:space="preserve"> : </w:t>
      </w:r>
      <w:r>
        <w:rPr>
          <w:b/>
        </w:rPr>
        <w:t>déconseillée</w:t>
      </w:r>
      <w:r>
        <w:t xml:space="preserve"> sous antipsychotique (effet β2 paradoxal vasodilatateur) — </w:t>
      </w:r>
      <w:r>
        <w:rPr>
          <w:b/>
        </w:rPr>
        <w:t>préférer la noradrénaline</w:t>
      </w:r>
      <w:r>
        <w:t>.</w:t>
      </w:r>
    </w:p>
    <w:p>
      <w:pPr>
        <w:pStyle w:val="Heading3"/>
      </w:pPr>
      <w:r>
        <w:t>Pièges de prescription</w:t>
      </w:r>
    </w:p>
    <w:p>
      <w:pPr>
        <w:pStyle w:val="ListNumber"/>
      </w:pPr>
      <w:r/>
      <w:r>
        <w:rPr>
          <w:b/>
        </w:rPr>
        <w:t>Polypharmacie psychiatrique</w:t>
      </w:r>
      <w:r>
        <w:t xml:space="preserve"> : association de plusieurs antipsychotiques — non recommandée sauf cas particulier (cross-titration, relais) — alerter le prescripteur.</w:t>
      </w:r>
    </w:p>
    <w:p>
      <w:pPr>
        <w:pStyle w:val="ListNumber"/>
      </w:pPr>
      <w:r/>
      <w:r>
        <w:rPr>
          <w:b/>
        </w:rPr>
        <w:t>Anticholinergique systématique</w:t>
      </w:r>
      <w:r>
        <w:t xml:space="preserve"> : prescription systématique de trihexyphénidyle ou bipéridène « pour prévenir les EPS » — non recommandée en routine, à réévaluer régulièrement.</w:t>
      </w:r>
    </w:p>
    <w:p>
      <w:pPr>
        <w:pStyle w:val="ListNumber"/>
      </w:pPr>
      <w:r/>
      <w:r>
        <w:rPr>
          <w:b/>
        </w:rPr>
        <w:t>Dose manifestement excessive</w:t>
      </w:r>
      <w:r>
        <w:t xml:space="preserve"> : halopéridol &gt; 20 mg/j, chlorpromazine &gt; 800 mg/j, lévomépromazine &gt; 300 mg/j, sulpiride &gt; 1200 mg/j, amisulpride &gt; 1200 mg/j — alerter le prescripteur.</w:t>
      </w:r>
    </w:p>
    <w:p>
      <w:pPr>
        <w:pStyle w:val="ListNumber"/>
      </w:pPr>
      <w:r/>
      <w:r>
        <w:rPr>
          <w:b/>
        </w:rPr>
        <w:t>Prescription chez la femme enceinte sans évaluation bénéfice/risque</w:t>
      </w:r>
      <w:r>
        <w:t xml:space="preserve"> : alerter le prescripteur — privilégier l'halopéridol à dose minimale efficace selon le CRAT.</w:t>
      </w:r>
    </w:p>
    <w:p>
      <w:pPr>
        <w:pStyle w:val="ListNumber"/>
      </w:pPr>
      <w:r/>
      <w:r>
        <w:rPr>
          <w:b/>
        </w:rPr>
        <w:t>Mauvaise observance</w:t>
      </w:r>
      <w:r>
        <w:t xml:space="preserve"> : 50 % de non-observance à 1 an — envisager la forme decanoate LP IM mensuelle (Haldol Decanoas® pour halopéridol) — coordonner avec le psychiatre.</w:t>
      </w:r>
    </w:p>
    <w:p>
      <w:pPr>
        <w:pStyle w:val="Heading2"/>
      </w:pPr>
      <w:r>
        <w:t>15. Sources documentaires</w:t>
      </w:r>
    </w:p>
    <w:p>
      <w:pPr>
        <w:pStyle w:val="Heading3"/>
      </w:pPr>
      <w:r>
        <w:t>Références réglementaires et pharmacologiques principales</w:t>
      </w:r>
    </w:p>
    <w:p>
      <w:pPr>
        <w:pStyle w:val="ListNumber"/>
      </w:pPr>
      <w:r/>
      <w:r>
        <w:rPr>
          <w:b/>
        </w:rPr>
        <w:t>VIDAL</w:t>
      </w:r>
      <w:r>
        <w:t xml:space="preserve"> (édition 2024-2025) — Recueil des Résumés des Caractéristiques du Produit (RCP) des antipsychotiques typiques commercialisés en France et en Algérie : halopéridol (Haldol®), chlorpromazine (Largactil®), lévomépromazine (Nozinan®), fluphénazine (Moditen®/Modecate®), trifluopérazine (Terfluzine®), thioridazine (Melleril® — retiré), sulpiride (Dogmatil®), amisulpride (Solian®).</w:t>
      </w:r>
    </w:p>
    <w:p>
      <w:pPr>
        <w:pStyle w:val="ListNumber"/>
      </w:pPr>
      <w:r/>
      <w:r>
        <w:rPr>
          <w:b/>
        </w:rPr>
        <w:t>ANSM (Agence Nationale de Sécurité du Médicament et des Produits de Santé, France)</w:t>
      </w:r>
      <w:r>
        <w:t xml:space="preserve"> — RCP officiels, avis de pharmacovigilance, mises en garde et précautions d'emploi, retraits de marché (thioridazine 2001-2005).</w:t>
      </w:r>
    </w:p>
    <w:p>
      <w:pPr>
        <w:pStyle w:val="ListNumber"/>
      </w:pPr>
      <w:r/>
      <w:r>
        <w:rPr>
          <w:b/>
        </w:rPr>
        <w:t>EMA (European Medicines Agency)</w:t>
      </w:r>
      <w:r>
        <w:t xml:space="preserve"> — Résumé EPAR (European Public Assessment Report) des antipsychotiques typiques, recommandations sur le QT, signal FDA/EMA 2005/2008 sur la surmortalité du sujet âgé dément.</w:t>
      </w:r>
    </w:p>
    <w:p>
      <w:pPr>
        <w:pStyle w:val="ListNumber"/>
      </w:pPr>
      <w:r/>
      <w:r>
        <w:rPr>
          <w:b/>
        </w:rPr>
        <w:t>FDA (Food and Drug Administration, États-Unis)</w:t>
      </w:r>
      <w:r>
        <w:t xml:space="preserve"> — Black Box Warning 2000 (thioridazine — allongement QT/mort subite), Black Box Warning 2005 (sujet âgé dément — surmortalité), alertes de pharmacovigilance.</w:t>
      </w:r>
    </w:p>
    <w:p>
      <w:pPr>
        <w:pStyle w:val="ListNumber"/>
      </w:pPr>
      <w:r/>
      <w:r>
        <w:rPr>
          <w:b/>
        </w:rPr>
        <w:t>CRAT (Centre Renseignements sur les Agents Tératogènes, France)</w:t>
      </w:r>
      <w:r>
        <w:t xml:space="preserve"> — Dossiers spécifiques halopéridol, chlorpromazine, lévomépromazine, fluphénazine, trifluopérazine, thioridazine, sulpiride, amisulpride — données de grossesse et d'allaitement.</w:t>
      </w:r>
    </w:p>
    <w:p>
      <w:pPr>
        <w:pStyle w:val="ListNumber"/>
      </w:pPr>
      <w:r/>
      <w:r>
        <w:rPr>
          <w:b/>
        </w:rPr>
        <w:t>Thériaque</w:t>
      </w:r>
      <w:r>
        <w:t xml:space="preserve"> — Banque de données française sur les médicaments — interactions médicamenteuses, contre-indications, effets indésirables.</w:t>
      </w:r>
    </w:p>
    <w:p>
      <w:pPr>
        <w:pStyle w:val="ListNumber"/>
      </w:pPr>
      <w:r/>
      <w:r>
        <w:rPr>
          <w:b/>
        </w:rPr>
        <w:t>HAS (Haute Autorité de Santé, France)</w:t>
      </w:r>
      <w:r>
        <w:t xml:space="preserve"> — Recommandations « Parcours de soins en schizophrénie » (2018), bon usage des antipsychotiques.</w:t>
      </w:r>
    </w:p>
    <w:p>
      <w:pPr>
        <w:pStyle w:val="ListNumber"/>
      </w:pPr>
      <w:r/>
      <w:r>
        <w:rPr>
          <w:b/>
        </w:rPr>
        <w:t>NICE (National Institute for Health and Care Excellence, Royaume-Uni)</w:t>
      </w:r>
      <w:r>
        <w:t xml:space="preserve"> — Guidelines « Psychosis and schizophrenia in adults: treatment and management » (CG178, mise à jour 2022).</w:t>
      </w:r>
    </w:p>
    <w:p>
      <w:pPr>
        <w:pStyle w:val="ListNumber"/>
      </w:pPr>
      <w:r/>
      <w:r>
        <w:rPr>
          <w:b/>
        </w:rPr>
        <w:t>WFSBP (World Federation of Societies of Biological Psychiatry)</w:t>
      </w:r>
      <w:r>
        <w:t xml:space="preserve"> — Guidelines for biological treatment of schizophrenia (2013, mise à jour 2017).</w:t>
      </w:r>
    </w:p>
    <w:p>
      <w:pPr>
        <w:pStyle w:val="ListNumber"/>
      </w:pPr>
      <w:r/>
      <w:r>
        <w:rPr>
          <w:b/>
        </w:rPr>
        <w:t>APA (American Psychiatric Association)</w:t>
      </w:r>
      <w:r>
        <w:t xml:space="preserve"> — Practice Guideline for the Treatment of Patients With Schizophrenia (3rd edition, 2020).</w:t>
      </w:r>
    </w:p>
    <w:p>
      <w:pPr>
        <w:pStyle w:val="Heading3"/>
      </w:pPr>
      <w:r>
        <w:t>Études cliniques pivot</w:t>
      </w:r>
    </w:p>
    <w:p>
      <w:pPr>
        <w:pStyle w:val="ListNumber"/>
      </w:pPr>
      <w:r/>
      <w:r>
        <w:rPr>
          <w:b/>
        </w:rPr>
        <w:t>Kane JM et al.</w:t>
      </w:r>
      <w:r>
        <w:t xml:space="preserve"> — Guidelines for the pharmacological treatment of schizophrenia — *World J Biol Psychiatry* 2003 (référence sur la stratégie thérapeutique antipsychotique).</w:t>
      </w:r>
    </w:p>
    <w:p>
      <w:pPr>
        <w:pStyle w:val="ListNumber"/>
      </w:pPr>
      <w:r/>
      <w:r>
        <w:rPr>
          <w:b/>
        </w:rPr>
        <w:t>Reilly JG et al.</w:t>
      </w:r>
      <w:r>
        <w:t xml:space="preserve"> — QTc-length abnormalities and psychotropic drug therapy in psychiatric patients — *Lancet* 2000 ; 355 : 1048-52 (référence sur l'allongement QT sous antipsychotiques — dont thioridazine).</w:t>
      </w:r>
    </w:p>
    <w:p>
      <w:pPr>
        <w:pStyle w:val="ListNumber"/>
      </w:pPr>
      <w:r/>
      <w:r>
        <w:rPr>
          <w:b/>
        </w:rPr>
        <w:t>Ray WA et al.</w:t>
      </w:r>
      <w:r>
        <w:t xml:space="preserve"> — Antipsychotics and the risk of sudden cardiac death — *Lancet* 2001 ; 357 : 78-82 (référence sur la mort subite sous antipsychotiques).</w:t>
      </w:r>
    </w:p>
    <w:p>
      <w:pPr>
        <w:pStyle w:val="ListNumber"/>
      </w:pPr>
      <w:r/>
      <w:r>
        <w:rPr>
          <w:b/>
        </w:rPr>
        <w:t>Hennessy S et al.</w:t>
      </w:r>
      <w:r>
        <w:t xml:space="preserve"> — Cardiac arrest and ventricular arrhythmia in patients taking antipsychotic drugs: cohort study — *Archives of Internal Medicine* 2002 (référence sur les TdP sous antipsychotiques).</w:t>
      </w:r>
    </w:p>
    <w:p>
      <w:pPr>
        <w:pStyle w:val="ListNumber"/>
      </w:pPr>
      <w:r/>
      <w:r>
        <w:rPr>
          <w:b/>
        </w:rPr>
        <w:t>Gilbert PL et al.</w:t>
      </w:r>
      <w:r>
        <w:t xml:space="preserve"> — Neuroleptic withdrawal in schizophrenic patients: a review of the literature — *Archives of General Psychiatry* 1995 (référence sur le risque de rechute à l'arrêt brutal — 50 % à 6 mois).</w:t>
      </w:r>
    </w:p>
    <w:p>
      <w:pPr>
        <w:pStyle w:val="ListNumber"/>
      </w:pPr>
      <w:r/>
      <w:r>
        <w:rPr>
          <w:b/>
        </w:rPr>
        <w:t>Leucht S et al.</w:t>
      </w:r>
      <w:r>
        <w:t xml:space="preserve"> — Efficacy and extrapyramidal side-effects of the new antipsychotics olanzapine, quetiapine, risperidone, and sertindole compared to conventional antipsychotics: a meta-analysis of randomized controlled trials — *Schizophrenia Research* 1999 (référence sur la comparaison typiques vs atypiques).</w:t>
      </w:r>
    </w:p>
    <w:p>
      <w:pPr>
        <w:pStyle w:val="Heading3"/>
      </w:pPr>
      <w:r>
        <w:t>Références pharmacologiques fondamentales</w:t>
      </w:r>
    </w:p>
    <w:p>
      <w:pPr>
        <w:pStyle w:val="ListNumber"/>
      </w:pPr>
      <w:r/>
      <w:r>
        <w:rPr>
          <w:b/>
        </w:rPr>
        <w:t>Carlsson A.</w:t>
      </w:r>
      <w:r>
        <w:t xml:space="preserve"> — The discovery of dopamine and its role in schizophrenia — Nobel Lecture 2000 (découverte du rôle de la dopamine dans la psychose).</w:t>
      </w:r>
    </w:p>
    <w:p>
      <w:pPr>
        <w:pStyle w:val="ListNumber"/>
      </w:pPr>
      <w:r/>
      <w:r>
        <w:rPr>
          <w:b/>
        </w:rPr>
        <w:t>Delay J, Deniker P.</w:t>
      </w:r>
      <w:r>
        <w:t xml:space="preserve"> — Le traitement des psychoses par une méthode neurolytique dérivée de l'hibernothérapie — *Annales Médico-Psychologiques* 1952 (première description de l'effet antipsychotique de la chlorpromazine).</w:t>
      </w:r>
    </w:p>
    <w:p>
      <w:pPr>
        <w:pStyle w:val="ListNumber"/>
      </w:pPr>
      <w:r/>
      <w:r>
        <w:rPr>
          <w:b/>
        </w:rPr>
        <w:t>Laborit H et al.</w:t>
      </w:r>
      <w:r>
        <w:t xml:space="preserve"> — L'hibernation artificielle — *Presses Médicales* 1951 (découverte de la chlorpromazine).</w:t>
      </w:r>
    </w:p>
    <w:p>
      <w:pPr>
        <w:pStyle w:val="Heading3"/>
      </w:pPr>
      <w:r>
        <w:t>Références algériennes</w:t>
      </w:r>
    </w:p>
    <w:p>
      <w:pPr>
        <w:pStyle w:val="ListNumber"/>
      </w:pPr>
      <w:r/>
      <w:r>
        <w:rPr>
          <w:b/>
        </w:rPr>
        <w:t>Ministère de la Santé de la République Algérienne Démocratique et Populaire</w:t>
      </w:r>
      <w:r>
        <w:t xml:space="preserve"> — Nomenclature des médicaments (Avril 2026) — Liste des spécialités pharmaceutiques disponibles en Algérie (Actives, Non Renouvelables, Retirées).</w:t>
      </w:r>
    </w:p>
    <w:p>
      <w:pPr>
        <w:pStyle w:val="ListNumber"/>
      </w:pPr>
      <w:r/>
      <w:r>
        <w:rPr>
          <w:b/>
        </w:rPr>
        <w:t>Centre National de Pharmacovigilance (Algérie)</w:t>
      </w:r>
      <w:r>
        <w:t xml:space="preserve"> — Données de pharmacovigilance algériennes sur les antipsychotiques typiques.</w:t>
      </w:r>
    </w:p>
    <w:p>
      <w:pPr>
        <w:pStyle w:val="ListNumber"/>
      </w:pPr>
      <w:r/>
      <w:r>
        <w:rPr>
          <w:b/>
        </w:rPr>
        <w:t>Société Algérienne de Psychiatrie</w:t>
      </w:r>
      <w:r>
        <w:t xml:space="preserve"> — Recommandations nationales pour la prise en charge pharmacologique de la schizphrénie.</w:t>
      </w:r>
    </w:p>
    <w:p>
      <w:pPr>
        <w:pStyle w:val="Heading3"/>
      </w:pPr>
      <w:r>
        <w:t>Manuels de référence</w:t>
      </w:r>
    </w:p>
    <w:p>
      <w:pPr>
        <w:pStyle w:val="ListNumber"/>
      </w:pPr>
      <w:r/>
      <w:r>
        <w:rPr>
          <w:b/>
        </w:rPr>
        <w:t>Schück S.</w:t>
      </w:r>
      <w:r>
        <w:t xml:space="preserve"> — Psychopharmacologie clinique — Éditions Masson, 4e édition (référence francophone de psychopharmacologie clinique).</w:t>
      </w:r>
    </w:p>
    <w:p>
      <w:pPr>
        <w:pStyle w:val="ListNumber"/>
      </w:pPr>
      <w:r/>
      <w:r>
        <w:rPr>
          <w:b/>
        </w:rPr>
        <w:t>Stahl SM.</w:t>
      </w:r>
      <w:r>
        <w:t xml:space="preserve"> — Stahl's Essential Psychopharmacology — Cambridge University Press, 5th edition 2021 (référence internationale de psychopharmacologie).</w:t>
      </w:r>
    </w:p>
    <w:p>
      <w:pPr>
        <w:pStyle w:val="ListNumber"/>
      </w:pPr>
      <w:r/>
      <w:r>
        <w:rPr>
          <w:b/>
        </w:rPr>
        <w:t>Brunton LL, Hilal-Dandan R, Knollmann BC.</w:t>
      </w:r>
      <w:r>
        <w:t xml:space="preserve"> — Goodman &amp; Gilman's The Pharmacological Basis of Therapeutics — 13th edition 2018 (référence internationale de pharmacologie).</w:t>
      </w:r>
    </w:p>
    <w:p>
      <w:pPr>
        <w:pStyle w:val="ListNumber"/>
      </w:pPr>
      <w:r/>
      <w:r>
        <w:rPr>
          <w:b/>
        </w:rPr>
        <w:t>Katzung BG.</w:t>
      </w:r>
      <w:r>
        <w:t xml:space="preserve"> — Basic and Clinical Pharmacology — 15th edition 2021 (manuel de pharmacologie clinique).</w:t>
      </w:r>
    </w:p>
    <w:p>
      <w:pPr>
        <w:pStyle w:val="ListNumber"/>
      </w:pPr>
      <w:r/>
      <w:r>
        <w:rPr>
          <w:b/>
        </w:rPr>
        <w:t>UpToDate</w:t>
      </w:r>
      <w:r>
        <w:t xml:space="preserve"> — Articles « Pharmacotherapy for schizophrenia: typical antipsychotics », « Antipsychotic drugs and QT prolongation », « Neuroleptic malignant syndrome », « Tardive dyskinesia: Prevention and treatment », « Antipsychotic medications: Pregnancy and postpartum » (mises à jour 2024-2025).</w:t>
      </w:r>
    </w:p>
    <w:p>
      <w:pPr>
        <w:pStyle w:val="ListNumber"/>
      </w:pPr>
      <w:r/>
      <w:r>
        <w:rPr>
          <w:b/>
        </w:rPr>
        <w:t>Micromedex</w:t>
      </w:r>
      <w:r>
        <w:t xml:space="preserve"> — Drug information database — Antipsychotics monographs (IBM Watson Health).</w:t>
      </w:r>
    </w:p>
    <w:p>
      <w:r/>
      <w:r>
        <w:rPr>
          <w:b/>
        </w:rPr>
        <w:t>Note de fin</w:t>
      </w:r>
      <w:r>
        <w:t xml:space="preserve"> : Ce chapitre a été rédigé en s'appuyant sur les sources documentaires internationales (VIDAL, ANSM, EMA, FDA, CRAT, Thériaque, HAS, NICE, WFSBP, APA, Cochrane, UpToDate, Micromedex) et sur la </w:t>
      </w:r>
      <w:r>
        <w:rPr>
          <w:b/>
        </w:rPr>
        <w:t>nomenclature algérienne des médicaments (Avril 2026)</w:t>
      </w:r>
      <w:r>
        <w:t xml:space="preserve"> — toutes les marques, dosages et statuts (Actif / Non Renouvelable / Retiré(R)) mentionnés pour les 8 DCI sont extraits de cette nomenclature. Les éléments pharmacologiques (mécanismes, interactions, effets indésirables) sont issus des RCP officiels et de la littérature scientifique internationale de référence. Les particularités algériennes (indisponibilité de la trifluopérazine, retrait de la thioridazine, retrait de la fluphénazine orale et decanoate LP, maturité générique de l'halopéridol, du sulpiride et de l'amisulpride) sont documentées à partir de la nomenclature algérienne en vigueur à Avril 2026. </w:t>
      </w:r>
      <w:r>
        <w:rPr>
          <w:b/>
        </w:rPr>
        <w:t>Le pharmacien d'officina algérien doit se référer en permanence à la nomenclature en vigueur et aux RCP officiels</w:t>
      </w:r>
      <w:r>
        <w:t xml:space="preserve"> pour toute délivrance d'antipsychotique typique, en raison de la fréquence des modifications du marché (retraits, substitutions génériques, ruptures d'approvisionnement).</w:t>
      </w:r>
    </w:p>
    <w:p>
      <w:r/>
      <w:r>
        <w:rPr>
          <w:b/>
        </w:rPr>
        <w:t>Fin du Chapitre 83 — Antipsychotiques typiques (1re génération) — Fascicule X Psychiatrie / Psychotropes.</w:t>
      </w:r>
      <w:r/>
    </w:p>
    <w:p>
      <w:pPr>
        <w:pStyle w:val="Heading2"/>
      </w:pPr>
      <w:r>
        <w:t>Fascicule X — Chapitre 84 : Antipsychotiques atypiques (2e et 3e générations)</w:t>
      </w:r>
    </w:p>
    <w:p>
      <w:pPr>
        <w:pStyle w:val="Heading2"/>
      </w:pPr>
      <w:r>
        <w:t>Avant-propos du Chapitre 84</w:t>
      </w:r>
    </w:p>
    <w:p>
      <w:r>
        <w:t xml:space="preserve">Le présent chapitre constitue le quatrième volet thématique du Fascicule X consacré aux psychotropes. Il traite spécifiquement des </w:t>
      </w:r>
      <w:r>
        <w:rPr>
          <w:b/>
        </w:rPr>
        <w:t>antipsychotiques atypiques</w:t>
      </w:r>
      <w:r>
        <w:t>, classe médicamenteuse de première ligne dans la prise en charge pharmacologique de la schizophrénie, des troubles bipolaires et, pour certaines molécules, de la dépression majeure résistante ou des troubles du comportement dans la démence. Cette classe représente la pierre angulaire de la psychiatrie biologique moderne et constitue, par son volume de prescription et la diversité de ses profils pharmacologiques, une des classes thérapeutiques les plus prescrites en Algérie comme à l'international.</w:t>
      </w:r>
    </w:p>
    <w:p>
      <w:r>
        <w:t xml:space="preserve">Contrairement aux antipsychotiques typiques de première génération traités au Chapitre 83 (halopéridol, chlorpromazine, lévomépromazine, etc.), les antipsychotiques atypiques de deuxième et troisième générations se caractérisent par leur profil receptoriel combinant le </w:t>
      </w:r>
      <w:r>
        <w:rPr>
          <w:b/>
        </w:rPr>
        <w:t>blocage des récepteurs dopaminergiques D2</w:t>
      </w:r>
      <w:r>
        <w:t xml:space="preserve"> à une </w:t>
      </w:r>
      <w:r>
        <w:rPr>
          <w:b/>
        </w:rPr>
        <w:t>antagonisme marqué des récepteurs sérotoninergiques 5-HT2A</w:t>
      </w:r>
      <w:r>
        <w:t>, ouvrant ainsi la voie à une efficacité antipsychotique équivalente avec une réduction significative des effets indésirables extrapyramidaux (EPS) et une meilleure couverture des symptômes négatifs de la schizophrénie. L'aripiprazole, premier représentant de la troisième génération, introduit quant à lui le concept novateur d'</w:t>
      </w:r>
      <w:r>
        <w:rPr>
          <w:b/>
        </w:rPr>
        <w:t>agoniste partiel D2/5-HT1A</w:t>
      </w:r>
      <w:r>
        <w:t>, qui bouleverse le paradigme classique de l'antagonisme pur.</w:t>
      </w:r>
    </w:p>
    <w:p>
      <w:r>
        <w:t xml:space="preserve">Le champ thérapeutique couvert comprend </w:t>
      </w:r>
      <w:r>
        <w:rPr>
          <w:b/>
        </w:rPr>
        <w:t>8 DCI</w:t>
      </w:r>
      <w:r>
        <w:t xml:space="preserve"> structurées en trois sous-classes distinctes :</w:t>
      </w:r>
    </w:p>
    <w:p>
      <w:pPr>
        <w:pStyle w:val="ListNumber"/>
      </w:pPr>
      <w:r/>
      <w:r>
        <w:rPr>
          <w:b/>
        </w:rPr>
        <w:t>Antipsychotiques atypiques de 2e génération (6 DCI)</w:t>
      </w:r>
      <w:r>
        <w:t xml:space="preserve"> : Clozapine, Rispéridone, Olanzapine, Quétiapine, Ziprasidone, Lurasidone</w:t>
      </w:r>
    </w:p>
    <w:p>
      <w:pPr>
        <w:pStyle w:val="ListNumber"/>
      </w:pPr>
      <w:r/>
      <w:r>
        <w:rPr>
          <w:b/>
        </w:rPr>
        <w:t>Antipsychotiques atypiques de 3e génération — agoniste partiel D2 (1 DCI)</w:t>
      </w:r>
      <w:r>
        <w:t xml:space="preserve"> : Aripiprazole</w:t>
      </w:r>
    </w:p>
    <w:p>
      <w:pPr>
        <w:pStyle w:val="ListNumber"/>
      </w:pPr>
      <w:r/>
      <w:r>
        <w:rPr>
          <w:b/>
        </w:rPr>
        <w:t>Antipsychotiques atypiques — métabolite rispéridone (1 DCI)</w:t>
      </w:r>
      <w:r>
        <w:t xml:space="preserve"> : Palipéridone</w:t>
      </w:r>
    </w:p>
    <w:p>
      <w:r>
        <w:t>Ces huit molécules représentent plusieurs dizaines de spécialités commerciales disponibles sur le territoire algérien (actives, non renouvelables ou retirées), incluant des formes orales solides, des formes orodispersibles, des solutions buvables, et des formes injectables à libération prolongée (dépôts mensuels ou trimestriels) qui constituent un progrès majeur dans l'observance des patients chroniques.</w:t>
      </w:r>
    </w:p>
    <w:p>
      <w:pPr>
        <w:pStyle w:val="Heading3"/>
      </w:pPr>
      <w:r>
        <w:t>Sources académiques mobilisées</w:t>
      </w:r>
    </w:p>
    <w:p>
      <w:pPr>
        <w:pStyle w:val="ListBullet"/>
      </w:pPr>
      <w:r/>
      <w:r>
        <w:rPr>
          <w:b/>
        </w:rPr>
        <w:t>VIDAL</w:t>
      </w:r>
      <w:r>
        <w:t xml:space="preserve"> : RCP officiels, posologies, interactions</w:t>
      </w:r>
    </w:p>
    <w:p>
      <w:pPr>
        <w:pStyle w:val="ListBullet"/>
      </w:pPr>
      <w:r/>
      <w:r>
        <w:rPr>
          <w:b/>
        </w:rPr>
        <w:t>ANSM</w:t>
      </w:r>
      <w:r>
        <w:t xml:space="preserve"> (Agence Nationale de Sécurité du Médicament) : recommandations, mises en garde, RCP</w:t>
      </w:r>
    </w:p>
    <w:p>
      <w:pPr>
        <w:pStyle w:val="ListBullet"/>
      </w:pPr>
      <w:r/>
      <w:r>
        <w:rPr>
          <w:b/>
        </w:rPr>
        <w:t>Thériaque</w:t>
      </w:r>
      <w:r>
        <w:t xml:space="preserve"> : CNHIM,banque française indépendante (interactions, équivalences)</w:t>
      </w:r>
    </w:p>
    <w:p>
      <w:pPr>
        <w:pStyle w:val="ListBullet"/>
      </w:pPr>
      <w:r/>
      <w:r>
        <w:rPr>
          <w:b/>
        </w:rPr>
        <w:t>CRAT</w:t>
      </w:r>
      <w:r>
        <w:t xml:space="preserve"> (Centre de Renseignement sur les Agents Tératogènes) : données grossesse/allaitement</w:t>
      </w:r>
    </w:p>
    <w:p>
      <w:pPr>
        <w:pStyle w:val="ListBullet"/>
      </w:pPr>
      <w:r/>
      <w:r>
        <w:rPr>
          <w:b/>
        </w:rPr>
        <w:t>HAS</w:t>
      </w:r>
      <w:r>
        <w:t xml:space="preserve"> (Haute Autorité de Santé) : recommandations schizophrénie, troubles bipolaires</w:t>
      </w:r>
    </w:p>
    <w:p>
      <w:pPr>
        <w:pStyle w:val="ListBullet"/>
      </w:pPr>
      <w:r/>
      <w:r>
        <w:rPr>
          <w:b/>
        </w:rPr>
        <w:t>WFSBP</w:t>
      </w:r>
      <w:r>
        <w:t xml:space="preserve"> (World Federation of Societies of Biological Psychiatry) : guidelines biologiques</w:t>
      </w:r>
    </w:p>
    <w:p>
      <w:pPr>
        <w:pStyle w:val="ListBullet"/>
      </w:pPr>
      <w:r/>
      <w:r>
        <w:rPr>
          <w:b/>
        </w:rPr>
        <w:t>NICE</w:t>
      </w:r>
      <w:r>
        <w:t xml:space="preserve"> (National Institute for Health and Care Excellence) : guidelines psychoses et bipolaire</w:t>
      </w:r>
    </w:p>
    <w:p>
      <w:pPr>
        <w:pStyle w:val="ListBullet"/>
      </w:pPr>
      <w:r/>
      <w:r>
        <w:rPr>
          <w:b/>
        </w:rPr>
        <w:t>APA</w:t>
      </w:r>
      <w:r>
        <w:t xml:space="preserve"> (American Psychiatric Association) : practice guidelines</w:t>
      </w:r>
    </w:p>
    <w:p>
      <w:pPr>
        <w:pStyle w:val="ListBullet"/>
      </w:pPr>
      <w:r/>
      <w:r>
        <w:rPr>
          <w:b/>
        </w:rPr>
        <w:t>Maudsley Prescribing Guidelines</w:t>
      </w:r>
      <w:r>
        <w:t xml:space="preserve"> : référentiel international en psychiatrie</w:t>
      </w:r>
    </w:p>
    <w:p>
      <w:pPr>
        <w:pStyle w:val="ListBullet"/>
      </w:pPr>
      <w:r/>
      <w:r>
        <w:rPr>
          <w:b/>
        </w:rPr>
        <w:t>UpToDate, Micromedex</w:t>
      </w:r>
      <w:r>
        <w:t xml:space="preserve"> : référentiels internationaux</w:t>
      </w:r>
    </w:p>
    <w:p>
      <w:pPr>
        <w:pStyle w:val="Heading3"/>
      </w:pPr>
      <w:r>
        <w:t>Contexte épidémiologique algérien</w:t>
      </w:r>
    </w:p>
    <w:p>
      <w:pPr>
        <w:pStyle w:val="ListBullet"/>
      </w:pPr>
      <w:r>
        <w:t xml:space="preserve">Prévalence vie-entière de la </w:t>
      </w:r>
      <w:r>
        <w:rPr>
          <w:b/>
        </w:rPr>
        <w:t>schizophrénie</w:t>
      </w:r>
      <w:r>
        <w:t xml:space="preserve"> : ~1 % de la population (soit ~450 000 patients en Algérie)</w:t>
      </w:r>
    </w:p>
    <w:p>
      <w:pPr>
        <w:pStyle w:val="ListBullet"/>
      </w:pPr>
      <w:r/>
      <w:r>
        <w:rPr>
          <w:b/>
        </w:rPr>
        <w:t>Trouble bipolaire</w:t>
      </w:r>
      <w:r>
        <w:t xml:space="preserve"> : ~1-2 % de la population</w:t>
      </w:r>
    </w:p>
    <w:p>
      <w:pPr>
        <w:pStyle w:val="ListBullet"/>
      </w:pPr>
      <w:r/>
      <w:r>
        <w:rPr>
          <w:b/>
        </w:rPr>
        <w:t xml:space="preserve"> observance</w:t>
      </w:r>
      <w:r>
        <w:t xml:space="preserve"> aux antipsychotiques à 1 an : 40-60 % (problème majeur justifiant les formes dépôt)</w:t>
      </w:r>
    </w:p>
    <w:p>
      <w:pPr>
        <w:pStyle w:val="ListBullet"/>
      </w:pPr>
      <w:r/>
      <w:r>
        <w:rPr>
          <w:b/>
        </w:rPr>
        <w:t>Risque suicidaire</w:t>
      </w:r>
      <w:r>
        <w:t xml:space="preserve"> : 5-10 % des schizophrènes décèdent par suicide (clozapine = seul AP démontré anti-suicide)</w:t>
      </w:r>
    </w:p>
    <w:p>
      <w:pPr>
        <w:pStyle w:val="ListBullet"/>
      </w:pPr>
      <w:r/>
      <w:r>
        <w:rPr>
          <w:b/>
        </w:rPr>
        <w:t>Comorbidités métaboliques</w:t>
      </w:r>
      <w:r>
        <w:t xml:space="preserve"> : 2-3× plus fréquentes que population générale (diabète, dyslipidémie)</w:t>
      </w:r>
    </w:p>
    <w:p>
      <w:pPr>
        <w:pStyle w:val="Heading2"/>
      </w:pPr>
      <w:r>
        <w:t>Sommaire du Chapitre 84</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Section</w:t>
            </w:r>
          </w:p>
        </w:tc>
        <w:tc>
          <w:tcPr>
            <w:tcW w:type="dxa" w:w="3118"/>
          </w:tcPr>
          <w:p>
            <w:r>
              <w:rPr>
                <w:b/>
                <w:sz w:val="20"/>
              </w:rPr>
              <w:t>Sous-classes traitées</w:t>
            </w:r>
          </w:p>
        </w:tc>
        <w:tc>
          <w:tcPr>
            <w:tcW w:type="dxa" w:w="3118"/>
          </w:tcPr>
          <w:p>
            <w:r>
              <w:rPr>
                <w:b/>
                <w:sz w:val="20"/>
              </w:rPr>
              <w:t>DCI</w:t>
            </w:r>
          </w:p>
        </w:tc>
      </w:tr>
      <w:tr>
        <w:tc>
          <w:tcPr>
            <w:tcW w:type="dxa" w:w="3118"/>
          </w:tcPr>
          <w:p>
            <w:r>
              <w:rPr>
                <w:sz w:val="20"/>
              </w:rPr>
              <w:t>84.1</w:t>
            </w:r>
          </w:p>
        </w:tc>
        <w:tc>
          <w:tcPr>
            <w:tcW w:type="dxa" w:w="3118"/>
          </w:tcPr>
          <w:p>
            <w:r>
              <w:rPr>
                <w:sz w:val="20"/>
              </w:rPr>
              <w:t>Antipsychotiques - Atypiques (2e génération)</w:t>
            </w:r>
          </w:p>
        </w:tc>
        <w:tc>
          <w:tcPr>
            <w:tcW w:type="dxa" w:w="3118"/>
          </w:tcPr>
          <w:p>
            <w:r>
              <w:rPr>
                <w:sz w:val="20"/>
              </w:rPr>
              <w:t>Clozapine, Rispéridone, Olanzapine, Quétiapine, Ziprasidone, Lurasidone</w:t>
            </w:r>
          </w:p>
        </w:tc>
      </w:tr>
      <w:tr>
        <w:tc>
          <w:tcPr>
            <w:tcW w:type="dxa" w:w="3118"/>
          </w:tcPr>
          <w:p>
            <w:r>
              <w:rPr>
                <w:sz w:val="20"/>
              </w:rPr>
              <w:t>84.2</w:t>
            </w:r>
          </w:p>
        </w:tc>
        <w:tc>
          <w:tcPr>
            <w:tcW w:type="dxa" w:w="3118"/>
          </w:tcPr>
          <w:p>
            <w:r>
              <w:rPr>
                <w:sz w:val="20"/>
              </w:rPr>
              <w:t>Antipsychotiques - Atypiques (3e génération - agoniste partiel D2)</w:t>
            </w:r>
          </w:p>
        </w:tc>
        <w:tc>
          <w:tcPr>
            <w:tcW w:type="dxa" w:w="3118"/>
          </w:tcPr>
          <w:p>
            <w:r>
              <w:rPr>
                <w:sz w:val="20"/>
              </w:rPr>
              <w:t>Aripiprazole</w:t>
            </w:r>
          </w:p>
        </w:tc>
      </w:tr>
      <w:tr>
        <w:tc>
          <w:tcPr>
            <w:tcW w:type="dxa" w:w="3118"/>
          </w:tcPr>
          <w:p>
            <w:r>
              <w:rPr>
                <w:sz w:val="20"/>
              </w:rPr>
              <w:t>84.3</w:t>
            </w:r>
          </w:p>
        </w:tc>
        <w:tc>
          <w:tcPr>
            <w:tcW w:type="dxa" w:w="3118"/>
          </w:tcPr>
          <w:p>
            <w:r>
              <w:rPr>
                <w:sz w:val="20"/>
              </w:rPr>
              <w:t>Antipsychotiques - Atypiques (métabolite rispéridone)</w:t>
            </w:r>
          </w:p>
        </w:tc>
        <w:tc>
          <w:tcPr>
            <w:tcW w:type="dxa" w:w="3118"/>
          </w:tcPr>
          <w:p>
            <w:r>
              <w:rPr>
                <w:sz w:val="20"/>
              </w:rPr>
              <w:t>Palipéridone</w:t>
            </w:r>
          </w:p>
        </w:tc>
      </w:tr>
      <w:tr>
        <w:tc>
          <w:tcPr>
            <w:tcW w:type="dxa" w:w="3118"/>
          </w:tcPr>
          <w:p>
            <w:r>
              <w:rPr>
                <w:sz w:val="20"/>
              </w:rPr>
              <w:t>**Total**</w:t>
            </w:r>
          </w:p>
        </w:tc>
        <w:tc>
          <w:tcPr>
            <w:tcW w:type="dxa" w:w="3118"/>
          </w:tcPr>
          <w:p>
            <w:r>
              <w:rPr>
                <w:sz w:val="20"/>
              </w:rPr>
            </w:r>
          </w:p>
        </w:tc>
        <w:tc>
          <w:tcPr>
            <w:tcW w:type="dxa" w:w="3118"/>
          </w:tcPr>
          <w:p>
            <w:r>
              <w:rPr>
                <w:sz w:val="20"/>
              </w:rPr>
              <w:t>**8 DCI**</w:t>
            </w:r>
          </w:p>
        </w:tc>
      </w:tr>
    </w:tbl>
    <w:p/>
    <w:p>
      <w:pPr>
        <w:pStyle w:val="Heading2"/>
      </w:pPr>
      <w:r>
        <w:t>84.1 — Sous-classe : Antipsychotiques - Atypiques (2e génération)</w:t>
      </w:r>
    </w:p>
    <w:p>
      <w:pPr>
        <w:pStyle w:val="Heading3"/>
      </w:pPr>
      <w:r>
        <w:t>Introduction à la sous-classe</w:t>
      </w:r>
    </w:p>
    <w:p>
      <w:r>
        <w:t xml:space="preserve">Les </w:t>
      </w:r>
      <w:r>
        <w:rPr>
          <w:b/>
        </w:rPr>
        <w:t>antipsychotiques atypiques de deuxième génération</w:t>
      </w:r>
      <w:r>
        <w:t xml:space="preserve"> (AP-2G) représentent une révolution thérapeutique majeure introduite en clinique depuis les années 1990, suite à la redécouverte de la clozapine dans les années 1970-1980. Le terme "atypique" désigne historiquement la capacité de ces molécules à produire une action antipsychotique à des doses où les effets extrapyramidaux (EPS) sont minimes ou absents — caractéristique qui les distingue fondamentalement des neuroleptiques classiques de première génération (chlorpromazine, halopéridol) pour lesquels la marge thérapeutique entre effet antipsychotique et induction de parkinsonisme, akathisie ou dystonie est étroite.</w:t>
      </w:r>
    </w:p>
    <w:p>
      <w:r/>
      <w:r>
        <w:rPr>
          <w:b/>
        </w:rPr>
        <w:t>Caractéristiques pharmacologiques communes aux AP-2G :</w:t>
      </w:r>
      <w:r/>
    </w:p>
    <w:p>
      <w:pPr>
        <w:pStyle w:val="ListBullet"/>
      </w:pPr>
      <w:r/>
      <w:r>
        <w:rPr>
          <w:b/>
        </w:rPr>
        <w:t>Profil receptoriel</w:t>
      </w:r>
      <w:r>
        <w:t xml:space="preserve"> : antagonisme combiné des récepteurs </w:t>
      </w:r>
      <w:r>
        <w:rPr>
          <w:b/>
        </w:rPr>
        <w:t>D2 (dopaminergiques)</w:t>
      </w:r>
      <w:r>
        <w:t xml:space="preserve"> et </w:t>
      </w:r>
      <w:r>
        <w:rPr>
          <w:b/>
        </w:rPr>
        <w:t>5-HT2A (sérotoninergiques)</w:t>
      </w:r>
      <w:r>
        <w:t>. Le ratio 5-HT2A/D2 est élevé par rapport aux typiques, ce qui sous-tend la réduction des EPS. L'hypothèse de Meltzer (1989) postule que le blocage 5-HT2A désinhibe la libération de dopamine dans le système nigro-strié (réduisant l'EPS) et le système mésocortical (améliorant les symptômes négatifs), tout en préservant le blocage D2 dans la voie mésolimbique (maintien de l'effet antipsychotique positif).</w:t>
      </w:r>
    </w:p>
    <w:p>
      <w:pPr>
        <w:pStyle w:val="ListBullet"/>
      </w:pPr>
      <w:r/>
      <w:r>
        <w:rPr>
          <w:b/>
        </w:rPr>
        <w:t>Spectre d'efficacité élargi</w:t>
      </w:r>
      <w:r>
        <w:t xml:space="preserve"> : outre les symptômes positifs (hallucinations, délires), les AP-2G exercent une efficacité supérieure aux typiques sur les </w:t>
      </w:r>
      <w:r>
        <w:rPr>
          <w:b/>
        </w:rPr>
        <w:t>symptômes négatifs</w:t>
      </w:r>
      <w:r>
        <w:t xml:space="preserve"> (retrait, émoussement affectif, alogie) et sur les </w:t>
      </w:r>
      <w:r>
        <w:rPr>
          <w:b/>
        </w:rPr>
        <w:t>symptômes cognitifs</w:t>
      </w:r>
      <w:r>
        <w:t xml:space="preserve"> (attention, mémoire de travail), bien que cet avantage reste modeste.</w:t>
      </w:r>
    </w:p>
    <w:p>
      <w:pPr>
        <w:pStyle w:val="ListBullet"/>
      </w:pPr>
      <w:r/>
      <w:r>
        <w:rPr>
          <w:b/>
        </w:rPr>
        <w:t>Profil d'effets indésirables déplacé vers le métabolisme</w:t>
      </w:r>
      <w:r>
        <w:t xml:space="preserve"> : la rançon de la réduction des EPS est une augmentation spectaculaire du </w:t>
      </w:r>
      <w:r>
        <w:rPr>
          <w:b/>
        </w:rPr>
        <w:t>risque métabolique</w:t>
      </w:r>
      <w:r>
        <w:t xml:space="preserve"> (prise de poids, dyslipidémie, insulinorésistance, diabète de type 2), particulièrement marquée avec clozapine et olanzapine. Ce risque métabolique impose une surveillance systématique pondérale, glycémique et lipidique chez tout patient sous AP-2G au long cours.</w:t>
      </w:r>
    </w:p>
    <w:p>
      <w:pPr>
        <w:pStyle w:val="ListBullet"/>
      </w:pPr>
      <w:r/>
      <w:r>
        <w:rPr>
          <w:b/>
        </w:rPr>
        <w:t>Indications étendues</w:t>
      </w:r>
      <w:r>
        <w:t xml:space="preserve"> : schizophrénie (toutes phases), trouble bipolaire (manie, prévention des rechutes, parfois dépression bipolaire pour olanzapine, quétiapine, aripiprazole), troubles du comportement dans la démence (avec restriction), trouble schizo-affectif, et accessoirement traitement adjuvant de la dépression majeure résistante (quétiapine XR, aripiprazole).</w:t>
      </w:r>
    </w:p>
    <w:p>
      <w:r/>
      <w:r>
        <w:rPr>
          <w:b/>
        </w:rPr>
        <w:t>Positionnement hiérarchique au sein de la classe :</w:t>
      </w:r>
      <w:r/>
    </w:p>
    <w:p>
      <w:pPr>
        <w:pStyle w:val="ListBullet"/>
      </w:pPr>
      <w:r/>
      <w:r>
        <w:rPr>
          <w:b/>
        </w:rPr>
        <w:t>Clozapine</w:t>
      </w:r>
      <w:r>
        <w:t xml:space="preserve"> : molécule "gold standard" des schizophrénies résistantes (efficacité supérieure démontrée), mais reléguée en 2e intention en raison de son risque d'agranulocytose (1 %) imposant une surveillance hématologique stricte.</w:t>
      </w:r>
    </w:p>
    <w:p>
      <w:pPr>
        <w:pStyle w:val="ListBullet"/>
      </w:pPr>
      <w:r/>
      <w:r>
        <w:rPr>
          <w:b/>
        </w:rPr>
        <w:t>Rispéridone</w:t>
      </w:r>
      <w:r>
        <w:t xml:space="preserve"> : AP-2G de référence de 1re intention, le mieux documenté et le plus prescrit ; disponible en forme orale et en dépôt mensuel (Risperdal Consta, retiré du marché algérien) — son métabolite actif (9-hydroxyrispéridone) est commercialisé séparément sous le nom de </w:t>
      </w:r>
      <w:r>
        <w:rPr>
          <w:b/>
        </w:rPr>
        <w:t>palipéridone</w:t>
      </w:r>
      <w:r>
        <w:t xml:space="preserve"> (Xeplion, Trevicta).</w:t>
      </w:r>
    </w:p>
    <w:p>
      <w:pPr>
        <w:pStyle w:val="ListBullet"/>
      </w:pPr>
      <w:r/>
      <w:r>
        <w:rPr>
          <w:b/>
        </w:rPr>
        <w:t>Olanzapine</w:t>
      </w:r>
      <w:r>
        <w:t xml:space="preserve"> : AP-2G puissant mais à fort profil métabolique, indiqué dans schizophrénie et trouble bipolaire (manie et dépression bipolaire en association).</w:t>
      </w:r>
    </w:p>
    <w:p>
      <w:pPr>
        <w:pStyle w:val="ListBullet"/>
      </w:pPr>
      <w:r/>
      <w:r>
        <w:rPr>
          <w:b/>
        </w:rPr>
        <w:t>Quétiapine</w:t>
      </w:r>
      <w:r>
        <w:t xml:space="preserve"> : AP-2G sédatif à profil métabolique intermédiaire, indiqué dans schizophrénie, trouble bipolaire (manie, dépression), et dépression majeure résistante (faibles doses).</w:t>
      </w:r>
    </w:p>
    <w:p>
      <w:pPr>
        <w:pStyle w:val="ListBullet"/>
      </w:pPr>
      <w:r/>
      <w:r>
        <w:rPr>
          <w:b/>
        </w:rPr>
        <w:t>Ziprasidone</w:t>
      </w:r>
      <w:r>
        <w:t xml:space="preserve"> : AP-2G "neutre" sur le poids, mais allongeur QT — disponible en Algérie uniquement en forme retirée/non renouvelable.</w:t>
      </w:r>
    </w:p>
    <w:p>
      <w:pPr>
        <w:pStyle w:val="ListBullet"/>
      </w:pPr>
      <w:r/>
      <w:r>
        <w:rPr>
          <w:b/>
        </w:rPr>
        <w:t>Lurasidone</w:t>
      </w:r>
      <w:r>
        <w:t xml:space="preserve"> : AP-2G récent (2014 en Europe) à profil métabolique favorable, indiqué dans schizophrénie et dépression bipolaire.</w:t>
      </w:r>
    </w:p>
    <w:p>
      <w:r/>
      <w:r>
        <w:rPr>
          <w:b/>
        </w:rPr>
        <w:t>Risque de prolongation de l'intervalle QTc</w:t>
      </w:r>
      <w:r>
        <w:t xml:space="preserve"> : tous les AP-2G allongent le QTc à des degrés divers ; le risque torsadogène est particulièrement préoccupant pour la ziprasidone (raison pour laquelle elle a été l'objet d'une "black box warning" FDA), justifiant une vérification ECG pré-thérapeutique et un contrôle des facteurs associés (hypokaliémie, hypomagnésémie, bradycardie, associations torsadogènes).</w:t>
      </w:r>
    </w:p>
    <w:p>
      <w:r/>
      <w:r>
        <w:rPr>
          <w:b/>
        </w:rPr>
        <w:t>Règle de bon usage au comptoir</w:t>
      </w:r>
      <w:r>
        <w:t xml:space="preserve"> : tout patient initié sous AP-2G doit bénéficier d'un </w:t>
      </w:r>
      <w:r>
        <w:rPr>
          <w:b/>
        </w:rPr>
        <w:t>bilan pré-thérapeutique</w:t>
      </w:r>
      <w:r>
        <w:t xml:space="preserve"> comportant : poids, taille, IMC, tour de taille, tension artérielle, glycémie à jeun, HbA1c, bilan lipidique complet, ECG (surtout si &gt; 50 ans ou antécédents cardiaques), prolactinémie (rispéridone), NFS (clozapine). Cette surveillance est répétée selon un calendrier précis (M1, M3, M6 puis semestriel) afin de détecter précocement les dérives métaboliques qui constituent la </w:t>
      </w:r>
      <w:r>
        <w:rPr>
          <w:b/>
        </w:rPr>
        <w:t>première cause de mortalité prématurée</w:t>
      </w:r>
      <w:r>
        <w:t xml:space="preserve"> chez les patients schizophrènes (espérance de vie réduite de 15-20 ans, principalement par complications cardio-métaboliques).</w:t>
      </w:r>
    </w:p>
    <w:p>
      <w:pPr>
        <w:pStyle w:val="Heading3"/>
      </w:pPr>
      <w:r>
        <w:t>1. DCI : Clozapine (Seule)</w:t>
      </w:r>
    </w:p>
    <w:p>
      <w:r>
        <w:t xml:space="preserve">La clozapine est l'antipsychotique atypique historique, premier représentant de la classe, découvert en 1958 et introduit en clinique dans les années 1970. Sa commercialisation a été suspendue puis reprise avec un dispositif de surveillance hématologique renforcé après qu'une méta-analyse ait démontré son efficacité supérieure à tous les autres antipsychotiques dans la schizophrénie résistante. Elle reste, à ce jour, le </w:t>
      </w:r>
      <w:r>
        <w:rPr>
          <w:b/>
        </w:rPr>
        <w:t>seul antipsychotique à avoir démontré une supériorité d'efficacité</w:t>
      </w:r>
      <w:r>
        <w:t xml:space="preserve"> par rapport aux autres molécules de la classe dans les schizophrénies résistantes, et le seul à avoir démontré une action spécifique anti-suicide dans la schizophrénie (étude International Suicide Prevention Trial, ISSPA, 2003). Sa prescription est strictement encadrée par le risque d'agranulocytose (incidence ~1 %), potentiellement mortelle, qui impose une surveillance hebdomadaire de la numération formule sanguine (NFS) pendant les 18 premières semaines, puis mensuelle à vie, pendant toute la durée du traitement et pendant 4 semaines après l'arrêt.</w:t>
      </w:r>
    </w:p>
    <w:p>
      <w:r/>
      <w:r>
        <w:rPr>
          <w:b/>
        </w:rPr>
        <w:t>Médicaments disponibles en Algérie (Marques, Laboratoires, Formes et Dosages) :</w:t>
      </w:r>
      <w:r/>
    </w:p>
    <w:p>
      <w:pPr>
        <w:pStyle w:val="ListBullet"/>
      </w:pPr>
      <w:r/>
      <w:r>
        <w:rPr>
          <w:b/>
        </w:rPr>
        <w:t>LEPONEX</w:t>
      </w:r>
      <w:r>
        <w:t xml:space="preserve"> (VIATRIS PHARMA GMBH)</w:t>
      </w:r>
    </w:p>
    <w:p>
      <w:pPr>
        <w:pStyle w:val="ListBullet"/>
      </w:pPr>
      <w:r>
        <w:t>Formes et Dosages : Comprimé sécable 25 mg (B/50) ; Comprimé sécable 100 mg (B/50)</w:t>
      </w:r>
    </w:p>
    <w:p>
      <w:pPr>
        <w:pStyle w:val="ListBullet"/>
      </w:pPr>
      <w:r>
        <w:t>Statut : Actif (Liste I — prescription hospitalière initiale recommandée)</w:t>
      </w:r>
    </w:p>
    <w:p>
      <w:r>
        <w:t>La clozapine est donc disponible en Algérie sous sa marque princeps (LEPONEX), commercialisée par Viatris (ex-Novartis/Sandoz). Aucun générique n'est actuellement enregistré à l'identique. Le dispositif de surveillance hématologique obligatoire (registre nominatif) doit être respecté quel que soit le pays de prescription.</w:t>
      </w:r>
    </w:p>
    <w:p>
      <w:r/>
      <w:r>
        <w:rPr>
          <w:b/>
        </w:rPr>
        <w:t>Sous-classe et Mécanisme d'action :</w:t>
      </w:r>
      <w:r/>
    </w:p>
    <w:p>
      <w:pPr>
        <w:pStyle w:val="ListBullet"/>
      </w:pPr>
      <w:r/>
      <w:r>
        <w:rPr>
          <w:b/>
        </w:rPr>
        <w:t>Sous-classe</w:t>
      </w:r>
      <w:r>
        <w:t xml:space="preserve"> : Antipsychotique atypique de 2e génération — dibenzodiazépine tricyclique (dibenzodiazépinyle 5H-dibenzo[b,e][1,4]diazépine), classée "gold standard" des schizophrénies résistantes. Premier atypique découvert.</w:t>
      </w:r>
    </w:p>
    <w:p>
      <w:pPr>
        <w:pStyle w:val="ListBullet"/>
      </w:pPr>
      <w:r/>
      <w:r>
        <w:rPr>
          <w:b/>
        </w:rPr>
        <w:t>Mécanisme d'action</w:t>
      </w:r>
      <w:r>
        <w:t xml:space="preserve"> : la clozapine possède le profil pharmacologique le plus </w:t>
      </w:r>
      <w:r>
        <w:rPr>
          <w:b/>
        </w:rPr>
        <w:t>"sale"</w:t>
      </w:r>
      <w:r>
        <w:t xml:space="preserve"> (multi-réceptorielle) de toute la classe antipsychotique. Elle se caractérise par :</w:t>
      </w:r>
    </w:p>
    <w:p>
      <w:pPr>
        <w:pStyle w:val="ListBullet"/>
      </w:pPr>
      <w:r/>
      <w:r>
        <w:rPr>
          <w:b/>
        </w:rPr>
        <w:t>Affinité élevée pour D4</w:t>
      </w:r>
      <w:r>
        <w:t xml:space="preserve"> &gt; D2 (occupation D2 seulement ~40-50 % à dose efficace, contre 60-80 % pour les typiques — ce qui explique la quasi-absence d'EPS et l'absence d'hyperprolactinémie)</w:t>
      </w:r>
    </w:p>
    <w:p>
      <w:pPr>
        <w:pStyle w:val="ListBullet"/>
      </w:pPr>
      <w:r/>
      <w:r>
        <w:rPr>
          <w:b/>
        </w:rPr>
        <w:t>Blocage 5-HT2A</w:t>
      </w:r>
      <w:r>
        <w:t xml:space="preserve"> puissant (ratio 5-HT2A/D2 &gt; 10, supérieur à tous les autres atypiques)</w:t>
      </w:r>
    </w:p>
    <w:p>
      <w:pPr>
        <w:pStyle w:val="ListBullet"/>
      </w:pPr>
      <w:r/>
      <w:r>
        <w:rPr>
          <w:b/>
        </w:rPr>
        <w:t>Affinité pour 5-HT2C</w:t>
      </w:r>
      <w:r>
        <w:t xml:space="preserve"> (impliqué dans la prise de poids)</w:t>
      </w:r>
    </w:p>
    <w:p>
      <w:pPr>
        <w:pStyle w:val="ListBullet"/>
      </w:pPr>
      <w:r/>
      <w:r>
        <w:rPr>
          <w:b/>
        </w:rPr>
        <w:t>Affinité H1</w:t>
      </w:r>
      <w:r>
        <w:t xml:space="preserve"> très élevée (responsable de la sédation marquée, de la prise de poids et de l'hypersomnie)</w:t>
      </w:r>
    </w:p>
    <w:p>
      <w:pPr>
        <w:pStyle w:val="ListBullet"/>
      </w:pPr>
      <w:r/>
      <w:r>
        <w:rPr>
          <w:b/>
        </w:rPr>
        <w:t>Blocage muscarinique M1</w:t>
      </w:r>
      <w:r>
        <w:t xml:space="preserve"> marqué (à l'origine de constipation sévère, sécheresse buccale, troubles visuels accomodatifs)</w:t>
      </w:r>
    </w:p>
    <w:p>
      <w:pPr>
        <w:pStyle w:val="ListBullet"/>
      </w:pPr>
      <w:r/>
      <w:r>
        <w:rPr>
          <w:b/>
        </w:rPr>
        <w:t>Affinité alpha-1 adrénergique</w:t>
      </w:r>
      <w:r>
        <w:t xml:space="preserve"> modérée (hypotension orthostatique, vertiges)</w:t>
      </w:r>
    </w:p>
    <w:p>
      <w:pPr>
        <w:pStyle w:val="ListBullet"/>
      </w:pPr>
      <w:r/>
      <w:r>
        <w:rPr>
          <w:b/>
        </w:rPr>
        <w:t>Affinité pour 5-HT1A</w:t>
      </w:r>
      <w:r>
        <w:t xml:space="preserve"> (effet agoniste partiel putatif, contribuant à l'effet anti-suicide et à l'amélioration cognitive)</w:t>
      </w:r>
    </w:p>
    <w:p>
      <w:pPr>
        <w:pStyle w:val="ListBullet"/>
      </w:pPr>
      <w:r>
        <w:t xml:space="preserve">Cette signature multi-réceptorielle explique à la fois son </w:t>
      </w:r>
      <w:r>
        <w:rPr>
          <w:b/>
        </w:rPr>
        <w:t>efficacité supérieure</w:t>
      </w:r>
      <w:r>
        <w:t xml:space="preserve"> (large couverture symptomatique : positifs, négatifs, cognitifs, affectifs) et son </w:t>
      </w:r>
      <w:r>
        <w:rPr>
          <w:b/>
        </w:rPr>
        <w:t>profil d'effets indésirables complexe</w:t>
      </w:r>
      <w:r>
        <w:t xml:space="preserve"> (métabolique, cardiaque, hématologique, digestif, végétatif).</w:t>
      </w:r>
    </w:p>
    <w:p>
      <w:pPr>
        <w:pStyle w:val="ListBullet"/>
      </w:pPr>
      <w:r>
        <w:t>Le mécanisme précis de l'agranulocytose reste partiellement élucidé : il s'agirait d'une réaction immuno-allergique dose-indépendante (haptenation des membranes des polynucléaires neutrophiles par un métabolite réactif N-oxydé, généré via CYP1A2 et CYP3A4) — certains patients HLA-DQB1 6672G ont un risque génétique majoré.</w:t>
      </w:r>
    </w:p>
    <w:p>
      <w:r/>
      <w:r>
        <w:rPr>
          <w:b/>
        </w:rPr>
        <w:t>Profil Pharmacologique :</w:t>
      </w:r>
      <w:r/>
    </w:p>
    <w:p>
      <w:pPr>
        <w:pStyle w:val="ListBullet"/>
      </w:pPr>
      <w:r/>
      <w:r>
        <w:rPr>
          <w:b/>
        </w:rPr>
        <w:t>Indications</w:t>
      </w:r>
      <w:r>
        <w:t xml:space="preserve"> :</w:t>
      </w:r>
    </w:p>
    <w:p>
      <w:pPr>
        <w:pStyle w:val="ListBullet"/>
      </w:pPr>
      <w:r/>
      <w:r>
        <w:rPr>
          <w:b/>
        </w:rPr>
        <w:t>Schizophrénie résistante</w:t>
      </w:r>
      <w:r>
        <w:t xml:space="preserve"> (échec documenté à ≥ 2 antipsychotiques bien conduits dont au moins un atypique, à dose adéquate pendant ≥ 6-8 semaines) — indication princeps</w:t>
      </w:r>
    </w:p>
    <w:p>
      <w:pPr>
        <w:pStyle w:val="ListBullet"/>
      </w:pPr>
      <w:r/>
      <w:r>
        <w:rPr>
          <w:b/>
        </w:rPr>
        <w:t>Schizophrénie avec symptomatologie suicidaire</w:t>
      </w:r>
      <w:r>
        <w:t xml:space="preserve"> persistante ou récidivante (indication élargie à l'ISSPT)</w:t>
      </w:r>
    </w:p>
    <w:p>
      <w:pPr>
        <w:pStyle w:val="ListBullet"/>
      </w:pPr>
      <w:r/>
      <w:r>
        <w:rPr>
          <w:b/>
        </w:rPr>
        <w:t>Trouble schizo-affectif</w:t>
      </w:r>
      <w:r>
        <w:t xml:space="preserve"> et trouble bipolaire résistants (en 2e intention, hors AMM en Europe pour bipolaire)</w:t>
      </w:r>
    </w:p>
    <w:p>
      <w:pPr>
        <w:pStyle w:val="ListBullet"/>
      </w:pPr>
      <w:r/>
      <w:r>
        <w:rPr>
          <w:b/>
        </w:rPr>
        <w:t>Maladie de Parkinson avec psychose</w:t>
      </w:r>
      <w:r>
        <w:t xml:space="preserve"> (en dernière intention, à doses très faibles 6,25-50 mg/j) — seule molécule démontrant un ratio bénéfice/risque favorable dans cette indication (étude CGI-P, 2017)</w:t>
      </w:r>
    </w:p>
    <w:p>
      <w:pPr>
        <w:pStyle w:val="ListBullet"/>
      </w:pPr>
      <w:r/>
      <w:r>
        <w:rPr>
          <w:b/>
        </w:rPr>
        <w:t>Troubles du comportement</w:t>
      </w:r>
      <w:r>
        <w:t xml:space="preserve"> dans la démence résistants (usage strictement encadré, hors AMM européen)</w:t>
      </w:r>
    </w:p>
    <w:p>
      <w:pPr>
        <w:pStyle w:val="ListBullet"/>
      </w:pPr>
      <w:r/>
      <w:r>
        <w:rPr>
          <w:b/>
        </w:rPr>
        <w:t>Contre-indications</w:t>
      </w:r>
      <w:r>
        <w:t xml:space="preserve"> :</w:t>
      </w:r>
    </w:p>
    <w:p>
      <w:pPr>
        <w:pStyle w:val="ListBullet"/>
      </w:pPr>
      <w:r>
        <w:t>Antécédent d'agranulocytose ou de neutropénie sévère induite par la clozapine (CI absolue définitive)</w:t>
      </w:r>
    </w:p>
    <w:p>
      <w:pPr>
        <w:pStyle w:val="ListBullet"/>
      </w:pPr>
      <w:r>
        <w:t>Antécédents d'agranulocytose médicamenteuse quelle qu'en soit la cause (CI absolue)</w:t>
      </w:r>
    </w:p>
    <w:p>
      <w:pPr>
        <w:pStyle w:val="ListBullet"/>
      </w:pPr>
      <w:r>
        <w:t>Insuffisance médullaire (leucopénie, thrombocytopénie, anémie aplasique pré-existantes)</w:t>
      </w:r>
    </w:p>
    <w:p>
      <w:pPr>
        <w:pStyle w:val="ListBullet"/>
      </w:pPr>
      <w:r>
        <w:t>Traitements myélosuppresseurs associés (carbamazépine, chloramphénicol, cotrimoxazole, sulfasalazine, antimitotiques, interféron, etc.)</w:t>
      </w:r>
    </w:p>
    <w:p>
      <w:pPr>
        <w:pStyle w:val="ListBullet"/>
      </w:pPr>
      <w:r>
        <w:t>Épilepsie non contrôlée (la clozapine abaisse le seuil épileptogène de manière dose-dépendante)</w:t>
      </w:r>
    </w:p>
    <w:p>
      <w:pPr>
        <w:pStyle w:val="ListBullet"/>
      </w:pPr>
      <w:r>
        <w:t>Insuffisance cardiaque sévère, cardiomyopathies</w:t>
      </w:r>
    </w:p>
    <w:p>
      <w:pPr>
        <w:pStyle w:val="ListBullet"/>
      </w:pPr>
      <w:r>
        <w:t>Infarctus du myocarde récent ou instabilité hémodynamique</w:t>
      </w:r>
    </w:p>
    <w:p>
      <w:pPr>
        <w:pStyle w:val="ListBullet"/>
      </w:pPr>
      <w:r>
        <w:t>Hypersensibilité à la clozapine</w:t>
      </w:r>
    </w:p>
    <w:p>
      <w:pPr>
        <w:pStyle w:val="ListBullet"/>
      </w:pPr>
      <w:r>
        <w:t>Allaitement (CI absolue)</w:t>
      </w:r>
    </w:p>
    <w:p>
      <w:pPr>
        <w:pStyle w:val="ListBullet"/>
      </w:pPr>
      <w:r>
        <w:t>Ictère paralytique, atonie intestinale, ileus paralytique</w:t>
      </w:r>
    </w:p>
    <w:p>
      <w:pPr>
        <w:pStyle w:val="ListBullet"/>
      </w:pPr>
      <w:r/>
      <w:r>
        <w:rPr>
          <w:b/>
        </w:rPr>
        <w:t>Effets Indésirables</w:t>
      </w:r>
      <w:r>
        <w:t xml:space="preserve"> :</w:t>
      </w:r>
    </w:p>
    <w:p>
      <w:pPr>
        <w:pStyle w:val="ListBullet"/>
      </w:pPr>
      <w:r/>
      <w:r>
        <w:rPr>
          <w:b/>
        </w:rPr>
        <w:t>Hématologiques (gravité maximale)</w:t>
      </w:r>
      <w:r>
        <w:t xml:space="preserve"> : agranulocytose (incidence 0,8-1 %, mortalité 1/10 000), neutropénie (2-3 %), éosinophilie transitoire</w:t>
      </w:r>
    </w:p>
    <w:p>
      <w:pPr>
        <w:pStyle w:val="ListBullet"/>
      </w:pPr>
      <w:r/>
      <w:r>
        <w:rPr>
          <w:b/>
        </w:rPr>
        <w:t>Cardiaques</w:t>
      </w:r>
      <w:r>
        <w:t xml:space="preserve"> : myocardite (0,01-0,1 %, surtout 8 premières semaines — surveillance troponine I et CRP), péricardite, cardiomyopathie dilatée à long terme, tachycardie sinusale (80 %), hypotension orthostatique (surtout initiation), allongement QTc (modéré)</w:t>
      </w:r>
    </w:p>
    <w:p>
      <w:pPr>
        <w:pStyle w:val="ListBullet"/>
      </w:pPr>
      <w:r/>
      <w:r>
        <w:rPr>
          <w:b/>
        </w:rPr>
        <w:t>Métaboliques</w:t>
      </w:r>
      <w:r>
        <w:t xml:space="preserve"> : prise de poids majeure (4-7 kg en moyenne à 1 an, parfois &gt; 15 kg), diabète de type 2 (incidence 2-3× supérieure), dyslipidémie mixte (TG↑, HDL↓), syndrome métabolique (jusqu'à 50 % des patients à long terme)</w:t>
      </w:r>
    </w:p>
    <w:p>
      <w:pPr>
        <w:pStyle w:val="ListBullet"/>
      </w:pPr>
      <w:r/>
      <w:r>
        <w:rPr>
          <w:b/>
        </w:rPr>
        <w:t>Neurologiques</w:t>
      </w:r>
      <w:r>
        <w:t xml:space="preserve"> : sédation marquée (premières semaines), convulsions dose-dépendantes (&gt; 600 mg/j → 5 %), céphalées, vertiges, tremblements, akathisie rare</w:t>
      </w:r>
    </w:p>
    <w:p>
      <w:pPr>
        <w:pStyle w:val="ListBullet"/>
      </w:pPr>
      <w:r/>
      <w:r>
        <w:rPr>
          <w:b/>
        </w:rPr>
        <w:t>Digestifs</w:t>
      </w:r>
      <w:r>
        <w:t xml:space="preserve"> : constipation sévère (40-60 %, pouvant évoluer en iléus paralytique fatal), hypersialorrhée (30 %, surtout nocturne), nausées, hépatotoxicité (transaminases), rare pancréatite</w:t>
      </w:r>
    </w:p>
    <w:p>
      <w:pPr>
        <w:pStyle w:val="ListBullet"/>
      </w:pPr>
      <w:r/>
      <w:r>
        <w:rPr>
          <w:b/>
        </w:rPr>
        <w:t>Végétatifs</w:t>
      </w:r>
      <w:r>
        <w:t xml:space="preserve"> : hypersudation, tachycardie réflexe, troubles thermorégulation (hyperthermie bénigne transitoire initiale à distinguer du syndrome malin)</w:t>
      </w:r>
    </w:p>
    <w:p>
      <w:pPr>
        <w:pStyle w:val="ListBullet"/>
      </w:pPr>
      <w:r/>
      <w:r>
        <w:rPr>
          <w:b/>
        </w:rPr>
        <w:t>Uro-génitaux</w:t>
      </w:r>
      <w:r>
        <w:t xml:space="preserve"> : incontinence urinaire, rétention (HBP), troubles érectiles (rares — la clozapine n'induit pas d'hyperprolactinémie)</w:t>
      </w:r>
    </w:p>
    <w:p>
      <w:pPr>
        <w:pStyle w:val="ListBullet"/>
      </w:pPr>
      <w:r/>
      <w:r>
        <w:rPr>
          <w:b/>
        </w:rPr>
        <w:t>Syndrome malin des neuroleptiques (SMN)</w:t>
      </w:r>
      <w:r>
        <w:t xml:space="preserve"> : rare sous clozapine mais possible (sédation, hyperthermie, rhabdomyolyse)</w:t>
      </w:r>
    </w:p>
    <w:p>
      <w:pPr>
        <w:pStyle w:val="ListBullet"/>
      </w:pPr>
      <w:r/>
      <w:r>
        <w:rPr>
          <w:b/>
        </w:rPr>
        <w:t>Sevrage</w:t>
      </w:r>
      <w:r>
        <w:t xml:space="preserve"> : syndrome de rebond cholinergique (sueurs, céphalées, nausées, insomnie, agitation) à l'arrêt brutal — décroissance progressive obligatoire</w:t>
      </w:r>
    </w:p>
    <w:p>
      <w:r/>
      <w:r>
        <w:rPr>
          <w:b/>
        </w:rPr>
        <w:t>Prévention et Gestion des Effets Indésirables :</w:t>
      </w:r>
      <w:r/>
    </w:p>
    <w:p>
      <w:pPr>
        <w:pStyle w:val="ListBullet"/>
      </w:pPr>
      <w:r/>
      <w:r>
        <w:rPr>
          <w:b/>
        </w:rPr>
        <w:t>Mesures Préventives</w:t>
      </w:r>
      <w:r>
        <w:t xml:space="preserve"> :</w:t>
      </w:r>
    </w:p>
    <w:p>
      <w:pPr>
        <w:pStyle w:val="ListBullet"/>
      </w:pPr>
      <w:r/>
      <w:r>
        <w:rPr>
          <w:b/>
        </w:rPr>
        <w:t>Surveillance NFS absolue et obligatoire</w:t>
      </w:r>
      <w:r>
        <w:t xml:space="preserve"> : hebdomadaire pendant 18 semaines (4,5 mois), puis toutes les 2 semaines jusqu'à fin de la première année, puis mensuelle à vie pendant toute la durée du traitement et 4 semaines après l'arrêt. Le suivi doit être tracé dans un registre nominatif.</w:t>
      </w:r>
    </w:p>
    <w:p>
      <w:pPr>
        <w:pStyle w:val="ListBullet"/>
      </w:pPr>
      <w:r/>
      <w:r>
        <w:rPr>
          <w:b/>
        </w:rPr>
        <w:t>Bilan cardiovasculaire initial</w:t>
      </w:r>
      <w:r>
        <w:t xml:space="preserve"> : ECG 12 dérivations, dosage troponine I, CRP et BNP/NT-proBNP avant initiation puis hebdomadaire × 6 semaines (surveillance myocardite)</w:t>
      </w:r>
    </w:p>
    <w:p>
      <w:pPr>
        <w:pStyle w:val="ListBullet"/>
      </w:pPr>
      <w:r/>
      <w:r>
        <w:rPr>
          <w:b/>
        </w:rPr>
        <w:t>Surveillance métabolique</w:t>
      </w:r>
      <w:r>
        <w:t xml:space="preserve"> : poids, IMC, tour de taille, glycémie à jeun, HbA1c, bilan lipidique complet — à l'initiation, à M1, M3, M6 puis semestriel</w:t>
      </w:r>
    </w:p>
    <w:p>
      <w:pPr>
        <w:pStyle w:val="ListBullet"/>
      </w:pPr>
      <w:r/>
      <w:r>
        <w:rPr>
          <w:b/>
        </w:rPr>
        <w:t>Surveillance digestive</w:t>
      </w:r>
      <w:r>
        <w:t xml:space="preserve"> : conseil de mesure hygiéno-diététiques (hydratation, fibres, activité physique), interrogation systématique sur le transit à chaque consultation ; prescription systématique d'un laxatif osmotique (macrogol) si ralentissement</w:t>
      </w:r>
    </w:p>
    <w:p>
      <w:pPr>
        <w:pStyle w:val="ListBullet"/>
      </w:pPr>
      <w:r/>
      <w:r>
        <w:rPr>
          <w:b/>
        </w:rPr>
        <w:t>Seuil épileptique</w:t>
      </w:r>
      <w:r>
        <w:t xml:space="preserve"> : ne pas dépasser 600 mg/j sans surveillance EEG ; prémédication par valproate si dose &gt; 600 mg/j ou ATCD épilepsie</w:t>
      </w:r>
    </w:p>
    <w:p>
      <w:pPr>
        <w:pStyle w:val="ListBullet"/>
      </w:pPr>
      <w:r/>
      <w:r>
        <w:rPr>
          <w:b/>
        </w:rPr>
        <w:t>Conduite à Tenir</w:t>
      </w:r>
      <w:r>
        <w:t xml:space="preserve"> :</w:t>
      </w:r>
    </w:p>
    <w:p>
      <w:pPr>
        <w:pStyle w:val="ListBullet"/>
      </w:pPr>
      <w:r/>
      <w:r>
        <w:rPr>
          <w:b/>
        </w:rPr>
        <w:t>Si PNN &lt; 1500/mm³</w:t>
      </w:r>
      <w:r>
        <w:t xml:space="preserve"> : arrêt immédiat et définitif de la clozapine, hospitalisation si signes infectieux, prélèvements bactériologiques, avis hématologique</w:t>
      </w:r>
    </w:p>
    <w:p>
      <w:pPr>
        <w:pStyle w:val="ListBullet"/>
      </w:pPr>
      <w:r/>
      <w:r>
        <w:rPr>
          <w:b/>
        </w:rPr>
        <w:t>Si PNN 1500-2000/mm³</w:t>
      </w:r>
      <w:r>
        <w:t xml:space="preserve"> : rapprochement de la surveillance à 2×/semaine jusqu'à normalisation ; si persistance, arrêt</w:t>
      </w:r>
    </w:p>
    <w:p>
      <w:pPr>
        <w:pStyle w:val="ListBullet"/>
      </w:pPr>
      <w:r/>
      <w:r>
        <w:rPr>
          <w:b/>
        </w:rPr>
        <w:t>Si éosinophilie &gt; 3000/mm³</w:t>
      </w:r>
      <w:r>
        <w:t xml:space="preserve"> : arrêt (signe précurseur de myocardite)</w:t>
      </w:r>
    </w:p>
    <w:p>
      <w:pPr>
        <w:pStyle w:val="ListBullet"/>
      </w:pPr>
      <w:r/>
      <w:r>
        <w:rPr>
          <w:b/>
        </w:rPr>
        <w:t>Si troponine I élevée + tachycardie + fièvre</w:t>
      </w:r>
      <w:r>
        <w:t xml:space="preserve"> : arrêt immédiat, hospitalisation en soins intensifs (suspicion myocardite)</w:t>
      </w:r>
    </w:p>
    <w:p>
      <w:pPr>
        <w:pStyle w:val="ListBullet"/>
      </w:pPr>
      <w:r/>
      <w:r>
        <w:rPr>
          <w:b/>
        </w:rPr>
        <w:t>Si hyperthermie &gt; 38,5 °C</w:t>
      </w:r>
      <w:r>
        <w:t xml:space="preserve"> : arrêt transitoire, recherche infectieuse et élimination SMN</w:t>
      </w:r>
    </w:p>
    <w:p>
      <w:pPr>
        <w:pStyle w:val="ListBullet"/>
      </w:pPr>
      <w:r/>
      <w:r>
        <w:rPr>
          <w:b/>
        </w:rPr>
        <w:t>Si convulsion</w:t>
      </w:r>
      <w:r>
        <w:t xml:space="preserve"> : réduction posologique à dose sous le seuil épileptogène (généralement 300-400 mg/j), introduction valproate</w:t>
      </w:r>
    </w:p>
    <w:p>
      <w:pPr>
        <w:pStyle w:val="ListBullet"/>
      </w:pPr>
      <w:r/>
      <w:r>
        <w:rPr>
          <w:b/>
        </w:rPr>
        <w:t>Si iléus paralytique</w:t>
      </w:r>
      <w:r>
        <w:t xml:space="preserve"> : arrêt immédiat, hospitalisation urgente (risque vital), réanimation digestive</w:t>
      </w:r>
    </w:p>
    <w:p>
      <w:pPr>
        <w:pStyle w:val="ListBullet"/>
      </w:pPr>
      <w:r/>
      <w:r>
        <w:rPr>
          <w:b/>
        </w:rPr>
        <w:t>Si prise de poids &gt; 5 % du poids initial en 1 mois</w:t>
      </w:r>
      <w:r>
        <w:t xml:space="preserve"> : conseil diététique intensif ; pas d'arrêt systématique (efficacité à maintenir)</w:t>
      </w:r>
    </w:p>
    <w:p>
      <w:r/>
      <w:r>
        <w:rPr>
          <w:b/>
        </w:rPr>
        <w:t>Interactions Importantes :</w:t>
      </w:r>
      <w:r/>
    </w:p>
    <w:p>
      <w:pPr>
        <w:pStyle w:val="ListBullet"/>
      </w:pPr>
      <w:r/>
      <w:r>
        <w:rPr>
          <w:b/>
        </w:rPr>
        <w:t>Clozapine + médicaments myélosuppresseurs</w:t>
      </w:r>
      <w:r>
        <w:t xml:space="preserve"> (carbamazépine, chloramphénicol, cotrimoxazole, sulfamides, antimitotiques, interféron, penicillamine) : </w:t>
      </w:r>
      <w:r>
        <w:rPr>
          <w:b/>
        </w:rPr>
        <w:t>CI absolue</w:t>
      </w:r>
      <w:r>
        <w:t xml:space="preserve"> — risque d'agranulocytose additive (effet synergique myélosuppresseur)</w:t>
      </w:r>
    </w:p>
    <w:p>
      <w:pPr>
        <w:pStyle w:val="ListBullet"/>
      </w:pPr>
      <w:r/>
      <w:r>
        <w:rPr>
          <w:b/>
        </w:rPr>
        <w:t>Clozapine + inhibiteurs CYP1A2</w:t>
      </w:r>
      <w:r>
        <w:t xml:space="preserve"> (fluvoxamine ≥ 50 mg/j, ciprofloxacine, énoxacine, oméprazole, caféine forte dose) : augmentation majeure des taux de clozapine (× 2-3) → risque toxique (convulsions, sédation excessive, cardiotoxicité) ; réduire la dose de clozapine de 1/3 à 1/2</w:t>
      </w:r>
    </w:p>
    <w:p>
      <w:pPr>
        <w:pStyle w:val="ListBullet"/>
      </w:pPr>
      <w:r/>
      <w:r>
        <w:rPr>
          <w:b/>
        </w:rPr>
        <w:t>Clozapine + inducteurs CYP1A2</w:t>
      </w:r>
      <w:r>
        <w:t xml:space="preserve"> (tabac, omeprazole chronique à forte dose, rifampicine, phénytoïne, carbamazépine) : diminution des taux de clozapine (jusqu'à -50 % chez le fumeur actif) → inefficacité ; surveiller arrêt du tabac (qui peut faire monter la clozapine et conduire à une intoxication)</w:t>
      </w:r>
    </w:p>
    <w:p>
      <w:pPr>
        <w:pStyle w:val="ListBullet"/>
      </w:pPr>
      <w:r/>
      <w:r>
        <w:rPr>
          <w:b/>
        </w:rPr>
        <w:t>Clozapine + allongeurs QT</w:t>
      </w:r>
      <w:r>
        <w:t xml:space="preserve"> (amiodarone, sotalol, méthadone, certains antibiotiques macrolides/fluoroquinolones, autres antipsychotiques, halofantrine) : effet additif sur QTc → risque torsades de pointes ; ECG de contrôle</w:t>
      </w:r>
    </w:p>
    <w:p>
      <w:pPr>
        <w:pStyle w:val="ListBullet"/>
      </w:pPr>
      <w:r/>
      <w:r>
        <w:rPr>
          <w:b/>
        </w:rPr>
        <w:t>Clozapine + lithium</w:t>
      </w:r>
      <w:r>
        <w:t xml:space="preserve"> : risque majoré de syndrome malin des neuroleptiques, de confusion et de convulsions</w:t>
      </w:r>
    </w:p>
    <w:p>
      <w:pPr>
        <w:pStyle w:val="ListBullet"/>
      </w:pPr>
      <w:r/>
      <w:r>
        <w:rPr>
          <w:b/>
        </w:rPr>
        <w:t>Clozapine + dépresseurs SNC</w:t>
      </w:r>
      <w:r>
        <w:t xml:space="preserve"> (alcool, opioïdes, benzodiazépines) : potentialisation de la sédation, de la hypotension orthostatique et du risque de dépression respiratoire</w:t>
      </w:r>
    </w:p>
    <w:p>
      <w:pPr>
        <w:pStyle w:val="ListBullet"/>
      </w:pPr>
      <w:r/>
      <w:r>
        <w:rPr>
          <w:b/>
        </w:rPr>
        <w:t>Clozapine + antihypertenseurs</w:t>
      </w:r>
      <w:r>
        <w:t xml:space="preserve"> : hypotension orthostatique majorée</w:t>
      </w:r>
    </w:p>
    <w:p>
      <w:pPr>
        <w:pStyle w:val="ListBullet"/>
      </w:pPr>
      <w:r/>
      <w:r>
        <w:rPr>
          <w:b/>
        </w:rPr>
        <w:t>Clozapine + anticholinergiques</w:t>
      </w:r>
      <w:r>
        <w:t xml:space="preserve"> (atropiniques, antidépresseurs tricycliques, oxybutynine) : potentialisation des effets atropiniques (constipation sévère → risque iléus, rétention urinaire, trouble accommodatif, trouble cognitif)</w:t>
      </w:r>
    </w:p>
    <w:p>
      <w:pPr>
        <w:pStyle w:val="ListBullet"/>
      </w:pPr>
      <w:r/>
      <w:r>
        <w:rPr>
          <w:b/>
        </w:rPr>
        <w:t>Clozapine + caféine</w:t>
      </w:r>
      <w:r>
        <w:t xml:space="preserve"> forte dose : inhibition compétitive du CYP1A2, augmentation des taux de clozapine de 25-50 % (à surveiller chez les buveurs de café)</w:t>
      </w:r>
    </w:p>
    <w:p>
      <w:pPr>
        <w:pStyle w:val="ListBullet"/>
      </w:pPr>
      <w:r/>
      <w:r>
        <w:rPr>
          <w:b/>
        </w:rPr>
        <w:t>Clozapine + warfarine</w:t>
      </w:r>
      <w:r>
        <w:t xml:space="preserve"> : variation INR, surveillance</w:t>
      </w:r>
    </w:p>
    <w:p>
      <w:pPr>
        <w:pStyle w:val="ListBullet"/>
      </w:pPr>
      <w:r/>
      <w:r>
        <w:rPr>
          <w:b/>
        </w:rPr>
        <w:t>Clozapine + digitale</w:t>
      </w:r>
      <w:r>
        <w:t xml:space="preserve"> : augmentation digoxinémie</w:t>
      </w:r>
    </w:p>
    <w:p>
      <w:r/>
      <w:r>
        <w:rPr>
          <w:b/>
        </w:rPr>
        <w:t>Grossesse et Allaitement :</w:t>
      </w:r>
      <w:r/>
    </w:p>
    <w:p>
      <w:pPr>
        <w:pStyle w:val="ListBullet"/>
      </w:pPr>
      <w:r/>
      <w:r>
        <w:rPr>
          <w:b/>
        </w:rPr>
        <w:t>Grossesse</w:t>
      </w:r>
      <w:r>
        <w:t xml:space="preserve"> : selon CRAT, la clozapine n'est pas tératogène majeure (pas de surrisque malformatif global démontré) mais elle traverse le placenta. Risque d'</w:t>
      </w:r>
      <w:r>
        <w:rPr>
          <w:b/>
        </w:rPr>
        <w:t>hypotonie néonatale</w:t>
      </w:r>
      <w:r>
        <w:t>, de détresse respiratoire, de convulsions néonatales (sevrage), et plus rarement d'agranulocytose néonatale transitoire (transfert passif des IgG anti-PNN). Risque métabolique (diabète gestationnel majoré). À éviter en 1re intention ; si indispensable (schizophrène résistante sans alternative), maintien à dose minimale efficace avec surveillance par psychiatre + gynéco-obstétricien référent. Déclaration en pharmacovigilance. Échographie morphologique standard à 22 SA.</w:t>
      </w:r>
    </w:p>
    <w:p>
      <w:pPr>
        <w:pStyle w:val="ListBullet"/>
      </w:pPr>
      <w:r/>
      <w:r>
        <w:rPr>
          <w:b/>
        </w:rPr>
        <w:t>Allaitement</w:t>
      </w:r>
      <w:r>
        <w:t xml:space="preserve"> : </w:t>
      </w:r>
      <w:r>
        <w:rPr>
          <w:b/>
        </w:rPr>
        <w:t>contre-indication absolue</w:t>
      </w:r>
      <w:r>
        <w:t>. La clozapine passe massivement dans le lait maternel (rapport lait/plasma ~ 4), exposant le nourrisson à des concentrations pharmacologiquement actives → sédation profonde, hypotonie, agranulocytose. Sevrage du lait artificiel obligatoire.</w:t>
      </w:r>
    </w:p>
    <w:p>
      <w:pPr>
        <w:pStyle w:val="ListBullet"/>
      </w:pPr>
      <w:r/>
      <w:r>
        <w:rPr>
          <w:b/>
        </w:rPr>
        <w:t>Précisions</w:t>
      </w:r>
      <w:r>
        <w:t xml:space="preserve"> : surveillance NFS néonatale (J0, J7, J14), glycémie néonatale (risque d'hypoglycémie par hyperinsulinisme transitoire), surveillance neurologique en maternité (48 h minimum).</w:t>
      </w:r>
    </w:p>
    <w:p>
      <w:r/>
      <w:r>
        <w:rPr>
          <w:b/>
        </w:rPr>
        <w:t>Posologie et Mode d'administration (Standard) :</w:t>
      </w:r>
      <w:r/>
    </w:p>
    <w:p>
      <w:pPr>
        <w:pStyle w:val="ListBullet"/>
      </w:pPr>
      <w:r/>
      <w:r>
        <w:rPr>
          <w:b/>
        </w:rPr>
        <w:t>Adulte</w:t>
      </w:r>
      <w:r>
        <w:t xml:space="preserve"> : </w:t>
      </w:r>
      <w:r>
        <w:rPr>
          <w:b/>
        </w:rPr>
        <w:t>dose initiale 12,5 mg une à deux fois par jour</w:t>
      </w:r>
      <w:r>
        <w:t xml:space="preserve"> (le soir de préférence pour la sédation), puis </w:t>
      </w:r>
      <w:r>
        <w:rPr>
          <w:b/>
        </w:rPr>
        <w:t>augmentation lente</w:t>
      </w:r>
      <w:r>
        <w:t xml:space="preserve"> de 25-50 mg/j tous les 2-3 jours, jusqu'à dose d'entretien </w:t>
      </w:r>
      <w:r>
        <w:rPr>
          <w:b/>
        </w:rPr>
        <w:t>200-450 mg/j</w:t>
      </w:r>
      <w:r>
        <w:t xml:space="preserve"> en 2 prises (la prise du soir étant plus importante pour la sédation), avec maximum de </w:t>
      </w:r>
      <w:r>
        <w:rPr>
          <w:b/>
        </w:rPr>
        <w:t>900 mg/j</w:t>
      </w:r>
      <w:r>
        <w:t xml:space="preserve"> (surveillance EEG obligatoire au-delà de 600 mg/j). En cas d'arrêt temporaire &gt; 48 h, </w:t>
      </w:r>
      <w:r>
        <w:rPr>
          <w:b/>
        </w:rPr>
        <w:t>reprise obligatoire à dose initiale 12,5 mg</w:t>
      </w:r>
      <w:r>
        <w:t xml:space="preserve"> et ré-augmentation lente (perte de tolérance).</w:t>
      </w:r>
    </w:p>
    <w:p>
      <w:pPr>
        <w:pStyle w:val="ListBullet"/>
      </w:pPr>
      <w:r/>
      <w:r>
        <w:rPr>
          <w:b/>
        </w:rPr>
        <w:t>Sujet âgé</w:t>
      </w:r>
      <w:r>
        <w:t xml:space="preserve"> : dose initiale 6,25-12,5 mg/j, titration très lente, dose cible 100-250 mg/j</w:t>
      </w:r>
    </w:p>
    <w:p>
      <w:pPr>
        <w:pStyle w:val="ListBullet"/>
      </w:pPr>
      <w:r/>
      <w:r>
        <w:rPr>
          <w:b/>
        </w:rPr>
        <w:t>Insuffisant hépatique</w:t>
      </w:r>
      <w:r>
        <w:t xml:space="preserve"> : dose réduite de 1/3 à 1/2, surveillance clinique et biologique accrue</w:t>
      </w:r>
    </w:p>
    <w:p>
      <w:pPr>
        <w:pStyle w:val="ListBullet"/>
      </w:pPr>
      <w:r/>
      <w:r>
        <w:rPr>
          <w:b/>
        </w:rPr>
        <w:t>Insuffisant rénal modéré à sévère</w:t>
      </w:r>
      <w:r>
        <w:t xml:space="preserve"> : surveillance accrue, posologie réduite</w:t>
      </w:r>
    </w:p>
    <w:p>
      <w:pPr>
        <w:pStyle w:val="ListBullet"/>
      </w:pPr>
      <w:r/>
      <w:r>
        <w:rPr>
          <w:b/>
        </w:rPr>
        <w:t>Fumeur</w:t>
      </w:r>
      <w:r>
        <w:t xml:space="preserve"> : doses souvent plus élevées nécessaires (induction CYP1A2) ; surveiller en cas d'arrêt du tabac</w:t>
      </w:r>
    </w:p>
    <w:p>
      <w:pPr>
        <w:pStyle w:val="ListBullet"/>
      </w:pPr>
      <w:r/>
      <w:r>
        <w:rPr>
          <w:b/>
        </w:rPr>
        <w:t>Durée</w:t>
      </w:r>
      <w:r>
        <w:t xml:space="preserve"> : au long cours, indéfinie dans la schizophrénie résistante — l'arrêt expose à un risque majeur de rechute (&gt; 60 % à 6 mois). Toute tentative d'arrêt doit être programmée en milieu spécialisé.</w:t>
      </w:r>
    </w:p>
    <w:p>
      <w:pPr>
        <w:pStyle w:val="ListBullet"/>
      </w:pPr>
      <w:r/>
      <w:r>
        <w:rPr>
          <w:b/>
        </w:rPr>
        <w:t>Moment de la prise</w:t>
      </w:r>
      <w:r>
        <w:t xml:space="preserve"> : pendant ou après les repas (réduction des troubles digestifs et de l'hypotension orthostatique), prise principale le soir pour exploiter la sédation, prise du matin plus légère.</w:t>
      </w:r>
    </w:p>
    <w:p>
      <w:r/>
      <w:r>
        <w:rPr>
          <w:b/>
        </w:rPr>
        <w:t>Arbitrage et Bénéfices des Formes Galéniques :</w:t>
      </w:r>
      <w:r/>
    </w:p>
    <w:p>
      <w:pPr>
        <w:pStyle w:val="ListBullet"/>
      </w:pPr>
      <w:r/>
      <w:r>
        <w:rPr>
          <w:b/>
        </w:rPr>
        <w:t>Comprimé sécable 25 mg</w:t>
      </w:r>
      <w:r>
        <w:t xml:space="preserve"> : indispensable pour l'initiation à très faible dose (12,5 mg en demi-comprimé) et pour la titration lente. Permet aussi l'adaptation chez le sujet âgé ou en cas d'insuffisance hépatique.</w:t>
      </w:r>
    </w:p>
    <w:p>
      <w:pPr>
        <w:pStyle w:val="ListBullet"/>
      </w:pPr>
      <w:r/>
      <w:r>
        <w:rPr>
          <w:b/>
        </w:rPr>
        <w:t>Comprimé sécable 100 mg</w:t>
      </w:r>
      <w:r>
        <w:t xml:space="preserve"> : forme d'entretien principale, permet d'atteindre les doses courantes (200-400 mg/j) avec un minimum de comprimés.</w:t>
      </w:r>
    </w:p>
    <w:p>
      <w:pPr>
        <w:pStyle w:val="ListBullet"/>
      </w:pPr>
      <w:r>
        <w:t>L'absence de forme orodispersible ou de solution buvable en Algérie limite l'usage chez les patients dysphagiques ou en gériatrie. Dans ce cas, recours possible au comprimé écrasé (avec précaution : la clozapine a un goût très amer, à masquer dans un aliment semi-liquide sucré).</w:t>
      </w:r>
    </w:p>
    <w:p>
      <w:pPr>
        <w:pStyle w:val="ListBullet"/>
      </w:pPr>
      <w:r>
        <w:t>L'</w:t>
      </w:r>
      <w:r>
        <w:rPr>
          <w:b/>
        </w:rPr>
        <w:t>observance</w:t>
      </w:r>
      <w:r>
        <w:t xml:space="preserve"> est facilitée par la surveillance hebdomadaire NFS qui constitue un "rendez-vous" régulier avec l'équipe soignante (effet psychologique positif).</w:t>
      </w:r>
    </w:p>
    <w:p>
      <w:pPr>
        <w:pStyle w:val="ListBullet"/>
      </w:pPr>
      <w:r>
        <w:t>Pas de forme injectable disponible (la clozapine ne se prête pas à la voie IM ou IV en raison de son profil hémodynamique).</w:t>
      </w:r>
    </w:p>
    <w:p>
      <w:r/>
      <w:r>
        <w:rPr>
          <w:b/>
        </w:rPr>
        <w:t>Instructions et Conseils au Patient :</w:t>
      </w:r>
      <w:r/>
    </w:p>
    <w:p>
      <w:pPr>
        <w:pStyle w:val="ListBullet"/>
      </w:pPr>
      <w:r/>
      <w:r>
        <w:rPr>
          <w:b/>
        </w:rPr>
        <w:t>Communication au comptoir</w:t>
      </w:r>
      <w:r>
        <w:t xml:space="preserve"> :</w:t>
      </w:r>
    </w:p>
    <w:p>
      <w:pPr>
        <w:pStyle w:val="ListBullet"/>
      </w:pPr>
      <w:r>
        <w:t xml:space="preserve">Expliquer clairement la </w:t>
      </w:r>
      <w:r>
        <w:rPr>
          <w:b/>
        </w:rPr>
        <w:t>surveillance NFS obligatoire</w:t>
      </w:r>
      <w:r>
        <w:t xml:space="preserve"> : "votre prise de sang hebdomadaire pendant 4 mois puis mensuelle est essentielle et non négociable — c'est ce qui protège contre l'agranulocytose"</w:t>
      </w:r>
    </w:p>
    <w:p>
      <w:pPr>
        <w:pStyle w:val="ListBullet"/>
      </w:pPr>
      <w:r>
        <w:t xml:space="preserve">Insister sur les </w:t>
      </w:r>
      <w:r>
        <w:rPr>
          <w:b/>
        </w:rPr>
        <w:t>signes d'alerte hématologique</w:t>
      </w:r>
      <w:r>
        <w:t xml:space="preserve"> : fièvre, angine, aphtes, infections cutanées → consulter en urgence</w:t>
      </w:r>
    </w:p>
    <w:p>
      <w:pPr>
        <w:pStyle w:val="ListBullet"/>
      </w:pPr>
      <w:r/>
      <w:r>
        <w:rPr>
          <w:b/>
        </w:rPr>
        <w:t>Signes d'alerte cardiaque</w:t>
      </w:r>
      <w:r>
        <w:t xml:space="preserve"> : palpitations, douleurs thoraciques, essoufflement, fatigue intense → urgence</w:t>
      </w:r>
    </w:p>
    <w:p>
      <w:pPr>
        <w:pStyle w:val="ListBullet"/>
      </w:pPr>
      <w:r/>
      <w:r>
        <w:rPr>
          <w:b/>
        </w:rPr>
        <w:t>Signes digestifs</w:t>
      </w:r>
      <w:r>
        <w:t xml:space="preserve"> : constipation à signaler systématiquement (à ne pas banaliser)</w:t>
      </w:r>
    </w:p>
    <w:p>
      <w:pPr>
        <w:pStyle w:val="ListBullet"/>
      </w:pPr>
      <w:r/>
      <w:r>
        <w:rPr>
          <w:b/>
        </w:rPr>
        <w:t>Ne jamais arrêter brutalement</w:t>
      </w:r>
      <w:r>
        <w:t xml:space="preserve"> (syndrome de sevrage) ni reprendre à dose antérieure après interruption</w:t>
      </w:r>
    </w:p>
    <w:p>
      <w:pPr>
        <w:pStyle w:val="ListBullet"/>
      </w:pPr>
      <w:r>
        <w:t xml:space="preserve">Prévenir le </w:t>
      </w:r>
      <w:r>
        <w:rPr>
          <w:b/>
        </w:rPr>
        <w:t>risque métabolique</w:t>
      </w:r>
      <w:r>
        <w:t xml:space="preserve"> : pesée hebdomadaire, surveillance alimentaire, activité physique</w:t>
      </w:r>
    </w:p>
    <w:p>
      <w:pPr>
        <w:pStyle w:val="ListBullet"/>
      </w:pPr>
      <w:r/>
      <w:r>
        <w:rPr>
          <w:b/>
        </w:rPr>
        <w:t>Interactions tabac</w:t>
      </w:r>
      <w:r>
        <w:t xml:space="preserve"> : prévenir que l'arrêt du tabac peut modifier l'efficacité (à signaler au psychiatre)</w:t>
      </w:r>
    </w:p>
    <w:p>
      <w:pPr>
        <w:pStyle w:val="ListBullet"/>
      </w:pPr>
      <w:r/>
      <w:r>
        <w:rPr>
          <w:b/>
        </w:rPr>
        <w:t>Alcool à proscrire formellement</w:t>
      </w:r>
      <w:r/>
    </w:p>
    <w:p>
      <w:pPr>
        <w:pStyle w:val="ListBullet"/>
      </w:pPr>
      <w:r/>
      <w:r>
        <w:rPr>
          <w:b/>
        </w:rPr>
        <w:t>Mode d'utilisation pratique</w:t>
      </w:r>
      <w:r>
        <w:t xml:space="preserve"> :</w:t>
      </w:r>
    </w:p>
    <w:p>
      <w:pPr>
        <w:pStyle w:val="ListBullet"/>
      </w:pPr>
      <w:r>
        <w:t>Prise du soir vers 21-22 h pour exploiter la sédation</w:t>
      </w:r>
    </w:p>
    <w:p>
      <w:pPr>
        <w:pStyle w:val="ListBullet"/>
      </w:pPr>
      <w:r>
        <w:t>Pendant ou après repas</w:t>
      </w:r>
    </w:p>
    <w:p>
      <w:pPr>
        <w:pStyle w:val="ListBullet"/>
      </w:pPr>
      <w:r>
        <w:t>En cas d'oubli d'une prise : ne pas doubler ; prendre la dose oubliée si &lt; 4 h, sinon l'ignorer</w:t>
      </w:r>
    </w:p>
    <w:p>
      <w:pPr>
        <w:pStyle w:val="ListBullet"/>
      </w:pPr>
      <w:r>
        <w:t>Tenir un carnet de suivi des NFS et des doses</w:t>
      </w:r>
    </w:p>
    <w:p>
      <w:pPr>
        <w:pStyle w:val="ListBullet"/>
      </w:pPr>
      <w:r>
        <w:t>Carte de patient à porter sur soi (mentionnant "Clozapine" et "Surveillance NFS obligatoire")</w:t>
      </w:r>
    </w:p>
    <w:p>
      <w:pPr>
        <w:pStyle w:val="ListBullet"/>
      </w:pPr>
      <w:r>
        <w:t>Prévenir tout médecin consulté (dentiste, urgentiste, médecin généraliste) de la prise de clozapine</w:t>
      </w:r>
    </w:p>
    <w:p>
      <w:r/>
      <w:r>
        <w:rPr>
          <w:b/>
        </w:rPr>
        <w:t>Données Pharmacocinétiques détaillées :</w:t>
      </w:r>
      <w:r/>
    </w:p>
    <w:p>
      <w:pPr>
        <w:pStyle w:val="ListBullet"/>
      </w:pPr>
      <w:r/>
      <w:r>
        <w:rPr>
          <w:b/>
        </w:rPr>
        <w:t>Absorption</w:t>
      </w:r>
      <w:r>
        <w:t xml:space="preserve"> : la clozapine est rapidement et presque complètement absorbée après administration orale (biodisponibilité ~ 50-60 % en raison d'un effet de premier passage hépatique). Le pic plasmatique est atteint en 1-4 h. La prise alimentaire n'influence pas significativement l'absorption.</w:t>
      </w:r>
    </w:p>
    <w:p>
      <w:pPr>
        <w:pStyle w:val="ListBullet"/>
      </w:pPr>
      <w:r/>
      <w:r>
        <w:rPr>
          <w:b/>
        </w:rPr>
        <w:t>Distribution</w:t>
      </w:r>
      <w:r>
        <w:t xml:space="preserve"> : liaison aux protéines plasmatiques ~ 97 % (alpha-1-glycoprotéine acide). Volume de distribution important (2-5 L/kg), indiquant une large distribution tissulaire, notamment cérébrale.</w:t>
      </w:r>
    </w:p>
    <w:p>
      <w:pPr>
        <w:pStyle w:val="ListBullet"/>
      </w:pPr>
      <w:r/>
      <w:r>
        <w:rPr>
          <w:b/>
        </w:rPr>
        <w:t>Métabolisme</w:t>
      </w:r>
      <w:r>
        <w:t xml:space="preserve"> : hépatique, principalement via CYP1A2 (responsable de ~ 70 % de la métabolisation) et CYP3A4. Le métabolite principal est la </w:t>
      </w:r>
      <w:r>
        <w:rPr>
          <w:b/>
        </w:rPr>
        <w:t>N-desméthylclozapine</w:t>
      </w:r>
      <w:r>
        <w:t xml:space="preserve"> (norclozapine), qui possède une activité pharmacologique (affinité pour D2, 5-HT2A, 5-HT2C) et pourrait contribuer à l'efficacité et à la toxicité (notamment l'effet cardiotoxique et le profil obésigène). Le métabolite N-oxyde (clozapine N-oxyde) est inactif. Les polymorphismes CYP1A2 influencent la cinétique (fumeurs = concentrations plus basses).</w:t>
      </w:r>
    </w:p>
    <w:p>
      <w:pPr>
        <w:pStyle w:val="ListBullet"/>
      </w:pPr>
      <w:r/>
      <w:r>
        <w:rPr>
          <w:b/>
        </w:rPr>
        <w:t>Demi-vie d'élimination</w:t>
      </w:r>
      <w:r>
        <w:t xml:space="preserve"> : 8-12 h en moyenne, mais très variable selon les individus (4-66 h) — d'où la nécessité de prises biquotidiennes en général, voire d'un dosage plasmatique en cas de réponse inattendue (therapeutic drug monitoring, TDM). Concentration plasmatique cible : 350-500 ng/mL (efficacité), seuil toxique &gt; 1000 ng/mL.</w:t>
      </w:r>
    </w:p>
    <w:p>
      <w:pPr>
        <w:pStyle w:val="ListBullet"/>
      </w:pPr>
      <w:r/>
      <w:r>
        <w:rPr>
          <w:b/>
        </w:rPr>
        <w:t>Élimination</w:t>
      </w:r>
      <w:r>
        <w:t xml:space="preserve"> : ~ 50 % urinaire (métabolites), ~ 30 % fécale (métabolites et clozapine inchangée). Très faible proportion inchangée (&lt; 5 %).</w:t>
      </w:r>
    </w:p>
    <w:p>
      <w:pPr>
        <w:pStyle w:val="ListBullet"/>
      </w:pPr>
      <w:r/>
      <w:r>
        <w:rPr>
          <w:b/>
        </w:rPr>
        <w:t>Insuffisance rénale</w:t>
      </w:r>
      <w:r>
        <w:t xml:space="preserve"> : pas d'adaptation posologique stricte, mais surveillance accrue (risque accumulation métabolites).</w:t>
      </w:r>
    </w:p>
    <w:p>
      <w:pPr>
        <w:pStyle w:val="ListBullet"/>
      </w:pPr>
      <w:r/>
      <w:r>
        <w:rPr>
          <w:b/>
        </w:rPr>
        <w:t>Insuffisance hépatique</w:t>
      </w:r>
      <w:r>
        <w:t xml:space="preserve"> : réduction posologique d'environ 1/3 à 1/2.</w:t>
      </w:r>
    </w:p>
    <w:p>
      <w:r/>
      <w:r>
        <w:rPr>
          <w:b/>
        </w:rPr>
        <w:t>Notes, Règles d'Or &amp; Pièges au Comptoir :</w:t>
      </w:r>
      <w:r/>
    </w:p>
    <w:p>
      <w:pPr>
        <w:pStyle w:val="ListBullet"/>
      </w:pPr>
      <w:r/>
      <w:r>
        <w:rPr>
          <w:b/>
        </w:rPr>
        <w:t>Piège classique — Agranulocytose</w:t>
      </w:r>
      <w:r>
        <w:t xml:space="preserve"> : survient le plus souvent entre la 4e et la 18e semaine (75 % des cas), mais reste possible à tout moment. Tout patient sous clozapine présentant une fièvre inexpliquée doit être considéré comme potentiellement agranulocytaire jusqu'à preuve du contraire (NFS en urgence). Une agranulocytose non dépistée peut être fatale en 48-72 h par septicémie.</w:t>
      </w:r>
    </w:p>
    <w:p>
      <w:pPr>
        <w:pStyle w:val="ListBullet"/>
      </w:pPr>
      <w:r/>
      <w:r>
        <w:rPr>
          <w:b/>
        </w:rPr>
        <w:t>Piège classique — Myocardite des premières semaines</w:t>
      </w:r>
      <w:r>
        <w:t xml:space="preserve"> : tachycardie sinusale persistante, fièvre modérée, douleurs thoraciques, élévation troponine I ou CRP dans les 6 premières semaines doivent faire suspecter une myocardite à clozapine et conduire à l'arrêt immédiat. Confusion possible avec infection bénigne.</w:t>
      </w:r>
    </w:p>
    <w:p>
      <w:pPr>
        <w:pStyle w:val="ListBullet"/>
      </w:pPr>
      <w:r/>
      <w:r>
        <w:rPr>
          <w:b/>
        </w:rPr>
        <w:t>Piège classique — Iléus paralytique silencieux</w:t>
      </w:r>
      <w:r>
        <w:t xml:space="preserve"> : la constipation chronique sous clozapine peut évoluer insidieusement vers un iléus paralytique qui engage le pronostic vital (perforation colique). Tout arrêt du transit &gt; 3 jours doit faire consulter en urgence.</w:t>
      </w:r>
    </w:p>
    <w:p>
      <w:pPr>
        <w:pStyle w:val="ListBullet"/>
      </w:pPr>
      <w:r/>
      <w:r>
        <w:rPr>
          <w:b/>
        </w:rPr>
        <w:t>Règle de prise</w:t>
      </w:r>
      <w:r>
        <w:t xml:space="preserve"> : </w:t>
      </w:r>
      <w:r>
        <w:rPr>
          <w:b/>
        </w:rPr>
        <w:t>toujours commencer à 12,5 mg</w:t>
      </w:r>
      <w:r>
        <w:t xml:space="preserve"> (jamais dose pleine d'emblée) — risque de collapsus cardiovasculaire par hypotension orthostatique massive à la première prise. Hospitalisation recommandée pour l'initiation.</w:t>
      </w:r>
    </w:p>
    <w:p>
      <w:pPr>
        <w:pStyle w:val="ListBullet"/>
      </w:pPr>
      <w:r/>
      <w:r>
        <w:rPr>
          <w:b/>
        </w:rPr>
        <w:t>Préparation et Conservation</w:t>
      </w:r>
      <w:r>
        <w:t xml:space="preserve"> : conservation à température &lt; 25 °C, à l'abri de l'humidité et de la lumière. Pas de préparation magistrale (la clozapine n'est pas disponible en poudre pour préparation officinale en Algérie).</w:t>
      </w:r>
    </w:p>
    <w:p>
      <w:pPr>
        <w:pStyle w:val="ListBullet"/>
      </w:pPr>
      <w:r/>
      <w:r>
        <w:rPr>
          <w:b/>
        </w:rPr>
        <w:t>Piège du surdosage / Substitution</w:t>
      </w:r>
      <w:r>
        <w:t xml:space="preserve"> :</w:t>
      </w:r>
    </w:p>
    <w:p>
      <w:pPr>
        <w:pStyle w:val="ListBullet"/>
      </w:pPr>
      <w:r>
        <w:t>Surdosage : convulsions, coma, dépression respiratoire, hypotension sévère, troubles du rythme — prise en charge en réanimation (charbon activé si ingestion &lt; 1 h, ventilation mécanique, anticonvulsivants IV, remplissage vasculaire prudent)</w:t>
      </w:r>
    </w:p>
    <w:p>
      <w:pPr>
        <w:pStyle w:val="ListBullet"/>
      </w:pPr>
      <w:r/>
      <w:r>
        <w:rPr>
          <w:b/>
        </w:rPr>
        <w:t>Substitution</w:t>
      </w:r>
      <w:r>
        <w:t xml:space="preserve"> : à éviter absolument, la clozapine n'a pas d'équivalent thérapeutique direct en cas de schizophrénie résistante. Le passage d'un autre atypique vers la clozapine doit se faire par chevauchement (cross-taper) progressif sur 2-4 semaines sous surveillance spécialisée.</w:t>
      </w:r>
    </w:p>
    <w:p>
      <w:pPr>
        <w:pStyle w:val="ListBullet"/>
      </w:pPr>
      <w:r>
        <w:t xml:space="preserve">Ne pas confondre la clozapine avec la </w:t>
      </w:r>
      <w:r>
        <w:rPr>
          <w:b/>
        </w:rPr>
        <w:t>clonazépam</w:t>
      </w:r>
      <w:r>
        <w:t xml:space="preserve"> (benzodiazépine), la </w:t>
      </w:r>
      <w:r>
        <w:rPr>
          <w:b/>
        </w:rPr>
        <w:t>clonidine</w:t>
      </w:r>
      <w:r>
        <w:t xml:space="preserve"> (antihypertenseur central) ou la </w:t>
      </w:r>
      <w:r>
        <w:rPr>
          <w:b/>
        </w:rPr>
        <w:t>clofazimine</w:t>
      </w:r>
      <w:r>
        <w:t xml:space="preserve"> (antilepreux) — erreurs de lecture d'ordonnance fréquentes.</w:t>
      </w:r>
    </w:p>
    <w:p>
      <w:pPr>
        <w:pStyle w:val="Heading3"/>
      </w:pPr>
      <w:r>
        <w:t>2. DCI : Rispéridone (Seule)</w:t>
      </w:r>
    </w:p>
    <w:p>
      <w:r>
        <w:t xml:space="preserve">La rispéridone est l'antipsychotique atypique de référence de première intention, le plus prescrit au monde, introduit en clinique en 1993 (Janssen). Elle représente, par son profil d'efficacité équilibré et son bon profil de tolérance (à doses modérées), l'AP-2G de choix dans l'initiation thérapeutique de la schizophrénie, du trouble bipolaire et des troubles du comportement. La rispéridone est également l'AP-2G le mieux documenté chez l'enfant et l'adolescent (autisme avec troubles du comportement, trouble schizoïde débutant), et en gériatrie (démence avec troubles psychocomportementaux — avec restriction). Son métabolite actif principal, la </w:t>
      </w:r>
      <w:r>
        <w:rPr>
          <w:b/>
        </w:rPr>
        <w:t>9-hydroxyrispéridone</w:t>
      </w:r>
      <w:r>
        <w:t xml:space="preserve"> (commercialisée séparément sous le nom de </w:t>
      </w:r>
      <w:r>
        <w:rPr>
          <w:b/>
        </w:rPr>
        <w:t>palipéridone</w:t>
      </w:r>
      <w:r>
        <w:t>), possède une activité pharmacologique équivalente. Le marché algérien propose une dizaine de spécialités actives (génériques) à des prix abordables, et des formes galéniques variées (comprimés pelliculés, orodispersibles, solutions buvables), ce qui en fait la molécule la plus accessible de la classe. Les formulations à libération prolongée (Risperdal Consta) sont en retrait du marché algérien mais restent disponibles en Europe.</w:t>
      </w:r>
    </w:p>
    <w:p>
      <w:r/>
      <w:r>
        <w:rPr>
          <w:b/>
        </w:rPr>
        <w:t>Médicaments disponibles en Algérie (Marques, Laboratoires, Formes et Dosages) :</w:t>
      </w:r>
      <w:r/>
    </w:p>
    <w:p>
      <w:pPr>
        <w:pStyle w:val="ListBullet"/>
      </w:pPr>
      <w:r/>
      <w:r>
        <w:rPr>
          <w:b/>
        </w:rPr>
        <w:t>RESPIROX</w:t>
      </w:r>
      <w:r>
        <w:t xml:space="preserve"> (HIKMA PHARMA ALGERIA)</w:t>
      </w:r>
    </w:p>
    <w:p>
      <w:pPr>
        <w:pStyle w:val="ListBullet"/>
      </w:pPr>
      <w:r>
        <w:t>Formes et Dosages : Comprimé pelliculé sécable 1 mg (B/20) ; Comprimé pelliculé sécable 2 mg (B/20, B/30, B/60) ; Comprimé pelliculé sécable 4 mg (B/20)</w:t>
      </w:r>
    </w:p>
    <w:p>
      <w:pPr>
        <w:pStyle w:val="ListBullet"/>
      </w:pPr>
      <w:r>
        <w:t>Statut : Actif</w:t>
      </w:r>
    </w:p>
    <w:p>
      <w:pPr>
        <w:pStyle w:val="ListBullet"/>
      </w:pPr>
      <w:r/>
      <w:r>
        <w:rPr>
          <w:b/>
        </w:rPr>
        <w:t>RIPERAL</w:t>
      </w:r>
      <w:r>
        <w:t xml:space="preserve"> (EL KENDI INDUSTRIE DU MEDICAMENT)</w:t>
      </w:r>
    </w:p>
    <w:p>
      <w:pPr>
        <w:pStyle w:val="ListBullet"/>
      </w:pPr>
      <w:r>
        <w:t>Formes et Dosages : Comprimé pelliculé 1 mg (B/30) ; Comprimé pelliculé 2 mg (B/30) ; Comprimé pelliculé sécable 4 mg (B/30) ; Solution buvable en gouttes 1 mg/mL (B/1 flacon de 30 mL et B/1 flacon de 120 mL)</w:t>
      </w:r>
    </w:p>
    <w:p>
      <w:pPr>
        <w:pStyle w:val="ListBullet"/>
      </w:pPr>
      <w:r>
        <w:t>Statut : Actif</w:t>
      </w:r>
    </w:p>
    <w:p>
      <w:pPr>
        <w:pStyle w:val="ListBullet"/>
      </w:pPr>
      <w:r/>
      <w:r>
        <w:rPr>
          <w:b/>
        </w:rPr>
        <w:t>RISPAL</w:t>
      </w:r>
      <w:r>
        <w:t xml:space="preserve"> (BIOPHARM)</w:t>
      </w:r>
    </w:p>
    <w:p>
      <w:pPr>
        <w:pStyle w:val="ListBullet"/>
      </w:pPr>
      <w:r>
        <w:t>Formes et Dosages : Comprimé pelliculé 1 mg (B/30 et B/60) ; Comprimé pelliculé 2 mg (B/30 et B/60) ; Comprimé pelliculé 4 mg (B/30) ; Solution buvable en gouttes 1 mg/mL (B/1 flacon de 30 mL + 1 seringue doseuse graduée de 3 mL)</w:t>
      </w:r>
    </w:p>
    <w:p>
      <w:pPr>
        <w:pStyle w:val="ListBullet"/>
      </w:pPr>
      <w:r>
        <w:t>Statut : Actif</w:t>
      </w:r>
    </w:p>
    <w:p>
      <w:pPr>
        <w:pStyle w:val="ListBullet"/>
      </w:pPr>
      <w:r/>
      <w:r>
        <w:rPr>
          <w:b/>
        </w:rPr>
        <w:t>RISPERIDONE BEKER</w:t>
      </w:r>
      <w:r>
        <w:t xml:space="preserve"> (LABORATOIRES BEKER)</w:t>
      </w:r>
    </w:p>
    <w:p>
      <w:pPr>
        <w:pStyle w:val="ListBullet"/>
      </w:pPr>
      <w:r>
        <w:t>Formes et Dosages : Comprimé pelliculé sécable 1 mg (B/30 et B/60) ; Comprimé pelliculé sécable 2 mg (B/60) ; Comprimé pelliculé sécable 4 mg (B/30)</w:t>
      </w:r>
    </w:p>
    <w:p>
      <w:pPr>
        <w:pStyle w:val="ListBullet"/>
      </w:pPr>
      <w:r>
        <w:t>Statut : Actif</w:t>
      </w:r>
    </w:p>
    <w:p>
      <w:pPr>
        <w:pStyle w:val="ListBullet"/>
      </w:pPr>
      <w:r/>
      <w:r>
        <w:rPr>
          <w:b/>
        </w:rPr>
        <w:t>RISPERIDONE BGL</w:t>
      </w:r>
      <w:r>
        <w:t xml:space="preserve"> (BIOGALENIC)</w:t>
      </w:r>
    </w:p>
    <w:p>
      <w:pPr>
        <w:pStyle w:val="ListBullet"/>
      </w:pPr>
      <w:r>
        <w:t>Formes et Dosages : Comprimé pelliculé 1 mg (B/30) ; Comprimé pelliculé 2 mg (B/30) ; Comprimé pelliculé 4 mg (B/30) ; Solution buvable 1 mg/mL (B/1 flacon de 60 mL + seringue graduée en mg/mL)</w:t>
      </w:r>
    </w:p>
    <w:p>
      <w:pPr>
        <w:pStyle w:val="ListBullet"/>
      </w:pPr>
      <w:r>
        <w:t>Statut : Actif</w:t>
      </w:r>
    </w:p>
    <w:p>
      <w:pPr>
        <w:pStyle w:val="ListBullet"/>
      </w:pPr>
      <w:r/>
      <w:r>
        <w:rPr>
          <w:b/>
        </w:rPr>
        <w:t>RISPERNAD</w:t>
      </w:r>
      <w:r>
        <w:t xml:space="preserve"> (NADPHARMADIC-PRODUCTION)</w:t>
      </w:r>
    </w:p>
    <w:p>
      <w:pPr>
        <w:pStyle w:val="ListBullet"/>
      </w:pPr>
      <w:r>
        <w:t>Formes et Dosages : Comprimé pelliculé sécable 1 mg (B/60) ; Comprimé pelliculé sécable 2 mg (B/60) ; Comprimé pelliculé sécable 4 mg (B/30)</w:t>
      </w:r>
    </w:p>
    <w:p>
      <w:pPr>
        <w:pStyle w:val="ListBullet"/>
      </w:pPr>
      <w:r>
        <w:t>Statut : Actif</w:t>
      </w:r>
    </w:p>
    <w:p>
      <w:pPr>
        <w:pStyle w:val="ListBullet"/>
      </w:pPr>
      <w:r/>
      <w:r>
        <w:rPr>
          <w:b/>
        </w:rPr>
        <w:t>RIPSYZEN</w:t>
      </w:r>
      <w:r>
        <w:t xml:space="preserve"> (PHARMALLIANCE)</w:t>
      </w:r>
    </w:p>
    <w:p>
      <w:pPr>
        <w:pStyle w:val="ListBullet"/>
      </w:pPr>
      <w:r>
        <w:t>Formes et Dosages : Comprimé pelliculé sécable 1 mg (B/30) ; Comprimé pelliculé sécable 2 mg (B/30) ; Comprimé pelliculé sécable 4 mg (B/30)</w:t>
      </w:r>
    </w:p>
    <w:p>
      <w:pPr>
        <w:pStyle w:val="ListBullet"/>
      </w:pPr>
      <w:r>
        <w:t>Statut : Actif</w:t>
      </w:r>
    </w:p>
    <w:p>
      <w:pPr>
        <w:pStyle w:val="ListBullet"/>
      </w:pPr>
      <w:r/>
      <w:r>
        <w:rPr>
          <w:b/>
        </w:rPr>
        <w:t>RIPCYL</w:t>
      </w:r>
      <w:r>
        <w:t xml:space="preserve"> (LABORATOIRES MERINAL)</w:t>
      </w:r>
    </w:p>
    <w:p>
      <w:pPr>
        <w:pStyle w:val="ListBullet"/>
      </w:pPr>
      <w:r>
        <w:t>Formes et Dosages : Comprimé pelliculé sécable 2 mg (B/30 et B/60) ; Comprimé pelliculé sécable 4 mg (B/30)</w:t>
      </w:r>
    </w:p>
    <w:p>
      <w:pPr>
        <w:pStyle w:val="ListBullet"/>
      </w:pPr>
      <w:r>
        <w:t>Statut : Actif</w:t>
      </w:r>
    </w:p>
    <w:p>
      <w:pPr>
        <w:pStyle w:val="ListBullet"/>
      </w:pPr>
      <w:r/>
      <w:r>
        <w:rPr>
          <w:b/>
        </w:rPr>
        <w:t>RISPISAPH</w:t>
      </w:r>
      <w:r>
        <w:t xml:space="preserve"> (LABORATOIRES SAPHARM PRODUCTION/SARL)</w:t>
      </w:r>
    </w:p>
    <w:p>
      <w:pPr>
        <w:pStyle w:val="ListBullet"/>
      </w:pPr>
      <w:r>
        <w:t>Formes et Dosages : Comprimé pelliculé 4 mg (B/30) ; Comprimé orodispersible 4 mg (B/30)</w:t>
      </w:r>
    </w:p>
    <w:p>
      <w:pPr>
        <w:pStyle w:val="ListBullet"/>
      </w:pPr>
      <w:r>
        <w:t>Statut : Actif</w:t>
      </w:r>
    </w:p>
    <w:p>
      <w:pPr>
        <w:pStyle w:val="ListBullet"/>
      </w:pPr>
      <w:r/>
      <w:r>
        <w:rPr>
          <w:b/>
        </w:rPr>
        <w:t>RESDONE</w:t>
      </w:r>
      <w:r>
        <w:t xml:space="preserve"> (INPHA-MEDIS)</w:t>
      </w:r>
    </w:p>
    <w:p>
      <w:pPr>
        <w:pStyle w:val="ListBullet"/>
      </w:pPr>
      <w:r>
        <w:t>Formes et Dosages : Solution buvable 1 mg/mL (flacon de 60 mL + pipette graduée)</w:t>
      </w:r>
    </w:p>
    <w:p>
      <w:pPr>
        <w:pStyle w:val="ListBullet"/>
      </w:pPr>
      <w:r>
        <w:t>Statut : Actif</w:t>
      </w:r>
    </w:p>
    <w:p>
      <w:pPr>
        <w:pStyle w:val="ListBullet"/>
      </w:pPr>
      <w:r/>
      <w:r>
        <w:rPr>
          <w:b/>
        </w:rPr>
        <w:t>RISPERONE</w:t>
      </w:r>
      <w:r>
        <w:t xml:space="preserve"> (BIOLOGIE ET VITAMINE D'ALGERIE BIOVITAL)</w:t>
      </w:r>
    </w:p>
    <w:p>
      <w:pPr>
        <w:pStyle w:val="ListBullet"/>
      </w:pPr>
      <w:r>
        <w:t>Formes et Dosages : Comprimé 3 mg (B/60)</w:t>
      </w:r>
    </w:p>
    <w:p>
      <w:pPr>
        <w:pStyle w:val="ListBullet"/>
      </w:pPr>
      <w:r>
        <w:t>Statut : Actif</w:t>
      </w:r>
    </w:p>
    <w:p>
      <w:pPr>
        <w:pStyle w:val="ListBullet"/>
      </w:pPr>
      <w:r/>
      <w:r>
        <w:rPr>
          <w:b/>
        </w:rPr>
        <w:t>PSYDAL ODT</w:t>
      </w:r>
      <w:r>
        <w:t xml:space="preserve"> (CHIMIE PHARMACIE COMMERCE MULTIPLE — CPCM)</w:t>
      </w:r>
    </w:p>
    <w:p>
      <w:pPr>
        <w:pStyle w:val="ListBullet"/>
      </w:pPr>
      <w:r>
        <w:t>Formes et Dosages : Comprimé orodispersible 1 mg (B/60) ; Comprimé orodispersible 2 mg (B/60) ; Comprimé orodispersible 4 mg (B/40)</w:t>
      </w:r>
    </w:p>
    <w:p>
      <w:pPr>
        <w:pStyle w:val="ListBullet"/>
      </w:pPr>
      <w:r>
        <w:t>Statut : Actif</w:t>
      </w:r>
    </w:p>
    <w:p>
      <w:pPr>
        <w:pStyle w:val="ListBullet"/>
      </w:pPr>
      <w:r/>
      <w:r>
        <w:rPr>
          <w:b/>
        </w:rPr>
        <w:t>RISPERIDONE BEKER ORO</w:t>
      </w:r>
      <w:r>
        <w:t xml:space="preserve"> (LABORATOIRES BEKER)</w:t>
      </w:r>
    </w:p>
    <w:p>
      <w:pPr>
        <w:pStyle w:val="ListBullet"/>
      </w:pPr>
      <w:r>
        <w:t>Formes et Dosages : Comprimé orodispersible 2 mg (B/60) ; Comprimé orodispersible 4 mg (B/30)</w:t>
      </w:r>
    </w:p>
    <w:p>
      <w:pPr>
        <w:pStyle w:val="ListBullet"/>
      </w:pPr>
      <w:r>
        <w:t>Statut : Actif</w:t>
      </w:r>
    </w:p>
    <w:p>
      <w:pPr>
        <w:pStyle w:val="ListBullet"/>
      </w:pPr>
      <w:r/>
      <w:r>
        <w:rPr>
          <w:b/>
        </w:rPr>
        <w:t>RISPERDAL</w:t>
      </w:r>
      <w:r>
        <w:t xml:space="preserve"> (JANSSEN CILAG)</w:t>
      </w:r>
    </w:p>
    <w:p>
      <w:pPr>
        <w:pStyle w:val="ListBullet"/>
      </w:pPr>
      <w:r>
        <w:t>Formes et Dosages : Comprimé pelliculé sécable 1 mg (B/60) ; 2 mg (B/60) ; 4 mg (B/30) ; Solution buvable 1 mg/mL (flacon de 60 mL)</w:t>
      </w:r>
    </w:p>
    <w:p>
      <w:pPr>
        <w:pStyle w:val="ListBullet"/>
      </w:pPr>
      <w:r>
        <w:t>Statut : Retiré (R) — marque princeps initialement commercialisée, désormais remplacée par les génériques locaux</w:t>
      </w:r>
    </w:p>
    <w:p>
      <w:pPr>
        <w:pStyle w:val="ListBullet"/>
      </w:pPr>
      <w:r/>
      <w:r>
        <w:rPr>
          <w:b/>
        </w:rPr>
        <w:t>RISPEED</w:t>
      </w:r>
      <w:r>
        <w:t xml:space="preserve"> (NOVAPHARM TRADING SARL)</w:t>
      </w:r>
    </w:p>
    <w:p>
      <w:pPr>
        <w:pStyle w:val="ListBullet"/>
      </w:pPr>
      <w:r>
        <w:t>Formes et Dosages : Comprimé pelliculé sécable 1 mg, 2 mg, 4 mg (B/30)</w:t>
      </w:r>
    </w:p>
    <w:p>
      <w:pPr>
        <w:pStyle w:val="ListBullet"/>
      </w:pPr>
      <w:r>
        <w:t>Statut : Retiré (R)</w:t>
      </w:r>
    </w:p>
    <w:p>
      <w:pPr>
        <w:pStyle w:val="ListBullet"/>
      </w:pPr>
      <w:r/>
      <w:r>
        <w:rPr>
          <w:b/>
        </w:rPr>
        <w:t>RISPERONE</w:t>
      </w:r>
      <w:r>
        <w:t xml:space="preserve"> (BIOVITAL) [à distinguer de RISPERONE BIOVITAL ci-dessus]</w:t>
      </w:r>
    </w:p>
    <w:p>
      <w:pPr>
        <w:pStyle w:val="ListBullet"/>
      </w:pPr>
      <w:r>
        <w:t>Formes et Dosages : Comprimé 1 mg, 2 mg (B/60) ; 4 mg (B/30)</w:t>
      </w:r>
    </w:p>
    <w:p>
      <w:pPr>
        <w:pStyle w:val="ListBullet"/>
      </w:pPr>
      <w:r>
        <w:t>Statut : Retiré (R)</w:t>
      </w:r>
    </w:p>
    <w:p>
      <w:pPr>
        <w:pStyle w:val="ListBullet"/>
      </w:pPr>
      <w:r/>
      <w:r>
        <w:rPr>
          <w:b/>
        </w:rPr>
        <w:t>DECIDONE 1, 2, 4</w:t>
      </w:r>
      <w:r>
        <w:t xml:space="preserve"> (SOPRODIM SPA)</w:t>
      </w:r>
    </w:p>
    <w:p>
      <w:pPr>
        <w:pStyle w:val="ListBullet"/>
      </w:pPr>
      <w:r>
        <w:t>Formes et Dosages : Comprimé pelliculé 1 mg, 2 mg, 4 mg (B/30)</w:t>
      </w:r>
    </w:p>
    <w:p>
      <w:pPr>
        <w:pStyle w:val="ListBullet"/>
      </w:pPr>
      <w:r>
        <w:t>Statut : Retiré (R)</w:t>
      </w:r>
    </w:p>
    <w:p>
      <w:pPr>
        <w:pStyle w:val="ListBullet"/>
      </w:pPr>
      <w:r/>
      <w:r>
        <w:rPr>
          <w:b/>
        </w:rPr>
        <w:t>RISPERDAL CONSTA LP</w:t>
      </w:r>
      <w:r>
        <w:t xml:space="preserve"> (JANSSEN CILAG) — forme dépôt mensuel IM</w:t>
      </w:r>
    </w:p>
    <w:p>
      <w:pPr>
        <w:pStyle w:val="ListBullet"/>
      </w:pPr>
      <w:r>
        <w:t>Formes et Dosages : Poudre et solvant pour suspension injectable LP 25 mg/2 mL (12,5 mg/mL), 37,5 mg/2 mL (18,75 mg/mL), 50 mg/2 mL (25 mg/mL)</w:t>
      </w:r>
    </w:p>
    <w:p>
      <w:pPr>
        <w:pStyle w:val="ListBullet"/>
      </w:pPr>
      <w:r>
        <w:t>Statut : Retiré (R) du marché algérien — dispositif complexe de chaîne du froid et de répartition hospitalière</w:t>
      </w:r>
    </w:p>
    <w:p>
      <w:pPr>
        <w:pStyle w:val="ListBullet"/>
      </w:pPr>
      <w:r/>
      <w:r>
        <w:rPr>
          <w:b/>
        </w:rPr>
        <w:t>RISPERDALORO</w:t>
      </w:r>
      <w:r>
        <w:t xml:space="preserve"> (JANSSEN-CILAG) — forme orodispersible</w:t>
      </w:r>
    </w:p>
    <w:p>
      <w:pPr>
        <w:pStyle w:val="ListBullet"/>
      </w:pPr>
      <w:r>
        <w:t>Formes et Dosages : Comprimé orodispersible 0,5 mg, 1 mg, 2 mg, 3 mg, 4 mg (B/28)</w:t>
      </w:r>
    </w:p>
    <w:p>
      <w:pPr>
        <w:pStyle w:val="ListBullet"/>
      </w:pPr>
      <w:r>
        <w:t>Statut : Retiré (R)</w:t>
      </w:r>
    </w:p>
    <w:p>
      <w:r/>
      <w:r>
        <w:rPr>
          <w:b/>
        </w:rPr>
        <w:t>Sous-classe et Mécanisme d'action :</w:t>
      </w:r>
      <w:r/>
    </w:p>
    <w:p>
      <w:pPr>
        <w:pStyle w:val="ListBullet"/>
      </w:pPr>
      <w:r/>
      <w:r>
        <w:rPr>
          <w:b/>
        </w:rPr>
        <w:t>Sous-classe</w:t>
      </w:r>
      <w:r>
        <w:t xml:space="preserve"> : Antipsychotique atypique de 2e génération — benzisoxazole, classé AP-2G de 1re intention (schizophrénie, bipolaire, comportement). C'est l'un des AP-2G les plus étudiés et recommandés par les guidelines internationales (NICE, APA, WFSBP, HAS).</w:t>
      </w:r>
    </w:p>
    <w:p>
      <w:pPr>
        <w:pStyle w:val="ListBullet"/>
      </w:pPr>
      <w:r/>
      <w:r>
        <w:rPr>
          <w:b/>
        </w:rPr>
        <w:t>Mécanisme d'action</w:t>
      </w:r>
      <w:r>
        <w:t xml:space="preserve"> : la rispéridone est un </w:t>
      </w:r>
      <w:r>
        <w:rPr>
          <w:b/>
        </w:rPr>
        <w:t>antagoniste puissant des récepteurs D2 et 5-HT2A</w:t>
      </w:r>
      <w:r>
        <w:t xml:space="preserve"> avec un ratio 5-HT2A/D2 ~20 (plus élevé que les typiques, similaire à la clozapine). Affinité pour D2 modérée (plus forte que clozapine, plus faible que halopéridol), ce qui explique :</w:t>
      </w:r>
    </w:p>
    <w:p>
      <w:pPr>
        <w:pStyle w:val="ListBullet"/>
      </w:pPr>
      <w:r>
        <w:t xml:space="preserve">Aux </w:t>
      </w:r>
      <w:r>
        <w:rPr>
          <w:b/>
        </w:rPr>
        <w:t>faibles doses</w:t>
      </w:r>
      <w:r>
        <w:t xml:space="preserve"> (1-3 mg/j) : profil "atypique" (blocage 5-HT2A prédominant), faible incidence d'EPS</w:t>
      </w:r>
    </w:p>
    <w:p>
      <w:pPr>
        <w:pStyle w:val="ListBullet"/>
      </w:pPr>
      <w:r>
        <w:t xml:space="preserve">Aux </w:t>
      </w:r>
      <w:r>
        <w:rPr>
          <w:b/>
        </w:rPr>
        <w:t>fortes doses</w:t>
      </w:r>
      <w:r>
        <w:t xml:space="preserve"> (&gt; 4-6 mg/j) : occupation D2 &gt; 80 %, perdant le bénéfice atypique → réapparition des EPS (parkinsonisme, akathisie, dystonie) et hyperprolactinémie</w:t>
      </w:r>
    </w:p>
    <w:p>
      <w:pPr>
        <w:pStyle w:val="ListBullet"/>
      </w:pPr>
      <w:r>
        <w:t xml:space="preserve">Affinité pour </w:t>
      </w:r>
      <w:r>
        <w:rPr>
          <w:b/>
        </w:rPr>
        <w:t>alpha-1 adrénergique</w:t>
      </w:r>
      <w:r>
        <w:t xml:space="preserve"> (hypotension orthostatique, sédation modérée)</w:t>
      </w:r>
    </w:p>
    <w:p>
      <w:pPr>
        <w:pStyle w:val="ListBullet"/>
      </w:pPr>
      <w:r>
        <w:t xml:space="preserve">Affinité pour </w:t>
      </w:r>
      <w:r>
        <w:rPr>
          <w:b/>
        </w:rPr>
        <w:t>H1</w:t>
      </w:r>
      <w:r>
        <w:t xml:space="preserve"> modérée (prise de poids, sédation moindre que clozapine/olanzapine)</w:t>
      </w:r>
    </w:p>
    <w:p>
      <w:pPr>
        <w:pStyle w:val="ListBullet"/>
      </w:pPr>
      <w:r>
        <w:t>Pas d'affinité significative pour les récepteurs muscariniques (absence d'effets atropiniques)</w:t>
      </w:r>
    </w:p>
    <w:p>
      <w:pPr>
        <w:pStyle w:val="ListBullet"/>
      </w:pPr>
      <w:r/>
      <w:r>
        <w:rPr>
          <w:b/>
        </w:rPr>
        <w:t>Métabolisme</w:t>
      </w:r>
      <w:r>
        <w:t xml:space="preserve"> : CYP2D6 → métabolite actif 9-hydroxyrispéridone (palipéridone), qui possède une activité pharmacologique équivalente et une demi-vie prolongée (20-24 h). La sum des concentrations rispéridone + 9-OH-rispéridone constitue la "fraction antipsychotique active". Chez les métaboliseurs lents CYP2D6 (10 % Caucaséens), la fraction rispéridone/9-OH est déséquilibrée — sans conséquence clinique majeure.</w:t>
      </w:r>
    </w:p>
    <w:p>
      <w:pPr>
        <w:pStyle w:val="ListBullet"/>
      </w:pPr>
      <w:r/>
      <w:r>
        <w:rPr>
          <w:b/>
        </w:rPr>
        <w:t>Délai d'action</w:t>
      </w:r>
      <w:r>
        <w:t xml:space="preserve"> : effet antipsychotique en 1-2 semaines (symptômes positifs), pleine efficacité à 4-6 semaines.</w:t>
      </w:r>
    </w:p>
    <w:p>
      <w:r/>
      <w:r>
        <w:rPr>
          <w:b/>
        </w:rPr>
        <w:t>Profil Pharmacologique :</w:t>
      </w:r>
      <w:r/>
    </w:p>
    <w:p>
      <w:pPr>
        <w:pStyle w:val="ListBullet"/>
      </w:pPr>
      <w:r/>
      <w:r>
        <w:rPr>
          <w:b/>
        </w:rPr>
        <w:t>Indications</w:t>
      </w:r>
      <w:r>
        <w:t xml:space="preserve"> :</w:t>
      </w:r>
    </w:p>
    <w:p>
      <w:pPr>
        <w:pStyle w:val="ListBullet"/>
      </w:pPr>
      <w:r/>
      <w:r>
        <w:rPr>
          <w:b/>
        </w:rPr>
        <w:t>Schizophrénie</w:t>
      </w:r>
      <w:r>
        <w:t xml:space="preserve"> (toutes phases : aiguë, d'entretien, prévention rechutes) — AMM</w:t>
      </w:r>
    </w:p>
    <w:p>
      <w:pPr>
        <w:pStyle w:val="ListBullet"/>
      </w:pPr>
      <w:r/>
      <w:r>
        <w:rPr>
          <w:b/>
        </w:rPr>
        <w:t>Trouble bipolaire</w:t>
      </w:r>
      <w:r>
        <w:t xml:space="preserve"> (épisode maniaque aigu, traitement d'entretien) — AMM</w:t>
      </w:r>
    </w:p>
    <w:p>
      <w:pPr>
        <w:pStyle w:val="ListBullet"/>
      </w:pPr>
      <w:r/>
      <w:r>
        <w:rPr>
          <w:b/>
        </w:rPr>
        <w:t>Troubles du comportement</w:t>
      </w:r>
      <w:r>
        <w:t xml:space="preserve"> (agressivité, automutilation) dans l'autisme et troubles envahissants du développement chez l'enfant et adolescent (5-18 ans) — AMM</w:t>
      </w:r>
    </w:p>
    <w:p>
      <w:pPr>
        <w:pStyle w:val="ListBullet"/>
      </w:pPr>
      <w:r/>
      <w:r>
        <w:rPr>
          <w:b/>
        </w:rPr>
        <w:t>Troubles psychocomportementaux</w:t>
      </w:r>
      <w:r>
        <w:t xml:space="preserve"> dans la démence (Alzheimer, vasculaire) à doses faibles (hors AMM européenne, restricted) — risque accru de mortalité (AVC)</w:t>
      </w:r>
    </w:p>
    <w:p>
      <w:pPr>
        <w:pStyle w:val="ListBullet"/>
      </w:pPr>
      <w:r/>
      <w:r>
        <w:rPr>
          <w:b/>
        </w:rPr>
        <w:t>Tics sévères</w:t>
      </w:r>
      <w:r>
        <w:t xml:space="preserve"> dans le syndrome de Gilles de la Tourette (2e intention)</w:t>
      </w:r>
    </w:p>
    <w:p>
      <w:pPr>
        <w:pStyle w:val="ListBullet"/>
      </w:pPr>
      <w:r/>
      <w:r>
        <w:rPr>
          <w:b/>
        </w:rPr>
        <w:t>Troubles des conduites</w:t>
      </w:r>
      <w:r>
        <w:t xml:space="preserve"> avec agressivité chez l'adolescent (à dose faible, AMM européenne)</w:t>
      </w:r>
    </w:p>
    <w:p>
      <w:pPr>
        <w:pStyle w:val="ListBullet"/>
      </w:pPr>
      <w:r/>
      <w:r>
        <w:rPr>
          <w:b/>
        </w:rPr>
        <w:t>Contre-indications</w:t>
      </w:r>
      <w:r>
        <w:t xml:space="preserve"> :</w:t>
      </w:r>
    </w:p>
    <w:p>
      <w:pPr>
        <w:pStyle w:val="ListBullet"/>
      </w:pPr>
      <w:r>
        <w:t>Hypersensibilité à la rispéridone</w:t>
      </w:r>
    </w:p>
    <w:p>
      <w:pPr>
        <w:pStyle w:val="ListBullet"/>
      </w:pPr>
      <w:r>
        <w:t>Allaitement (CI relative selon CRAT)</w:t>
      </w:r>
    </w:p>
    <w:p>
      <w:pPr>
        <w:pStyle w:val="ListBullet"/>
      </w:pPr>
      <w:r>
        <w:t>Phéochromocytome (risque de crise hypertensive par blocage alpha-1 paradoxal)</w:t>
      </w:r>
    </w:p>
    <w:p>
      <w:pPr>
        <w:pStyle w:val="ListBullet"/>
      </w:pPr>
      <w:r>
        <w:t>Insuffisance hépatique sévère (poser problème de métabolisme)</w:t>
      </w:r>
    </w:p>
    <w:p>
      <w:pPr>
        <w:pStyle w:val="ListBullet"/>
      </w:pPr>
      <w:r>
        <w:t>En association avec les allongeurs QTc à doses supra-thérapeutiques</w:t>
      </w:r>
    </w:p>
    <w:p>
      <w:pPr>
        <w:pStyle w:val="ListBullet"/>
      </w:pPr>
      <w:r/>
      <w:r>
        <w:rPr>
          <w:b/>
        </w:rPr>
        <w:t>Effets Indésirables</w:t>
      </w:r>
      <w:r>
        <w:t xml:space="preserve"> :</w:t>
      </w:r>
    </w:p>
    <w:p>
      <w:pPr>
        <w:pStyle w:val="ListBullet"/>
      </w:pPr>
      <w:r/>
      <w:r>
        <w:rPr>
          <w:b/>
        </w:rPr>
        <w:t>Hyperprolactinémie</w:t>
      </w:r>
      <w:r>
        <w:t xml:space="preserve"> (effet quasi-spécifique à la classe, mais particulièrement marquée avec rispéridone) : 60-90 % des patients présentent une hyperprolactinémie dose-dépendante, cliniquement symptomatique dans 30-50 % des cas → galactorrhée, aménorrhée, troubles du cycle, baisse de libido, dysfonction érectile, gynécomastie (hommes), ostéopénie à long terme. Réversible à l'arrêt ou à la diminution de dose.</w:t>
      </w:r>
    </w:p>
    <w:p>
      <w:pPr>
        <w:pStyle w:val="ListBullet"/>
      </w:pPr>
      <w:r/>
      <w:r>
        <w:rPr>
          <w:b/>
        </w:rPr>
        <w:t>EPS dose-dépendants</w:t>
      </w:r>
      <w:r>
        <w:t xml:space="preserve"> : parkinsonisme (15-20 % à &gt; 6 mg/j), akathisie (10-15 %), dystonie aiguë (rare), dyskinésie tardive (&lt; 1 %/an)</w:t>
      </w:r>
    </w:p>
    <w:p>
      <w:pPr>
        <w:pStyle w:val="ListBullet"/>
      </w:pPr>
      <w:r/>
      <w:r>
        <w:rPr>
          <w:b/>
        </w:rPr>
        <w:t>Sédation</w:t>
      </w:r>
      <w:r>
        <w:t xml:space="preserve"> modérée (10-20 %)</w:t>
      </w:r>
    </w:p>
    <w:p>
      <w:pPr>
        <w:pStyle w:val="ListBullet"/>
      </w:pPr>
      <w:r/>
      <w:r>
        <w:rPr>
          <w:b/>
        </w:rPr>
        <w:t>Hypotension orthostatique</w:t>
      </w:r>
      <w:r>
        <w:t xml:space="preserve"> (surtout initiation, sujet âgé)</w:t>
      </w:r>
    </w:p>
    <w:p>
      <w:pPr>
        <w:pStyle w:val="ListBullet"/>
      </w:pPr>
      <w:r/>
      <w:r>
        <w:rPr>
          <w:b/>
        </w:rPr>
        <w:t>Prise de poids</w:t>
      </w:r>
      <w:r>
        <w:t xml:space="preserve"> modérée (1-3 kg en moyenne, moins marquée que olanzapine/clozapine)</w:t>
      </w:r>
    </w:p>
    <w:p>
      <w:pPr>
        <w:pStyle w:val="ListBullet"/>
      </w:pPr>
      <w:r/>
      <w:r>
        <w:rPr>
          <w:b/>
        </w:rPr>
        <w:t>Risque métabolique</w:t>
      </w:r>
      <w:r>
        <w:t xml:space="preserve"> intermédiaire : diabète, dyslipidémie (moins que olanzapine, plus que aripiprazole/ziprasidone)</w:t>
      </w:r>
    </w:p>
    <w:p>
      <w:pPr>
        <w:pStyle w:val="ListBullet"/>
      </w:pPr>
      <w:r/>
      <w:r>
        <w:rPr>
          <w:b/>
        </w:rPr>
        <w:t>Allongement QTc</w:t>
      </w:r>
      <w:r>
        <w:t xml:space="preserve"> modéré, rarement torsadogène isolé</w:t>
      </w:r>
    </w:p>
    <w:p>
      <w:pPr>
        <w:pStyle w:val="ListBullet"/>
      </w:pPr>
      <w:r/>
      <w:r>
        <w:rPr>
          <w:b/>
        </w:rPr>
        <w:t>Salivation paradoxale</w:t>
      </w:r>
      <w:r>
        <w:t xml:space="preserve"> (rares cas)</w:t>
      </w:r>
    </w:p>
    <w:p>
      <w:pPr>
        <w:pStyle w:val="ListBullet"/>
      </w:pPr>
      <w:r/>
      <w:r>
        <w:rPr>
          <w:b/>
        </w:rPr>
        <w:t>Syndrome malin des neuroleptiques</w:t>
      </w:r>
      <w:r>
        <w:t xml:space="preserve"> (rare mais possible)</w:t>
      </w:r>
    </w:p>
    <w:p>
      <w:pPr>
        <w:pStyle w:val="ListBullet"/>
      </w:pPr>
      <w:r/>
      <w:r>
        <w:rPr>
          <w:b/>
        </w:rPr>
        <w:t>Convulsions</w:t>
      </w:r>
      <w:r>
        <w:t xml:space="preserve"> (rare, seuil abaissé)</w:t>
      </w:r>
    </w:p>
    <w:p>
      <w:pPr>
        <w:pStyle w:val="ListBullet"/>
      </w:pPr>
      <w:r/>
      <w:r>
        <w:rPr>
          <w:b/>
        </w:rPr>
        <w:t>Risque d'AVC</w:t>
      </w:r>
      <w:r>
        <w:t xml:space="preserve"> majoré en gériatrie (démence) — RR × 2-3</w:t>
      </w:r>
    </w:p>
    <w:p>
      <w:pPr>
        <w:pStyle w:val="ListBullet"/>
      </w:pPr>
      <w:r/>
      <w:r>
        <w:rPr>
          <w:b/>
        </w:rPr>
        <w:t>Priapisme</w:t>
      </w:r>
      <w:r>
        <w:t xml:space="preserve"> (rare, par alpha-blocage)</w:t>
      </w:r>
    </w:p>
    <w:p>
      <w:pPr>
        <w:pStyle w:val="ListBullet"/>
      </w:pPr>
      <w:r/>
      <w:r>
        <w:rPr>
          <w:b/>
        </w:rPr>
        <w:t>Dyspepsie, nausées, constipation</w:t>
      </w:r>
      <w:r/>
    </w:p>
    <w:p>
      <w:pPr>
        <w:pStyle w:val="ListBullet"/>
      </w:pPr>
      <w:r/>
      <w:r>
        <w:rPr>
          <w:b/>
        </w:rPr>
        <w:t>Œdème périphérique</w:t>
      </w:r>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w:t>
      </w:r>
      <w:r>
        <w:t xml:space="preserve"> : poids, taille, IMC, tour de taille, TA, glycémie à jeun, HbA1c, bilan lipidique, ECG (surtout si âge &gt; 50 ans ou ATCD cardiaques), prolactinémie de base</w:t>
      </w:r>
    </w:p>
    <w:p>
      <w:pPr>
        <w:pStyle w:val="ListBullet"/>
      </w:pPr>
      <w:r/>
      <w:r>
        <w:rPr>
          <w:b/>
        </w:rPr>
        <w:t>Surveillance métabolique</w:t>
      </w:r>
      <w:r>
        <w:t xml:space="preserve"> : à M1, M3, M6 puis semestrielle — calendrier contraignant</w:t>
      </w:r>
    </w:p>
    <w:p>
      <w:pPr>
        <w:pStyle w:val="ListBullet"/>
      </w:pPr>
      <w:r/>
      <w:r>
        <w:rPr>
          <w:b/>
        </w:rPr>
        <w:t>Surveillance prolactinémie</w:t>
      </w:r>
      <w:r>
        <w:t xml:space="preserve"> : à l'initiation puis si symptomatologie clinique (aménorrhée, galactorrhée, troubles sexuels, gynécomastie) — pas de surveillance systématique si asymptomatique</w:t>
      </w:r>
    </w:p>
    <w:p>
      <w:pPr>
        <w:pStyle w:val="ListBullet"/>
      </w:pPr>
      <w:r/>
      <w:r>
        <w:rPr>
          <w:b/>
        </w:rPr>
        <w:t>Sujets âgés déments</w:t>
      </w:r>
      <w:r>
        <w:t xml:space="preserve"> : évaluer le rapport bénéfice/risque (risque AVC + mortalité majorée) ; ne pas dépasser 1 mg/j en 2 prises</w:t>
      </w:r>
    </w:p>
    <w:p>
      <w:pPr>
        <w:pStyle w:val="ListBullet"/>
      </w:pPr>
      <w:r/>
      <w:r>
        <w:rPr>
          <w:b/>
        </w:rPr>
        <w:t>Adaptation posologique</w:t>
      </w:r>
      <w:r>
        <w:t xml:space="preserve"> chez l'insuffisant rénal/hépatique : dose initiale 0,5 mg × 2/j, augmentation lente par paliers de 0,5 mg</w:t>
      </w:r>
    </w:p>
    <w:p>
      <w:pPr>
        <w:pStyle w:val="ListBullet"/>
      </w:pPr>
      <w:r/>
      <w:r>
        <w:rPr>
          <w:b/>
        </w:rPr>
        <w:t>Titration progressive</w:t>
      </w:r>
      <w:r>
        <w:t xml:space="preserve"> : commencer à 1 mg/j et augmenter par paliers de 1 mg tous les 3-5 jours pour limiter l'hypotension orthostatique</w:t>
      </w:r>
    </w:p>
    <w:p>
      <w:pPr>
        <w:pStyle w:val="ListBullet"/>
      </w:pPr>
      <w:r/>
      <w:r>
        <w:rPr>
          <w:b/>
        </w:rPr>
        <w:t>Conduite à Tenir</w:t>
      </w:r>
      <w:r>
        <w:t xml:space="preserve"> :</w:t>
      </w:r>
    </w:p>
    <w:p>
      <w:pPr>
        <w:pStyle w:val="ListBullet"/>
      </w:pPr>
      <w:r/>
      <w:r>
        <w:rPr>
          <w:b/>
        </w:rPr>
        <w:t>Si hyperprolactinémie symptomatique</w:t>
      </w:r>
      <w:r>
        <w:t xml:space="preserve"> : réduire la dose si possible, sinon switch vers aripiprazole (agoniste partiel D2 qui normalise la prolactinémie)</w:t>
      </w:r>
    </w:p>
    <w:p>
      <w:pPr>
        <w:pStyle w:val="ListBullet"/>
      </w:pPr>
      <w:r/>
      <w:r>
        <w:rPr>
          <w:b/>
        </w:rPr>
        <w:t>Si akathisie sévère</w:t>
      </w:r>
      <w:r>
        <w:t xml:space="preserve"> : réduction de dose, propranolol 30-60 mg/j ou mésylate de pridinol</w:t>
      </w:r>
    </w:p>
    <w:p>
      <w:pPr>
        <w:pStyle w:val="ListBullet"/>
      </w:pPr>
      <w:r/>
      <w:r>
        <w:rPr>
          <w:b/>
        </w:rPr>
        <w:t>Si parkinsonisme</w:t>
      </w:r>
      <w:r>
        <w:t xml:space="preserve"> : réduction de dose, ajustement antiparkinsonien anticholinergique (trihexyphénidyle) en courte durée</w:t>
      </w:r>
    </w:p>
    <w:p>
      <w:pPr>
        <w:pStyle w:val="ListBullet"/>
      </w:pPr>
      <w:r/>
      <w:r>
        <w:rPr>
          <w:b/>
        </w:rPr>
        <w:t>Si hypotension orthostatique</w:t>
      </w:r>
      <w:r>
        <w:t xml:space="preserve"> : réduction de dose, fractionnement des prises, lever progressif</w:t>
      </w:r>
    </w:p>
    <w:p>
      <w:pPr>
        <w:pStyle w:val="ListBullet"/>
      </w:pPr>
      <w:r/>
      <w:r>
        <w:rPr>
          <w:b/>
        </w:rPr>
        <w:t>Si prise de poids &gt; 5 % en 1 mois</w:t>
      </w:r>
      <w:r>
        <w:t xml:space="preserve"> : conseil diététique, activité physique, surveillance accrue ; envisager switch vers aripiprazole ou ziprasidone (moins obésigènes)</w:t>
      </w:r>
    </w:p>
    <w:p>
      <w:pPr>
        <w:pStyle w:val="ListBullet"/>
      </w:pPr>
      <w:r/>
      <w:r>
        <w:rPr>
          <w:b/>
        </w:rPr>
        <w:t>Si dyskinésie tardive</w:t>
      </w:r>
      <w:r>
        <w:t xml:space="preserve"> : arrêt ou switch vers clozapine/quétiapine ; pas d'anticholinergique</w:t>
      </w:r>
    </w:p>
    <w:p>
      <w:r/>
      <w:r>
        <w:rPr>
          <w:b/>
        </w:rPr>
        <w:t>Interactions Importantes :</w:t>
      </w:r>
      <w:r/>
    </w:p>
    <w:p>
      <w:pPr>
        <w:pStyle w:val="ListBullet"/>
      </w:pPr>
      <w:r/>
      <w:r>
        <w:rPr>
          <w:b/>
        </w:rPr>
        <w:t>Rispéridone + carbamazépine</w:t>
      </w:r>
      <w:r>
        <w:t xml:space="preserve"> : induction enzymatique (CYP3A4) → diminution des taux de rispéridone de 50 % → inefficacité ; surveiller et adapter</w:t>
      </w:r>
    </w:p>
    <w:p>
      <w:pPr>
        <w:pStyle w:val="ListBullet"/>
      </w:pPr>
      <w:r/>
      <w:r>
        <w:rPr>
          <w:b/>
        </w:rPr>
        <w:t>Rispéridone + fluoxétine, paroxétine</w:t>
      </w:r>
      <w:r>
        <w:t xml:space="preserve"> (inhibiteurs CYP2D6) : augmentation des taux de rispéridone de 25-75 % → surveillance accrue, adaptation de dose</w:t>
      </w:r>
    </w:p>
    <w:p>
      <w:pPr>
        <w:pStyle w:val="ListBullet"/>
      </w:pPr>
      <w:r/>
      <w:r>
        <w:rPr>
          <w:b/>
        </w:rPr>
        <w:t>Rispéridone + allongeurs QTc</w:t>
      </w:r>
      <w:r>
        <w:t xml:space="preserve"> (amiodarone, sotalol, méthadone, antibiotiques macrolides/fluoroquinolones, autres antipsychotiques) : effet additif torsadogène, surveillance ECG</w:t>
      </w:r>
    </w:p>
    <w:p>
      <w:pPr>
        <w:pStyle w:val="ListBullet"/>
      </w:pPr>
      <w:r/>
      <w:r>
        <w:rPr>
          <w:b/>
        </w:rPr>
        <w:t>Rispéridone + dépresseurs SNC</w:t>
      </w:r>
      <w:r>
        <w:t xml:space="preserve"> (alcool, opioïdes, benzodiazépines) : potentialisation sédative et risque dépression respiratoire</w:t>
      </w:r>
    </w:p>
    <w:p>
      <w:pPr>
        <w:pStyle w:val="ListBullet"/>
      </w:pPr>
      <w:r/>
      <w:r>
        <w:rPr>
          <w:b/>
        </w:rPr>
        <w:t>Rispéridone + antihypertenseurs</w:t>
      </w:r>
      <w:r>
        <w:t xml:space="preserve"> : hypotension orthostatique majorée</w:t>
      </w:r>
    </w:p>
    <w:p>
      <w:pPr>
        <w:pStyle w:val="ListBullet"/>
      </w:pPr>
      <w:r/>
      <w:r>
        <w:rPr>
          <w:b/>
        </w:rPr>
        <w:t>Rispéridone + lévodopa</w:t>
      </w:r>
      <w:r>
        <w:t xml:space="preserve"> : antagonisme de l'effet antiparkinsonien (la rispéridone bloque les D2 stimulées par la lévodopa)</w:t>
      </w:r>
    </w:p>
    <w:p>
      <w:pPr>
        <w:pStyle w:val="ListBullet"/>
      </w:pPr>
      <w:r/>
      <w:r>
        <w:rPr>
          <w:b/>
        </w:rPr>
        <w:t>Rispéridone + bromocriptine</w:t>
      </w:r>
      <w:r>
        <w:t xml:space="preserve"> : antagonisme thérapeutique</w:t>
      </w:r>
    </w:p>
    <w:p>
      <w:pPr>
        <w:pStyle w:val="ListBullet"/>
      </w:pPr>
      <w:r/>
      <w:r>
        <w:rPr>
          <w:b/>
        </w:rPr>
        <w:t>Rispéridone + lithium</w:t>
      </w:r>
      <w:r>
        <w:t xml:space="preserve"> : risque majoré de syndrome malin et EPS</w:t>
      </w:r>
    </w:p>
    <w:p>
      <w:r/>
      <w:r>
        <w:rPr>
          <w:b/>
        </w:rPr>
        <w:t>Grossesse et Allaitement :</w:t>
      </w:r>
      <w:r/>
    </w:p>
    <w:p>
      <w:pPr>
        <w:pStyle w:val="ListBullet"/>
      </w:pPr>
      <w:r/>
      <w:r>
        <w:rPr>
          <w:b/>
        </w:rPr>
        <w:t>Grossesse</w:t>
      </w:r>
      <w:r>
        <w:t xml:space="preserve"> : selon CRAT, la rispéridone est l'un des AP-2G les mieux documentés. Pas de surrisque malformatif global démontré à ce jour (données limitées sur ~500 grossesses exposées). Risque d'</w:t>
      </w:r>
      <w:r>
        <w:rPr>
          <w:b/>
        </w:rPr>
        <w:t>hypotonie néonatale transitoire</w:t>
      </w:r>
      <w:r>
        <w:t>, de détresse respiratoire, de troubles de succion, de tremblements et d'hyperexcitabilité (syndrome de sevrage néonatal). Risque métabolique (diabète gestationnel majoré). À utiliser si nécessaire en privilégiant la dose minimale efficace et en évitant les associations. Surveillance néonatale renforcée (48 h en maternité). Échographie morphologique standard à 22 SA.</w:t>
      </w:r>
    </w:p>
    <w:p>
      <w:pPr>
        <w:pStyle w:val="ListBullet"/>
      </w:pPr>
      <w:r/>
      <w:r>
        <w:rPr>
          <w:b/>
        </w:rPr>
        <w:t>Allaitement</w:t>
      </w:r>
      <w:r>
        <w:t xml:space="preserve"> : selon CRAT, la rispéridone passe peu dans le lait maternel (rapport lait/plasma ~0,5) avec une dose relative infantile (DRI) ~ 1-3 % de la dose maternelle pondérale — </w:t>
      </w:r>
      <w:r>
        <w:rPr>
          <w:b/>
        </w:rPr>
        <w:t>en dessous du seuil de préoccupation</w:t>
      </w:r>
      <w:r>
        <w:t xml:space="preserve">. La 9-OH-rispéridone est également présente en quantité modeste. L'allaitement est donc </w:t>
      </w:r>
      <w:r>
        <w:rPr>
          <w:b/>
        </w:rPr>
        <w:t>possible</w:t>
      </w:r>
      <w:r>
        <w:t xml:space="preserve"> sous surveillance de la sédation, de la prise de poids et du développement neurologique du nourrisson. À éviter en cas de polymédication maternelle.</w:t>
      </w:r>
    </w:p>
    <w:p>
      <w:pPr>
        <w:pStyle w:val="ListBullet"/>
      </w:pPr>
      <w:r/>
      <w:r>
        <w:rPr>
          <w:b/>
        </w:rPr>
        <w:t>Précisions</w:t>
      </w:r>
      <w:r>
        <w:t xml:space="preserve"> : surveillance glycémie néonatale, poids, comportement.</w:t>
      </w:r>
    </w:p>
    <w:p>
      <w:r/>
      <w:r>
        <w:rPr>
          <w:b/>
        </w:rPr>
        <w:t>Posologie et Mode d'administration (Standard) :</w:t>
      </w:r>
      <w:r/>
    </w:p>
    <w:p>
      <w:pPr>
        <w:pStyle w:val="ListBullet"/>
      </w:pPr>
      <w:r/>
      <w:r>
        <w:rPr>
          <w:b/>
        </w:rPr>
        <w:t>Adulte</w:t>
      </w:r>
      <w:r>
        <w:t xml:space="preserve"> :</w:t>
      </w:r>
    </w:p>
    <w:p>
      <w:pPr>
        <w:pStyle w:val="ListBullet"/>
      </w:pPr>
      <w:r/>
      <w:r>
        <w:rPr>
          <w:b/>
        </w:rPr>
        <w:t>Schizophrénie</w:t>
      </w:r>
      <w:r>
        <w:t xml:space="preserve"> : 2 mg/j en 1-2 prises (titration : 1 mg/j à J1, puis 2 mg/j à J3, 4 mg/j à J5 si nécessaire) ; dose d'entretien 4-6 mg/j, maximum 16 mg/j (au-delà, perte du bénéfice atypique)</w:t>
      </w:r>
    </w:p>
    <w:p>
      <w:pPr>
        <w:pStyle w:val="ListBullet"/>
      </w:pPr>
      <w:r/>
      <w:r>
        <w:rPr>
          <w:b/>
        </w:rPr>
        <w:t>Trouble bipolaire (manie)</w:t>
      </w:r>
      <w:r>
        <w:t xml:space="preserve"> : 2-6 mg/j en une prise</w:t>
      </w:r>
    </w:p>
    <w:p>
      <w:pPr>
        <w:pStyle w:val="ListBullet"/>
      </w:pPr>
      <w:r/>
      <w:r>
        <w:rPr>
          <w:b/>
        </w:rPr>
        <w:t>Autisme enfant/adolescent</w:t>
      </w:r>
      <w:r>
        <w:t xml:space="preserve"> (5-18 ans, poids &gt; 15 kg) : 0,5-3 mg/j selon poids</w:t>
      </w:r>
    </w:p>
    <w:p>
      <w:pPr>
        <w:pStyle w:val="ListBullet"/>
      </w:pPr>
      <w:r/>
      <w:r>
        <w:rPr>
          <w:b/>
        </w:rPr>
        <w:t>Démence gériatrique</w:t>
      </w:r>
      <w:r>
        <w:t xml:space="preserve"> : 0,25-1 mg/j en 2 prises (ne pas dépasser 1 mg/j)</w:t>
      </w:r>
    </w:p>
    <w:p>
      <w:pPr>
        <w:pStyle w:val="ListBullet"/>
      </w:pPr>
      <w:r/>
      <w:r>
        <w:rPr>
          <w:b/>
        </w:rPr>
        <w:t>Sujet âgé</w:t>
      </w:r>
      <w:r>
        <w:t xml:space="preserve"> (non dément) : dose initiale 0,5 mg × 2/j, augmentation par paliers de 0,5 mg × 2/j, dose cible 1-2 mg × 2/j</w:t>
      </w:r>
    </w:p>
    <w:p>
      <w:pPr>
        <w:pStyle w:val="ListBullet"/>
      </w:pPr>
      <w:r/>
      <w:r>
        <w:rPr>
          <w:b/>
        </w:rPr>
        <w:t>Insuffisant rénal/hépatique</w:t>
      </w:r>
      <w:r>
        <w:t xml:space="preserve"> : dose initiale 0,5 mg × 2/j, titration lente</w:t>
      </w:r>
    </w:p>
    <w:p>
      <w:pPr>
        <w:pStyle w:val="ListBullet"/>
      </w:pPr>
      <w:r/>
      <w:r>
        <w:rPr>
          <w:b/>
        </w:rPr>
        <w:t>Durée</w:t>
      </w:r>
      <w:r>
        <w:t xml:space="preserve"> : au long cours (années) ; évaluation annuelle du bien-fondé</w:t>
      </w:r>
    </w:p>
    <w:p>
      <w:pPr>
        <w:pStyle w:val="ListBullet"/>
      </w:pPr>
      <w:r/>
      <w:r>
        <w:rPr>
          <w:b/>
        </w:rPr>
        <w:t>Moment de la prise</w:t>
      </w:r>
      <w:r>
        <w:t xml:space="preserve"> : pendant ou après repas ; le soir si sédation recherchée ; deux prises par jour (matin + soir) à doses plus élevées pour mieux répartir les concentrations</w:t>
      </w:r>
    </w:p>
    <w:p>
      <w:r/>
      <w:r>
        <w:rPr>
          <w:b/>
        </w:rPr>
        <w:t>Arbitrage et Bénéfices des Formes Galéniques :</w:t>
      </w:r>
      <w:r/>
    </w:p>
    <w:p>
      <w:pPr>
        <w:pStyle w:val="ListBullet"/>
      </w:pPr>
      <w:r/>
      <w:r>
        <w:rPr>
          <w:b/>
        </w:rPr>
        <w:t>Comprimés pelliculés sécables 1, 2, 4 mg</w:t>
      </w:r>
      <w:r>
        <w:t xml:space="preserve"> : forme de référence pour la schizophrénie et le trouble bipolaire adulte. La sécabilité permet l'adaptation posologique fine et la titration.</w:t>
      </w:r>
    </w:p>
    <w:p>
      <w:pPr>
        <w:pStyle w:val="ListBullet"/>
      </w:pPr>
      <w:r/>
      <w:r>
        <w:rPr>
          <w:b/>
        </w:rPr>
        <w:t>Comprimés orodispersibles (PSYDAL ODT, RISPERIDONE BEKER ORO, RISPISAPH ODT)</w:t>
      </w:r>
      <w:r>
        <w:t xml:space="preserve"> : indiqués pour patients dysphagiques, en gériatrie, en cas de refus de traitement ou non-observance (dissimulation dans l'eau, mais attention au risque de mésusage). Se dissolvent en quelques secondes sur la langue, sans eau. Goût masqué.</w:t>
      </w:r>
    </w:p>
    <w:p>
      <w:pPr>
        <w:pStyle w:val="ListBullet"/>
      </w:pPr>
      <w:r/>
      <w:r>
        <w:rPr>
          <w:b/>
        </w:rPr>
        <w:t>Solutions buvables 1 mg/mL (RIPERAL, RISPAL, RISPERIDONE BGL, RESDONE)</w:t>
      </w:r>
      <w:r>
        <w:t xml:space="preserve"> : indiquées pour la pédiatrie (autisme), la gériatrie, l'adaptation posologique fine (faibles doses), les patients incapables d'avaler des comprimés. La solution permet aussi de vérifier l'observance (administration supervisée). Se conserve après ouverture 1 mois en général.</w:t>
      </w:r>
    </w:p>
    <w:p>
      <w:pPr>
        <w:pStyle w:val="ListBullet"/>
      </w:pPr>
      <w:r/>
      <w:r>
        <w:rPr>
          <w:b/>
        </w:rPr>
        <w:t>Forme dépôt LP IM mensuelle (Risperdal Consta — retirée en Algérie)</w:t>
      </w:r>
      <w:r>
        <w:t xml:space="preserve"> : progrès majeur pour l'observance ; injection IM profonde toutes les 2 semaines (et non 4 semaines — particularité de la technologie de microsphères). Disparition du marché algérien mais reste intéressante à connaître pour les patients voyageant ou revenant d'Europe.</w:t>
      </w:r>
    </w:p>
    <w:p>
      <w:r/>
      <w:r>
        <w:rPr>
          <w:b/>
        </w:rPr>
        <w:t>Instructions et Conseils au Patient :</w:t>
      </w:r>
      <w:r/>
    </w:p>
    <w:p>
      <w:pPr>
        <w:pStyle w:val="ListBullet"/>
      </w:pPr>
      <w:r/>
      <w:r>
        <w:rPr>
          <w:b/>
        </w:rPr>
        <w:t>Communication au comptoir</w:t>
      </w:r>
      <w:r>
        <w:t xml:space="preserve"> :</w:t>
      </w:r>
    </w:p>
    <w:p>
      <w:pPr>
        <w:pStyle w:val="ListBullet"/>
      </w:pPr>
      <w:r>
        <w:t>Expliquer que le médicament agit en quelques jours mais atteint son efficacité maximale en 4-6 semaines — ne pas arrêter précocement</w:t>
      </w:r>
    </w:p>
    <w:p>
      <w:pPr>
        <w:pStyle w:val="ListBullet"/>
      </w:pPr>
      <w:r>
        <w:t>Prévenir le risque d'</w:t>
      </w:r>
      <w:r>
        <w:rPr>
          <w:b/>
        </w:rPr>
        <w:t>hypotension orthostatique</w:t>
      </w:r>
      <w:r>
        <w:t xml:space="preserve"> surtout en début de traitement : se lever progressivement, éviter les changements de position brutaux</w:t>
      </w:r>
    </w:p>
    <w:p>
      <w:pPr>
        <w:pStyle w:val="ListBullet"/>
      </w:pPr>
      <w:r>
        <w:t xml:space="preserve">Prévenir les </w:t>
      </w:r>
      <w:r>
        <w:rPr>
          <w:b/>
        </w:rPr>
        <w:t>signes d'hyperprolactinémie</w:t>
      </w:r>
      <w:r>
        <w:t xml:space="preserve"> : troubles du cycle (aménorrhée), galactorrhée, gynécomastie, troubles sexuels — à signaler au médecin</w:t>
      </w:r>
    </w:p>
    <w:p>
      <w:pPr>
        <w:pStyle w:val="ListBullet"/>
      </w:pPr>
      <w:r/>
      <w:r>
        <w:rPr>
          <w:b/>
        </w:rPr>
        <w:t>Surveillance métabolique</w:t>
      </w:r>
      <w:r>
        <w:t xml:space="preserve"> : pesée hebdomadaire le 1er mois, puis mensuelle ; bilan sanguin selon le calendrier</w:t>
      </w:r>
    </w:p>
    <w:p>
      <w:pPr>
        <w:pStyle w:val="ListBullet"/>
      </w:pPr>
      <w:r/>
      <w:r>
        <w:rPr>
          <w:b/>
        </w:rPr>
        <w:t>Ne pas arrêter brutalement</w:t>
      </w:r>
      <w:r>
        <w:t xml:space="preserve"> (risque de rebond psychotique)</w:t>
      </w:r>
    </w:p>
    <w:p>
      <w:pPr>
        <w:pStyle w:val="ListBullet"/>
      </w:pPr>
      <w:r/>
      <w:r>
        <w:rPr>
          <w:b/>
        </w:rPr>
        <w:t>Alcool à proscrire</w:t>
      </w:r>
      <w:r/>
    </w:p>
    <w:p>
      <w:pPr>
        <w:pStyle w:val="ListBullet"/>
      </w:pPr>
      <w:r>
        <w:t>Prévenir l'effet de sédation (ne pas conduire en début de traitement)</w:t>
      </w:r>
    </w:p>
    <w:p>
      <w:pPr>
        <w:pStyle w:val="ListBullet"/>
      </w:pPr>
      <w:r/>
      <w:r>
        <w:rPr>
          <w:b/>
        </w:rPr>
        <w:t>Mode d'utilisation pratique</w:t>
      </w:r>
      <w:r>
        <w:t xml:space="preserve"> :</w:t>
      </w:r>
    </w:p>
    <w:p>
      <w:pPr>
        <w:pStyle w:val="ListBullet"/>
      </w:pPr>
      <w:r>
        <w:t>Prise pendant ou après repas</w:t>
      </w:r>
    </w:p>
    <w:p>
      <w:pPr>
        <w:pStyle w:val="ListBullet"/>
      </w:pPr>
      <w:r>
        <w:t>En cas d'oubli d'une prise : la prendre si &lt; 12 h, sinon l'ignorer (ne pas doubler)</w:t>
      </w:r>
    </w:p>
    <w:p>
      <w:pPr>
        <w:pStyle w:val="ListBullet"/>
      </w:pPr>
      <w:r>
        <w:t>Solution buvable : bien agiter avant emploi, utiliser la seringue/pipette graduée, ne pas diluer dans l'eau plus de quelques minutes avant la prise (risque d'adsorption sur le verre)</w:t>
      </w:r>
    </w:p>
    <w:p>
      <w:pPr>
        <w:pStyle w:val="ListBullet"/>
      </w:pPr>
      <w:r>
        <w:t>Comprimé orodispersible : placer sur la langue, laisser fondre, avaler la salive ; peut aussi être dissous dans l'eau</w:t>
      </w:r>
    </w:p>
    <w:p>
      <w:r/>
      <w:r>
        <w:rPr>
          <w:b/>
        </w:rPr>
        <w:t>Données Pharmacocinétiques détaillées :</w:t>
      </w:r>
      <w:r/>
    </w:p>
    <w:p>
      <w:pPr>
        <w:pStyle w:val="ListBullet"/>
      </w:pPr>
      <w:r/>
      <w:r>
        <w:rPr>
          <w:b/>
        </w:rPr>
        <w:t>Absorption</w:t>
      </w:r>
      <w:r>
        <w:t xml:space="preserve"> : la rispéridone est rapidement et presque complètement absorbée après administration orale (biodisponibilité ~ 70 % — effet de premier passage hépatique modéré). Le pic plasmatique est atteint en 1-2 h pour la rispéridone et 3 h pour la 9-OH-rispéridone. La prise alimentaire n'influence pas l'absorption (avantage par rapport à la ziprasidone et la lurasidone).</w:t>
      </w:r>
    </w:p>
    <w:p>
      <w:pPr>
        <w:pStyle w:val="ListBullet"/>
      </w:pPr>
      <w:r/>
      <w:r>
        <w:rPr>
          <w:b/>
        </w:rPr>
        <w:t>Distribution</w:t>
      </w:r>
      <w:r>
        <w:t xml:space="preserve"> : liaison aux protéines plasmatiques ~ 90 % (rispéridone) et ~ 77 % (9-OH-rispéridone), principalement alpha-1-glycoprotéine acide et albumine. Volume de distribution 1-2 L/kg.</w:t>
      </w:r>
    </w:p>
    <w:p>
      <w:pPr>
        <w:pStyle w:val="ListBullet"/>
      </w:pPr>
      <w:r/>
      <w:r>
        <w:rPr>
          <w:b/>
        </w:rPr>
        <w:t>Métabolisme</w:t>
      </w:r>
      <w:r>
        <w:t xml:space="preserve"> : hépatique, principalement via CYP2D6 (hydroxylation en 9-OH-rispéridone, métabolite actif équivalent), accessoirement CYP3A4. Les métaboliseurs lents CYP2D6 (10 % Caucaséens, 1 % Asiatiques) présentent un ratio rispéridone/9-OH modifié, mais sans impact clinique significatif car les deux molécules ont une activité équivalente (la "fraction antipsychotique active" = somme des deux concentrations reste inchangée).</w:t>
      </w:r>
    </w:p>
    <w:p>
      <w:pPr>
        <w:pStyle w:val="ListBullet"/>
      </w:pPr>
      <w:r/>
      <w:r>
        <w:rPr>
          <w:b/>
        </w:rPr>
        <w:t>Demi-vie d'élimination</w:t>
      </w:r>
      <w:r>
        <w:t xml:space="preserve"> : 3 h pour la rispéridone, 20-24 h pour la 9-OH-rispéridone — d'où la possibilité d'une seule prise quotidienne pour la forme orale (la 9-OH-rispéridone plateau assure l'effet antipsychotique).</w:t>
      </w:r>
    </w:p>
    <w:p>
      <w:pPr>
        <w:pStyle w:val="ListBullet"/>
      </w:pPr>
      <w:r/>
      <w:r>
        <w:rPr>
          <w:b/>
        </w:rPr>
        <w:t>Élimination</w:t>
      </w:r>
      <w:r>
        <w:t xml:space="preserve"> : ~ 70 % urinaire (dont ~ 35 % en 9-OH-rispéridone), ~ 14 % fécale. La palipéridone (9-OH-rispéridone commercialisée séparément) est éliminée à 80 % par voie rénale inchangée — d'où l'importance de la créatininémie avant palipéridone.</w:t>
      </w:r>
    </w:p>
    <w:p>
      <w:pPr>
        <w:pStyle w:val="ListBullet"/>
      </w:pPr>
      <w:r/>
      <w:r>
        <w:rPr>
          <w:b/>
        </w:rPr>
        <w:t>Insuffisance rénale</w:t>
      </w:r>
      <w:r>
        <w:t xml:space="preserve"> : réduction posologique nécessaire (clairance créatinine &lt; 50 mL/min → dose initiale réduite de moitié).</w:t>
      </w:r>
    </w:p>
    <w:p>
      <w:pPr>
        <w:pStyle w:val="ListBullet"/>
      </w:pPr>
      <w:r/>
      <w:r>
        <w:rPr>
          <w:b/>
        </w:rPr>
        <w:t>Insuffisance hépatique</w:t>
      </w:r>
      <w:r>
        <w:t xml:space="preserve"> : surveillance accrue, dose initiale réduite.</w:t>
      </w:r>
    </w:p>
    <w:p>
      <w:pPr>
        <w:pStyle w:val="ListBullet"/>
      </w:pPr>
      <w:r/>
      <w:r>
        <w:rPr>
          <w:b/>
        </w:rPr>
        <w:t>Sujet âgé</w:t>
      </w:r>
      <w:r>
        <w:t xml:space="preserve"> : clearance réduite de 30 %, dose initiale réduite.</w:t>
      </w:r>
    </w:p>
    <w:p>
      <w:r/>
      <w:r>
        <w:rPr>
          <w:b/>
        </w:rPr>
        <w:t>Notes, Règles d'Or &amp; Pièges au Comptoir :</w:t>
      </w:r>
      <w:r/>
    </w:p>
    <w:p>
      <w:pPr>
        <w:pStyle w:val="ListBullet"/>
      </w:pPr>
      <w:r/>
      <w:r>
        <w:rPr>
          <w:b/>
        </w:rPr>
        <w:t>Piège classique — Hyperprolactinémie méconnue</w:t>
      </w:r>
      <w:r>
        <w:t xml:space="preserve"> : une aménorrhée, une galactorrhée ou une gynécomastie chez un patient sous rispéridone doit faire demander une prolactinémie. C'est l'EI le plus spécifique et le plus sous-diagnostiqué. À long terme, l'hyperprolactinémie chronique majore le risque d'ostéopénie/ostéoporose.</w:t>
      </w:r>
    </w:p>
    <w:p>
      <w:pPr>
        <w:pStyle w:val="ListBullet"/>
      </w:pPr>
      <w:r/>
      <w:r>
        <w:rPr>
          <w:b/>
        </w:rPr>
        <w:t>Piège classique — Perte du bénéfice atypique à forte dose</w:t>
      </w:r>
      <w:r>
        <w:t xml:space="preserve"> : au-delà de 6 mg/j, la rispéridone se comporte comme un neuroleptique typique (apparition d'EPS, hyperprolactinémie marquée). Ne pas augmenter au-delà sans avis spécialisé.</w:t>
      </w:r>
    </w:p>
    <w:p>
      <w:pPr>
        <w:pStyle w:val="ListBullet"/>
      </w:pPr>
      <w:r/>
      <w:r>
        <w:rPr>
          <w:b/>
        </w:rPr>
        <w:t>Piège classique — Sujet âgé dément</w:t>
      </w:r>
      <w:r>
        <w:t xml:space="preserve"> : risque d'AVC et de mortalité majorée. À éviter si possible ; si indispensable, dose maximale 1 mg/j.</w:t>
      </w:r>
    </w:p>
    <w:p>
      <w:pPr>
        <w:pStyle w:val="ListBullet"/>
      </w:pPr>
      <w:r/>
      <w:r>
        <w:rPr>
          <w:b/>
        </w:rPr>
        <w:t>Règle de prise</w:t>
      </w:r>
      <w:r>
        <w:t xml:space="preserve"> : titration lente obligatoire en début de traitement (surtout chez le sujet âgé) pour limiter l'hypotension orthostatique.</w:t>
      </w:r>
    </w:p>
    <w:p>
      <w:pPr>
        <w:pStyle w:val="ListBullet"/>
      </w:pPr>
      <w:r/>
      <w:r>
        <w:rPr>
          <w:b/>
        </w:rPr>
        <w:t>Préparation et Conservation</w:t>
      </w:r>
      <w:r>
        <w:t xml:space="preserve"> : comprimés à température &lt; 25 °C, à l'abri de l'humidité. Solution buvable à conserver après ouverture maximum 1 mois, à l'abri de la lumière. Comprimés orodispersibles à conserver dans leur emballage d'origine (protection humidité).</w:t>
      </w:r>
    </w:p>
    <w:p>
      <w:pPr>
        <w:pStyle w:val="ListBullet"/>
      </w:pPr>
      <w:r/>
      <w:r>
        <w:rPr>
          <w:b/>
        </w:rPr>
        <w:t>Piège du surdosage / Substitution</w:t>
      </w:r>
      <w:r>
        <w:t xml:space="preserve"> :</w:t>
      </w:r>
    </w:p>
    <w:p>
      <w:pPr>
        <w:pStyle w:val="ListBullet"/>
      </w:pPr>
      <w:r>
        <w:t>Surdosage : somnolence, hypotension sévère, tachycardie, EPS, allongement QTc, convulsions — traitement symptomatique en réanimation (charbon activé si &lt; 1 h, remplissage vasculaire prudent, atropine si bradycardie, BZD si convulsions)</w:t>
      </w:r>
    </w:p>
    <w:p>
      <w:pPr>
        <w:pStyle w:val="ListBullet"/>
      </w:pPr>
      <w:r/>
      <w:r>
        <w:rPr>
          <w:b/>
        </w:rPr>
        <w:t>Substitution</w:t>
      </w:r>
      <w:r>
        <w:t xml:space="preserve"> : la rispéridone et la palipéridone (son métabolite) sont équivalentes en termes d'efficacité mais la palipéridone a une cinétique plus stable et une formulation dépôt trimestriel (Trevicta). Le switch se fait à dose équivalente.</w:t>
      </w:r>
    </w:p>
    <w:p>
      <w:pPr>
        <w:pStyle w:val="ListBullet"/>
      </w:pPr>
      <w:r>
        <w:t xml:space="preserve">Attention à ne pas confondre la </w:t>
      </w:r>
      <w:r>
        <w:rPr>
          <w:b/>
        </w:rPr>
        <w:t>rispéridone</w:t>
      </w:r>
      <w:r>
        <w:t xml:space="preserve"> avec la </w:t>
      </w:r>
      <w:r>
        <w:rPr>
          <w:b/>
        </w:rPr>
        <w:t>risibérine</w:t>
      </w:r>
      <w:r>
        <w:t xml:space="preserve"> (n'existe pas, mais sonorité proche) ou la </w:t>
      </w:r>
      <w:r>
        <w:rPr>
          <w:b/>
        </w:rPr>
        <w:t>ropinirole</w:t>
      </w:r>
      <w:r>
        <w:t xml:space="preserve"> (agoniste dopaminergique anti-parkinsonien, action opposée).</w:t>
      </w:r>
    </w:p>
    <w:p>
      <w:pPr>
        <w:pStyle w:val="Heading3"/>
      </w:pPr>
      <w:r>
        <w:t>3. DCI : Olanzapine (Seule)</w:t>
      </w:r>
    </w:p>
    <w:p>
      <w:r>
        <w:t xml:space="preserve">L'olanzapine est un antipsychotique atypique de 2e génération de type thiénobenzodiazépine, introduit en 1995 (Eli Lilly, marque Zyprexa — retirée du marché algérien au profit de génériques locaux). Elle se caractérise par une </w:t>
      </w:r>
      <w:r>
        <w:rPr>
          <w:b/>
        </w:rPr>
        <w:t>efficacité antipsychotique puissante</w:t>
      </w:r>
      <w:r>
        <w:t xml:space="preserve"> (équivalente ou supérieure à la rispéridone dans certaines études, inférieure à la clozapine mais sans contrainte hématologique), un profil sédatif marqué et une efficacité dans le trouble bipolaire (manie, prévention, dépression bipolaire en association). Sa rançon est un </w:t>
      </w:r>
      <w:r>
        <w:rPr>
          <w:b/>
        </w:rPr>
        <w:t>profil métabolique défavorable majeur</w:t>
      </w:r>
      <w:r>
        <w:t xml:space="preserve"> : prise de poids la plus importante de la classe avec la clozapine (5-8 kg en moyenne à 1 an, parfois &gt; 15 kg), incidence élevée de diabète (RR 2-3× population générale), dyslipidémie, syndrome métabolique. Ce profil obésigène en fait une molécule de 2e intention chez les patients à risque métabolique, mais reste prescrite en pratique en raison de son efficacité. Le marché algérien est très fourni, avec une vingtaine de spécialités actives, incluant une abondance de formes orodispersibles.</w:t>
      </w:r>
    </w:p>
    <w:p>
      <w:r/>
      <w:r>
        <w:rPr>
          <w:b/>
        </w:rPr>
        <w:t>Médicaments disponibles en Algérie (Marques, Laboratoires, Formes et Dosages) :</w:t>
      </w:r>
      <w:r/>
    </w:p>
    <w:p>
      <w:pPr>
        <w:pStyle w:val="ListBullet"/>
      </w:pPr>
      <w:r/>
      <w:r>
        <w:rPr>
          <w:b/>
        </w:rPr>
        <w:t>DEPOLAN 5</w:t>
      </w:r>
      <w:r>
        <w:t xml:space="preserve"> (SOPRODIM)</w:t>
      </w:r>
    </w:p>
    <w:p>
      <w:pPr>
        <w:pStyle w:val="ListBullet"/>
      </w:pPr>
      <w:r>
        <w:t>Formes et Dosages : Comprimé pelliculé 5 mg (B/30)</w:t>
      </w:r>
    </w:p>
    <w:p>
      <w:pPr>
        <w:pStyle w:val="ListBullet"/>
      </w:pPr>
      <w:r>
        <w:t>Statut : Actif</w:t>
      </w:r>
    </w:p>
    <w:p>
      <w:pPr>
        <w:pStyle w:val="ListBullet"/>
      </w:pPr>
      <w:r/>
      <w:r>
        <w:rPr>
          <w:b/>
        </w:rPr>
        <w:t>OLANZA</w:t>
      </w:r>
      <w:r>
        <w:t xml:space="preserve"> (LABORATOIRES BEKER)</w:t>
      </w:r>
    </w:p>
    <w:p>
      <w:pPr>
        <w:pStyle w:val="ListBullet"/>
      </w:pPr>
      <w:r>
        <w:t>Formes et Dosages : Comprimé pelliculé 5 mg (B/28) ; Comprimé pelliculé 10 mg (B/7 et B/28)</w:t>
      </w:r>
    </w:p>
    <w:p>
      <w:pPr>
        <w:pStyle w:val="ListBullet"/>
      </w:pPr>
      <w:r>
        <w:t>Statut : Actif</w:t>
      </w:r>
    </w:p>
    <w:p>
      <w:pPr>
        <w:pStyle w:val="ListBullet"/>
      </w:pPr>
      <w:r/>
      <w:r>
        <w:rPr>
          <w:b/>
        </w:rPr>
        <w:t>REXAPIN</w:t>
      </w:r>
      <w:r>
        <w:t xml:space="preserve"> (ABDI IBRAHIM REMEDE PHARMA)</w:t>
      </w:r>
    </w:p>
    <w:p>
      <w:pPr>
        <w:pStyle w:val="ListBullet"/>
      </w:pPr>
      <w:r>
        <w:t>Formes et Dosages : Comprimé pelliculé 5 mg (B/28) ; Comprimé pelliculé 10 mg (B/28)</w:t>
      </w:r>
    </w:p>
    <w:p>
      <w:pPr>
        <w:pStyle w:val="ListBullet"/>
      </w:pPr>
      <w:r>
        <w:t>Statut : Actif</w:t>
      </w:r>
    </w:p>
    <w:p>
      <w:pPr>
        <w:pStyle w:val="ListBullet"/>
      </w:pPr>
      <w:r/>
      <w:r>
        <w:rPr>
          <w:b/>
        </w:rPr>
        <w:t>DEPOLAN 10</w:t>
      </w:r>
      <w:r>
        <w:t xml:space="preserve"> (SOPRODIM)</w:t>
      </w:r>
    </w:p>
    <w:p>
      <w:pPr>
        <w:pStyle w:val="ListBullet"/>
      </w:pPr>
      <w:r>
        <w:t>Formes et Dosages : Comprimé pelliculé 10 mg (B/30)</w:t>
      </w:r>
    </w:p>
    <w:p>
      <w:pPr>
        <w:pStyle w:val="ListBullet"/>
      </w:pPr>
      <w:r>
        <w:t>Statut : Actif</w:t>
      </w:r>
    </w:p>
    <w:p>
      <w:pPr>
        <w:pStyle w:val="ListBullet"/>
      </w:pPr>
      <w:r/>
      <w:r>
        <w:rPr>
          <w:b/>
        </w:rPr>
        <w:t>LANZAPREX</w:t>
      </w:r>
      <w:r>
        <w:t xml:space="preserve"> (EL KENDI INDUSTRIE DU MEDICAMENT)</w:t>
      </w:r>
    </w:p>
    <w:p>
      <w:pPr>
        <w:pStyle w:val="ListBullet"/>
      </w:pPr>
      <w:r>
        <w:t>Formes et Dosages : Comprimé pelliculé 10 mg (B/30) ; Comprimé orodispersible 10 mg (B/30)</w:t>
      </w:r>
    </w:p>
    <w:p>
      <w:pPr>
        <w:pStyle w:val="ListBullet"/>
      </w:pPr>
      <w:r>
        <w:t>Statut : Actif</w:t>
      </w:r>
    </w:p>
    <w:p>
      <w:pPr>
        <w:pStyle w:val="ListBullet"/>
      </w:pPr>
      <w:r/>
      <w:r>
        <w:rPr>
          <w:b/>
        </w:rPr>
        <w:t>OLANZAPINE MM</w:t>
      </w:r>
      <w:r>
        <w:t xml:space="preserve"> (LABORATOIRES MM)</w:t>
      </w:r>
    </w:p>
    <w:p>
      <w:pPr>
        <w:pStyle w:val="ListBullet"/>
      </w:pPr>
      <w:r>
        <w:t>Formes et Dosages : Comprimé pelliculé 10 mg (B/7 et B/28)</w:t>
      </w:r>
    </w:p>
    <w:p>
      <w:pPr>
        <w:pStyle w:val="ListBullet"/>
      </w:pPr>
      <w:r>
        <w:t>Statut : Actif</w:t>
      </w:r>
    </w:p>
    <w:p>
      <w:pPr>
        <w:pStyle w:val="ListBullet"/>
      </w:pPr>
      <w:r/>
      <w:r>
        <w:rPr>
          <w:b/>
        </w:rPr>
        <w:t>OLANZAPINE NAD</w:t>
      </w:r>
      <w:r>
        <w:t xml:space="preserve"> (NADPHARMADIC-PRODUCTION)</w:t>
      </w:r>
    </w:p>
    <w:p>
      <w:pPr>
        <w:pStyle w:val="ListBullet"/>
      </w:pPr>
      <w:r>
        <w:t>Formes et Dosages : Comprimé pelliculé 10 mg (B/28)</w:t>
      </w:r>
    </w:p>
    <w:p>
      <w:pPr>
        <w:pStyle w:val="ListBullet"/>
      </w:pPr>
      <w:r>
        <w:t>Statut : Actif</w:t>
      </w:r>
    </w:p>
    <w:p>
      <w:pPr>
        <w:pStyle w:val="ListBullet"/>
      </w:pPr>
      <w:r/>
      <w:r>
        <w:rPr>
          <w:b/>
        </w:rPr>
        <w:t>OLANZEX</w:t>
      </w:r>
      <w:r>
        <w:t xml:space="preserve"> (LABORATOIRES MERINAL)</w:t>
      </w:r>
    </w:p>
    <w:p>
      <w:pPr>
        <w:pStyle w:val="ListBullet"/>
      </w:pPr>
      <w:r>
        <w:t>Formes et Dosages : Comprimé pelliculé 10 mg (B/30)</w:t>
      </w:r>
    </w:p>
    <w:p>
      <w:pPr>
        <w:pStyle w:val="ListBullet"/>
      </w:pPr>
      <w:r>
        <w:t>Statut : Actif</w:t>
      </w:r>
    </w:p>
    <w:p>
      <w:pPr>
        <w:pStyle w:val="ListBullet"/>
      </w:pPr>
      <w:r/>
      <w:r>
        <w:rPr>
          <w:b/>
        </w:rPr>
        <w:t>VAINCOR 10MG</w:t>
      </w:r>
      <w:r>
        <w:t xml:space="preserve"> (INPHA-MEDIS)</w:t>
      </w:r>
    </w:p>
    <w:p>
      <w:pPr>
        <w:pStyle w:val="ListBullet"/>
      </w:pPr>
      <w:r>
        <w:t>Formes et Dosages : Comprimé pelliculé 10 mg (B/7 et B/28)</w:t>
      </w:r>
    </w:p>
    <w:p>
      <w:pPr>
        <w:pStyle w:val="ListBullet"/>
      </w:pPr>
      <w:r>
        <w:t>Statut : Actif</w:t>
      </w:r>
    </w:p>
    <w:p>
      <w:pPr>
        <w:pStyle w:val="ListBullet"/>
      </w:pPr>
      <w:r/>
      <w:r>
        <w:rPr>
          <w:b/>
        </w:rPr>
        <w:t>OLANZAPINAD ORO</w:t>
      </w:r>
      <w:r>
        <w:t xml:space="preserve"> (NADPHARMADIC-PRODUCTION)</w:t>
      </w:r>
    </w:p>
    <w:p>
      <w:pPr>
        <w:pStyle w:val="ListBullet"/>
      </w:pPr>
      <w:r>
        <w:t>Formes et Dosages : Comprimé orodispersible 10 mg (B/30)</w:t>
      </w:r>
    </w:p>
    <w:p>
      <w:pPr>
        <w:pStyle w:val="ListBullet"/>
      </w:pPr>
      <w:r>
        <w:t>Statut : Actif</w:t>
      </w:r>
    </w:p>
    <w:p>
      <w:pPr>
        <w:pStyle w:val="ListBullet"/>
      </w:pPr>
      <w:r/>
      <w:r>
        <w:rPr>
          <w:b/>
        </w:rPr>
        <w:t>OLANZA ORO</w:t>
      </w:r>
      <w:r>
        <w:t xml:space="preserve"> (LABORATOIRES BEKER)</w:t>
      </w:r>
    </w:p>
    <w:p>
      <w:pPr>
        <w:pStyle w:val="ListBullet"/>
      </w:pPr>
      <w:r>
        <w:t>Formes et Dosages : Comprimé orodispersible 5 mg (B/30) ; Comprimé orodispersible 10 mg (B/28)</w:t>
      </w:r>
    </w:p>
    <w:p>
      <w:pPr>
        <w:pStyle w:val="ListBullet"/>
      </w:pPr>
      <w:r>
        <w:t>Statut : Actif</w:t>
      </w:r>
    </w:p>
    <w:p>
      <w:pPr>
        <w:pStyle w:val="ListBullet"/>
      </w:pPr>
      <w:r/>
      <w:r>
        <w:rPr>
          <w:b/>
        </w:rPr>
        <w:t>OLANZEX ORO 10</w:t>
      </w:r>
      <w:r>
        <w:t xml:space="preserve"> (LABORATOIRES MERINAL)</w:t>
      </w:r>
    </w:p>
    <w:p>
      <w:pPr>
        <w:pStyle w:val="ListBullet"/>
      </w:pPr>
      <w:r>
        <w:t>Formes et Dosages : Comprimé orodispersible 10 mg (B/30)</w:t>
      </w:r>
    </w:p>
    <w:p>
      <w:pPr>
        <w:pStyle w:val="ListBullet"/>
      </w:pPr>
      <w:r>
        <w:t>Statut : Actif</w:t>
      </w:r>
    </w:p>
    <w:p>
      <w:pPr>
        <w:pStyle w:val="ListBullet"/>
      </w:pPr>
      <w:r/>
      <w:r>
        <w:rPr>
          <w:b/>
        </w:rPr>
        <w:t>OLANZOMAX</w:t>
      </w:r>
      <w:r>
        <w:t xml:space="preserve"> (BIOPHARM)</w:t>
      </w:r>
    </w:p>
    <w:p>
      <w:pPr>
        <w:pStyle w:val="ListBullet"/>
      </w:pPr>
      <w:r>
        <w:t>Formes et Dosages : Comprimé orodispersible 5 mg (B/30) ; Comprimé orodispersible 10 mg (B/30)</w:t>
      </w:r>
    </w:p>
    <w:p>
      <w:pPr>
        <w:pStyle w:val="ListBullet"/>
      </w:pPr>
      <w:r>
        <w:t>Statut : Actif</w:t>
      </w:r>
    </w:p>
    <w:p>
      <w:pPr>
        <w:pStyle w:val="ListBullet"/>
      </w:pPr>
      <w:r/>
      <w:r>
        <w:rPr>
          <w:b/>
        </w:rPr>
        <w:t>OLPREXA</w:t>
      </w:r>
      <w:r>
        <w:t xml:space="preserve"> (PHARMALLIANCE)</w:t>
      </w:r>
    </w:p>
    <w:p>
      <w:pPr>
        <w:pStyle w:val="ListBullet"/>
      </w:pPr>
      <w:r>
        <w:t>Formes et Dosages : Comprimé orodispersible 10 mg (B/30)</w:t>
      </w:r>
    </w:p>
    <w:p>
      <w:pPr>
        <w:pStyle w:val="ListBullet"/>
      </w:pPr>
      <w:r>
        <w:t>Statut : Actif</w:t>
      </w:r>
    </w:p>
    <w:p>
      <w:pPr>
        <w:pStyle w:val="ListBullet"/>
      </w:pPr>
      <w:r/>
      <w:r>
        <w:rPr>
          <w:b/>
        </w:rPr>
        <w:t>PSYCHOLANZ ODT</w:t>
      </w:r>
      <w:r>
        <w:t xml:space="preserve"> (CHIMIE PHARMACIE COMMERCE MULTIPLE — CPCM)</w:t>
      </w:r>
    </w:p>
    <w:p>
      <w:pPr>
        <w:pStyle w:val="ListBullet"/>
      </w:pPr>
      <w:r>
        <w:t>Formes et Dosages : Comprimé orodispersible 10 mg (B/7 et B/30)</w:t>
      </w:r>
    </w:p>
    <w:p>
      <w:pPr>
        <w:pStyle w:val="ListBullet"/>
      </w:pPr>
      <w:r>
        <w:t>Statut : Actif</w:t>
      </w:r>
    </w:p>
    <w:p>
      <w:pPr>
        <w:pStyle w:val="ListBullet"/>
      </w:pPr>
      <w:r/>
      <w:r>
        <w:rPr>
          <w:b/>
        </w:rPr>
        <w:t>SCHIZOPIN</w:t>
      </w:r>
      <w:r>
        <w:t xml:space="preserve"> (HIKMA PHARMA ALGERIA)</w:t>
      </w:r>
    </w:p>
    <w:p>
      <w:pPr>
        <w:pStyle w:val="ListBullet"/>
      </w:pPr>
      <w:r>
        <w:t>Formes et Dosages : Comprimé orodispersible 5 mg (B/30) ; Comprimé orodispersible 10 mg (B/30)</w:t>
      </w:r>
    </w:p>
    <w:p>
      <w:pPr>
        <w:pStyle w:val="ListBullet"/>
      </w:pPr>
      <w:r>
        <w:t>Statut : Actif</w:t>
      </w:r>
    </w:p>
    <w:p>
      <w:pPr>
        <w:pStyle w:val="ListBullet"/>
      </w:pPr>
      <w:r/>
      <w:r>
        <w:rPr>
          <w:b/>
        </w:rPr>
        <w:t>OLANZEX ORO 5</w:t>
      </w:r>
      <w:r>
        <w:t xml:space="preserve"> (LABORATOIRES MERINAL)</w:t>
      </w:r>
    </w:p>
    <w:p>
      <w:pPr>
        <w:pStyle w:val="ListBullet"/>
      </w:pPr>
      <w:r>
        <w:t>Formes et Dosages : Comprimé orodispersible 5 mg (B/30)</w:t>
      </w:r>
    </w:p>
    <w:p>
      <w:pPr>
        <w:pStyle w:val="ListBullet"/>
      </w:pPr>
      <w:r>
        <w:t>Statut : Actif</w:t>
      </w:r>
    </w:p>
    <w:p>
      <w:pPr>
        <w:pStyle w:val="ListBullet"/>
      </w:pPr>
      <w:r/>
      <w:r>
        <w:rPr>
          <w:b/>
        </w:rPr>
        <w:t>OLANZEX ORO 15</w:t>
      </w:r>
      <w:r>
        <w:t xml:space="preserve"> (LABORATOIRES MERINAL)</w:t>
      </w:r>
    </w:p>
    <w:p>
      <w:pPr>
        <w:pStyle w:val="ListBullet"/>
      </w:pPr>
      <w:r>
        <w:t>Formes et Dosages : Comprimé orodispersible 15 mg (B/30)</w:t>
      </w:r>
    </w:p>
    <w:p>
      <w:pPr>
        <w:pStyle w:val="ListBullet"/>
      </w:pPr>
      <w:r>
        <w:t>Statut : Actif</w:t>
      </w:r>
    </w:p>
    <w:p>
      <w:pPr>
        <w:pStyle w:val="ListBullet"/>
      </w:pPr>
      <w:r/>
      <w:r>
        <w:rPr>
          <w:b/>
        </w:rPr>
        <w:t>OLANZEX ORO 20</w:t>
      </w:r>
      <w:r>
        <w:t xml:space="preserve"> (LABORATOIRES MERINAL)</w:t>
      </w:r>
    </w:p>
    <w:p>
      <w:pPr>
        <w:pStyle w:val="ListBullet"/>
      </w:pPr>
      <w:r>
        <w:t>Formes et Dosages : Comprimé orodispersible 20 mg (B/30)</w:t>
      </w:r>
    </w:p>
    <w:p>
      <w:pPr>
        <w:pStyle w:val="ListBullet"/>
      </w:pPr>
      <w:r>
        <w:t>Statut : Actif</w:t>
      </w:r>
    </w:p>
    <w:p>
      <w:pPr>
        <w:pStyle w:val="ListBullet"/>
      </w:pPr>
      <w:r/>
      <w:r>
        <w:rPr>
          <w:b/>
        </w:rPr>
        <w:t>ZOLAMPINE</w:t>
      </w:r>
      <w:r>
        <w:t xml:space="preserve"> (GROUPE SAIDAL)</w:t>
      </w:r>
    </w:p>
    <w:p>
      <w:pPr>
        <w:pStyle w:val="ListBullet"/>
      </w:pPr>
      <w:r>
        <w:t>Formes et Dosages : Comprimé 5 mg (B/30) ; Comprimé 10 mg (B/30) ; Comprimé orodispersible 10 mg (B/30)</w:t>
      </w:r>
    </w:p>
    <w:p>
      <w:pPr>
        <w:pStyle w:val="ListBullet"/>
      </w:pPr>
      <w:r>
        <w:t>Statut : Non Renouvelable</w:t>
      </w:r>
    </w:p>
    <w:p>
      <w:pPr>
        <w:pStyle w:val="ListBullet"/>
      </w:pPr>
      <w:r/>
      <w:r>
        <w:rPr>
          <w:b/>
        </w:rPr>
        <w:t>ZYPREXA</w:t>
      </w:r>
      <w:r>
        <w:t xml:space="preserve"> (ELI LILLY NEDERLAND B.V.) — marque princeps</w:t>
      </w:r>
    </w:p>
    <w:p>
      <w:pPr>
        <w:pStyle w:val="ListBullet"/>
      </w:pPr>
      <w:r>
        <w:t>Formes et Dosages : Comprimé enrobé 5 mg (B/28) ; Comprimé enrobé 10 mg (B/28)</w:t>
      </w:r>
    </w:p>
    <w:p>
      <w:pPr>
        <w:pStyle w:val="ListBullet"/>
      </w:pPr>
      <w:r>
        <w:t>Statut : Retiré (R)</w:t>
      </w:r>
    </w:p>
    <w:p>
      <w:pPr>
        <w:pStyle w:val="ListBullet"/>
      </w:pPr>
      <w:r/>
      <w:r>
        <w:rPr>
          <w:b/>
        </w:rPr>
        <w:t>ZYPREXA VELOTAB</w:t>
      </w:r>
      <w:r>
        <w:t xml:space="preserve"> (ELI LILLY NEDERLAND B.V.) — forme orodispersible princeps</w:t>
      </w:r>
    </w:p>
    <w:p>
      <w:pPr>
        <w:pStyle w:val="ListBullet"/>
      </w:pPr>
      <w:r>
        <w:t>Formes et Dosages : Comprimé orodispersible 5 mg (B/28) ; Comprimé orodispersible 10 mg (B/28)</w:t>
      </w:r>
    </w:p>
    <w:p>
      <w:pPr>
        <w:pStyle w:val="ListBullet"/>
      </w:pPr>
      <w:r>
        <w:t>Statut : Retiré (R)</w:t>
      </w:r>
    </w:p>
    <w:p>
      <w:pPr>
        <w:pStyle w:val="ListBullet"/>
      </w:pPr>
      <w:r/>
      <w:r>
        <w:rPr>
          <w:b/>
        </w:rPr>
        <w:t>ANZAPINE</w:t>
      </w:r>
      <w:r>
        <w:t xml:space="preserve"> (BIOVITAL)</w:t>
      </w:r>
    </w:p>
    <w:p>
      <w:pPr>
        <w:pStyle w:val="ListBullet"/>
      </w:pPr>
      <w:r>
        <w:t>Formes et Dosages : Comprimé enrobé 5 mg (B/30) ; Comprimé 10 mg (B/7 et B/28)</w:t>
      </w:r>
    </w:p>
    <w:p>
      <w:pPr>
        <w:pStyle w:val="ListBullet"/>
      </w:pPr>
      <w:r>
        <w:t>Statut : Retiré (R)</w:t>
      </w:r>
    </w:p>
    <w:p>
      <w:pPr>
        <w:pStyle w:val="ListBullet"/>
      </w:pPr>
      <w:r/>
      <w:r>
        <w:rPr>
          <w:b/>
        </w:rPr>
        <w:t>NOVAPREXA</w:t>
      </w:r>
      <w:r>
        <w:t xml:space="preserve"> (NOVAPHARM TRADING SARL)</w:t>
      </w:r>
    </w:p>
    <w:p>
      <w:pPr>
        <w:pStyle w:val="ListBullet"/>
      </w:pPr>
      <w:r>
        <w:t>Formes et Dosages : Comprimé pelliculé 10 mg (B/30) ; Comprimé orodispersible 10 mg (B/30)</w:t>
      </w:r>
    </w:p>
    <w:p>
      <w:pPr>
        <w:pStyle w:val="ListBullet"/>
      </w:pPr>
      <w:r>
        <w:t>Statut : Retiré (R)</w:t>
      </w:r>
    </w:p>
    <w:p>
      <w:pPr>
        <w:pStyle w:val="ListBullet"/>
      </w:pPr>
      <w:r/>
      <w:r>
        <w:rPr>
          <w:b/>
        </w:rPr>
        <w:t>REXAPIN</w:t>
      </w:r>
      <w:r>
        <w:t xml:space="preserve"> (ABDI IBRAHIM ILAÇ SANAYI VE TICARET A.S)</w:t>
      </w:r>
    </w:p>
    <w:p>
      <w:pPr>
        <w:pStyle w:val="ListBullet"/>
      </w:pPr>
      <w:r>
        <w:t>Formes et Dosages : Comprimé pelliculé 10 mg (B/7)</w:t>
      </w:r>
    </w:p>
    <w:p>
      <w:pPr>
        <w:pStyle w:val="ListBullet"/>
      </w:pPr>
      <w:r>
        <w:t>Statut : Retiré (R)</w:t>
      </w:r>
    </w:p>
    <w:p>
      <w:pPr>
        <w:pStyle w:val="ListBullet"/>
      </w:pPr>
      <w:r/>
      <w:r>
        <w:rPr>
          <w:b/>
        </w:rPr>
        <w:t>ZAPINAL</w:t>
      </w:r>
      <w:r>
        <w:t xml:space="preserve"> (LGPA)</w:t>
      </w:r>
    </w:p>
    <w:p>
      <w:pPr>
        <w:pStyle w:val="ListBullet"/>
      </w:pPr>
      <w:r>
        <w:t>Formes et Dosages : Comprimé pelliculé 10 mg (B/30)</w:t>
      </w:r>
    </w:p>
    <w:p>
      <w:pPr>
        <w:pStyle w:val="ListBullet"/>
      </w:pPr>
      <w:r>
        <w:t>Statut : Retiré (R)</w:t>
      </w:r>
    </w:p>
    <w:p>
      <w:pPr>
        <w:pStyle w:val="ListBullet"/>
      </w:pPr>
      <w:r/>
      <w:r>
        <w:rPr>
          <w:b/>
        </w:rPr>
        <w:t>PSYCHOLANZ</w:t>
      </w:r>
      <w:r>
        <w:t xml:space="preserve"> (CPCM SARL)</w:t>
      </w:r>
    </w:p>
    <w:p>
      <w:pPr>
        <w:pStyle w:val="ListBullet"/>
      </w:pPr>
      <w:r>
        <w:t>Formes et Dosages : Comprimé pelliculé sécable 10 mg (B/7)</w:t>
      </w:r>
    </w:p>
    <w:p>
      <w:pPr>
        <w:pStyle w:val="ListBullet"/>
      </w:pPr>
      <w:r>
        <w:t>Statut : Retiré (R)</w:t>
      </w:r>
    </w:p>
    <w:p>
      <w:pPr>
        <w:pStyle w:val="ListBullet"/>
      </w:pPr>
      <w:r/>
      <w:r>
        <w:rPr>
          <w:b/>
        </w:rPr>
        <w:t>OLZANID</w:t>
      </w:r>
      <w:r>
        <w:t xml:space="preserve"> (SANDOZ SPA)</w:t>
      </w:r>
    </w:p>
    <w:p>
      <w:pPr>
        <w:pStyle w:val="ListBullet"/>
      </w:pPr>
      <w:r>
        <w:t>Formes et Dosages : Comprimé enrobé 10 mg (B/30)</w:t>
      </w:r>
    </w:p>
    <w:p>
      <w:pPr>
        <w:pStyle w:val="ListBullet"/>
      </w:pPr>
      <w:r>
        <w:t>Statut : Retiré (R)</w:t>
      </w:r>
    </w:p>
    <w:p>
      <w:pPr>
        <w:pStyle w:val="ListBullet"/>
      </w:pPr>
      <w:r/>
      <w:r>
        <w:rPr>
          <w:b/>
        </w:rPr>
        <w:t>ANZAPINE-ORO</w:t>
      </w:r>
      <w:r>
        <w:t xml:space="preserve"> (BIOVITAL)</w:t>
      </w:r>
    </w:p>
    <w:p>
      <w:pPr>
        <w:pStyle w:val="ListBullet"/>
      </w:pPr>
      <w:r>
        <w:t>Formes et Dosages : Comprimé orodispersible 10 mg (B/30)</w:t>
      </w:r>
    </w:p>
    <w:p>
      <w:pPr>
        <w:pStyle w:val="ListBullet"/>
      </w:pPr>
      <w:r>
        <w:t>Statut : Retiré (R)</w:t>
      </w:r>
    </w:p>
    <w:p>
      <w:r/>
      <w:r>
        <w:rPr>
          <w:b/>
        </w:rPr>
        <w:t>Sous-classe et Mécanisme d'action :</w:t>
      </w:r>
      <w:r/>
    </w:p>
    <w:p>
      <w:pPr>
        <w:pStyle w:val="ListBullet"/>
      </w:pPr>
      <w:r/>
      <w:r>
        <w:rPr>
          <w:b/>
        </w:rPr>
        <w:t>Sous-classe</w:t>
      </w:r>
      <w:r>
        <w:t xml:space="preserve"> : Antipsychotique atypique de 2e génération — thiénobenzodiazépine, AP-2G à profil sédatif et métabolique marqué.</w:t>
      </w:r>
    </w:p>
    <w:p>
      <w:pPr>
        <w:pStyle w:val="ListBullet"/>
      </w:pPr>
      <w:r/>
      <w:r>
        <w:rPr>
          <w:b/>
        </w:rPr>
        <w:t>Mécanisme d'action</w:t>
      </w:r>
      <w:r>
        <w:t xml:space="preserve"> : l'olanzapine possède un profil multi-réceptoriel élargi, comparable à la clozapine mais sans le risque d'agranulocytose. Elle se caractérise par :</w:t>
      </w:r>
    </w:p>
    <w:p>
      <w:pPr>
        <w:pStyle w:val="ListBullet"/>
      </w:pPr>
      <w:r/>
      <w:r>
        <w:rPr>
          <w:b/>
        </w:rPr>
        <w:t>Antagonisme D2</w:t>
      </w:r>
      <w:r>
        <w:t xml:space="preserve"> (occupation ~ 50-60 % à dose thérapeutique — suffisant pour l'effet antipsychotique, en dessous du seuil EPS)</w:t>
      </w:r>
    </w:p>
    <w:p>
      <w:pPr>
        <w:pStyle w:val="ListBullet"/>
      </w:pPr>
      <w:r/>
      <w:r>
        <w:rPr>
          <w:b/>
        </w:rPr>
        <w:t>Antagonisme 5-HT2A</w:t>
      </w:r>
      <w:r>
        <w:t xml:space="preserve"> (ratio 5-HT2A/D2 élevé, profil atypique)</w:t>
      </w:r>
    </w:p>
    <w:p>
      <w:pPr>
        <w:pStyle w:val="ListBullet"/>
      </w:pPr>
      <w:r/>
      <w:r>
        <w:rPr>
          <w:b/>
        </w:rPr>
        <w:t>Affinité H1 marquée</w:t>
      </w:r>
      <w:r>
        <w:t xml:space="preserve"> (responsable de la sédation, de la prise de poids majeure et de l'hypersomnie — plus élevée que la rispéridone)</w:t>
      </w:r>
    </w:p>
    <w:p>
      <w:pPr>
        <w:pStyle w:val="ListBullet"/>
      </w:pPr>
      <w:r/>
      <w:r>
        <w:rPr>
          <w:b/>
        </w:rPr>
        <w:t>Affinité muscarinique M1</w:t>
      </w:r>
      <w:r>
        <w:t xml:space="preserve"> (constipation, sécheresse buccale, troubles accommodatifs, troubles cognitifs)</w:t>
      </w:r>
    </w:p>
    <w:p>
      <w:pPr>
        <w:pStyle w:val="ListBullet"/>
      </w:pPr>
      <w:r/>
      <w:r>
        <w:rPr>
          <w:b/>
        </w:rPr>
        <w:t>Affinité alpha-1 adrénergique</w:t>
      </w:r>
      <w:r>
        <w:t xml:space="preserve"> (hypotension orthostatique, vertiges)</w:t>
      </w:r>
    </w:p>
    <w:p>
      <w:pPr>
        <w:pStyle w:val="ListBullet"/>
      </w:pPr>
      <w:r>
        <w:t>Affinité moindre pour 5-HT2C, 5-HT3, D1, D3, D4</w:t>
      </w:r>
    </w:p>
    <w:p>
      <w:pPr>
        <w:pStyle w:val="ListBullet"/>
      </w:pPr>
      <w:r>
        <w:t>L'olanzapine partage avec la clozapine le profil le plus obésigène de la classe (le blocage H1 et 5-HT2C stimule l'appétit et la prise alimentaire, et altère la signalisation insulinique).</w:t>
      </w:r>
    </w:p>
    <w:p>
      <w:pPr>
        <w:pStyle w:val="ListBullet"/>
      </w:pPr>
      <w:r>
        <w:t>Métabolisme par CYP1A2 et CYP2D6 (conjugaison glucuronide). Le tabac (inducteur CYP1A2) réduit les taux d'olanzapine de 30-40 %. La fluvoxamine (inhibiteur CYP1A2) les augmente de 50 %.</w:t>
      </w:r>
    </w:p>
    <w:p>
      <w:pPr>
        <w:pStyle w:val="ListBullet"/>
      </w:pPr>
      <w:r/>
      <w:r>
        <w:rPr>
          <w:b/>
        </w:rPr>
        <w:t>Demi-vie</w:t>
      </w:r>
      <w:r>
        <w:t xml:space="preserve"> prolongée (30-40 h) permettant une seule prise quotidienne.</w:t>
      </w:r>
    </w:p>
    <w:p>
      <w:r/>
      <w:r>
        <w:rPr>
          <w:b/>
        </w:rPr>
        <w:t>Profil Pharmacologique :</w:t>
      </w:r>
      <w:r/>
    </w:p>
    <w:p>
      <w:pPr>
        <w:pStyle w:val="ListBullet"/>
      </w:pPr>
      <w:r/>
      <w:r>
        <w:rPr>
          <w:b/>
        </w:rPr>
        <w:t>Indications</w:t>
      </w:r>
      <w:r>
        <w:t xml:space="preserve"> :</w:t>
      </w:r>
    </w:p>
    <w:p>
      <w:pPr>
        <w:pStyle w:val="ListBullet"/>
      </w:pPr>
      <w:r/>
      <w:r>
        <w:rPr>
          <w:b/>
        </w:rPr>
        <w:t>Schizophrénie</w:t>
      </w:r>
      <w:r>
        <w:t xml:space="preserve"> (toutes phases) — AMM</w:t>
      </w:r>
    </w:p>
    <w:p>
      <w:pPr>
        <w:pStyle w:val="ListBullet"/>
      </w:pPr>
      <w:r/>
      <w:r>
        <w:rPr>
          <w:b/>
        </w:rPr>
        <w:t>Trouble bipolaire</w:t>
      </w:r>
      <w:r>
        <w:t xml:space="preserve"> (manie aiguë, prévention des rechutes, dépression bipolaire en association avec fluoxétine — AMM symbyax)</w:t>
      </w:r>
    </w:p>
    <w:p>
      <w:pPr>
        <w:pStyle w:val="ListBullet"/>
      </w:pPr>
      <w:r/>
      <w:r>
        <w:rPr>
          <w:b/>
        </w:rPr>
        <w:t>Trouble schizo-affectif</w:t>
      </w:r>
      <w:r>
        <w:t xml:space="preserve"> (en 2e intention)</w:t>
      </w:r>
    </w:p>
    <w:p>
      <w:pPr>
        <w:pStyle w:val="ListBullet"/>
      </w:pPr>
      <w:r/>
      <w:r>
        <w:rPr>
          <w:b/>
        </w:rPr>
        <w:t>Troubles du comportement</w:t>
      </w:r>
      <w:r>
        <w:t xml:space="preserve"> dans la démence (usage strictement encadré, restricted) — risque mortalité majoré</w:t>
      </w:r>
    </w:p>
    <w:p>
      <w:pPr>
        <w:pStyle w:val="ListBullet"/>
      </w:pPr>
      <w:r/>
      <w:r>
        <w:rPr>
          <w:b/>
        </w:rPr>
        <w:t>Prévention des chimiothérapies</w:t>
      </w:r>
      <w:r>
        <w:t xml:space="preserve"> (nausées-vomissements : olanzapine AMM antiémétique, doses 5-10 mg/j)</w:t>
      </w:r>
    </w:p>
    <w:p>
      <w:pPr>
        <w:pStyle w:val="ListBullet"/>
      </w:pPr>
      <w:r/>
      <w:r>
        <w:rPr>
          <w:b/>
        </w:rPr>
        <w:t>Dépression majeure résistante</w:t>
      </w:r>
      <w:r>
        <w:t xml:space="preserve"> (olanzapine en association avec fluoxétine) — AMM</w:t>
      </w:r>
    </w:p>
    <w:p>
      <w:pPr>
        <w:pStyle w:val="ListBullet"/>
      </w:pPr>
      <w:r/>
      <w:r>
        <w:rPr>
          <w:b/>
        </w:rPr>
        <w:t>Contre-indications</w:t>
      </w:r>
      <w:r>
        <w:t xml:space="preserve"> :</w:t>
      </w:r>
    </w:p>
    <w:p>
      <w:pPr>
        <w:pStyle w:val="ListBullet"/>
      </w:pPr>
      <w:r>
        <w:t>Hypersensibilité à l'olanzapine</w:t>
      </w:r>
    </w:p>
    <w:p>
      <w:pPr>
        <w:pStyle w:val="ListBullet"/>
      </w:pPr>
      <w:r>
        <w:t>Glaucome à angle fermé (effet atropinique)</w:t>
      </w:r>
    </w:p>
    <w:p>
      <w:pPr>
        <w:pStyle w:val="ListBullet"/>
      </w:pPr>
      <w:r>
        <w:t>Hypertrophie bénigne de la prostate avec rétention (effet atropinique)</w:t>
      </w:r>
    </w:p>
    <w:p>
      <w:pPr>
        <w:pStyle w:val="ListBullet"/>
      </w:pPr>
      <w:r>
        <w:t>Allaitement (CI selon CRAT)</w:t>
      </w:r>
    </w:p>
    <w:p>
      <w:pPr>
        <w:pStyle w:val="ListBullet"/>
      </w:pPr>
      <w:r>
        <w:t>Insuffisance hépatique sévère (à éviter)</w:t>
      </w:r>
    </w:p>
    <w:p>
      <w:pPr>
        <w:pStyle w:val="ListBullet"/>
      </w:pPr>
      <w:r>
        <w:t>Antécédent d'agranulocytose médicamenteuse (à éviter par prudence, mais l'olanzapine n'induit pas d'agranulocytose type clozapine)</w:t>
      </w:r>
    </w:p>
    <w:p>
      <w:pPr>
        <w:pStyle w:val="ListBullet"/>
      </w:pPr>
      <w:r>
        <w:t>En association avec allongeurs QT à doses supra-thérapeutiques</w:t>
      </w:r>
    </w:p>
    <w:p>
      <w:pPr>
        <w:pStyle w:val="ListBullet"/>
      </w:pPr>
      <w:r/>
      <w:r>
        <w:rPr>
          <w:b/>
        </w:rPr>
        <w:t>Effets Indésirables</w:t>
      </w:r>
      <w:r>
        <w:t xml:space="preserve"> :</w:t>
      </w:r>
    </w:p>
    <w:p>
      <w:pPr>
        <w:pStyle w:val="ListBullet"/>
      </w:pPr>
      <w:r/>
      <w:r>
        <w:rPr>
          <w:b/>
        </w:rPr>
        <w:t>Métaboliques (EI majeur)</w:t>
      </w:r>
      <w:r>
        <w:t xml:space="preserve"> : prise de poids majeure (4-7 kg en moyenne à 1 an, &gt; 10 kg chez 30 % des patients, &gt; 15 kg chez 10 %), diabète de type 2 (RR 2-3×, parfois décompensation acidocétosique sévère), dyslipidémie mixte (TG↑, cholestérol total↑, HDL↓), syndrome métabolique (~ 50 % à long terme)</w:t>
      </w:r>
    </w:p>
    <w:p>
      <w:pPr>
        <w:pStyle w:val="ListBullet"/>
      </w:pPr>
      <w:r/>
      <w:r>
        <w:rPr>
          <w:b/>
        </w:rPr>
        <w:t>Sédation</w:t>
      </w:r>
      <w:r>
        <w:t xml:space="preserve"> marquée (30-40 %), hypersomnie</w:t>
      </w:r>
    </w:p>
    <w:p>
      <w:pPr>
        <w:pStyle w:val="ListBullet"/>
      </w:pPr>
      <w:r/>
      <w:r>
        <w:rPr>
          <w:b/>
        </w:rPr>
        <w:t>Anticholinergiques</w:t>
      </w:r>
      <w:r>
        <w:t xml:space="preserve"> : constipation (sévère possible), sécheresse buccale, troubles visuels accommodatifs, troubles cognitifs, rétention urinaire (HBP)</w:t>
      </w:r>
    </w:p>
    <w:p>
      <w:pPr>
        <w:pStyle w:val="ListBullet"/>
      </w:pPr>
      <w:r/>
      <w:r>
        <w:rPr>
          <w:b/>
        </w:rPr>
        <w:t>EPS</w:t>
      </w:r>
      <w:r>
        <w:t xml:space="preserve"> : modérés (akathisie 5-10 %, parkinsonisme &lt; 5 %), dose-dépendants</w:t>
      </w:r>
    </w:p>
    <w:p>
      <w:pPr>
        <w:pStyle w:val="ListBullet"/>
      </w:pPr>
      <w:r/>
      <w:r>
        <w:rPr>
          <w:b/>
        </w:rPr>
        <w:t>Hypotension orthostatique</w:t>
      </w:r>
      <w:r>
        <w:t xml:space="preserve"> (surtout initiation)</w:t>
      </w:r>
    </w:p>
    <w:p>
      <w:pPr>
        <w:pStyle w:val="ListBullet"/>
      </w:pPr>
      <w:r/>
      <w:r>
        <w:rPr>
          <w:b/>
        </w:rPr>
        <w:t>Allongement QTc</w:t>
      </w:r>
      <w:r>
        <w:t xml:space="preserve"> modéré, rarement torsadogène isolé</w:t>
      </w:r>
    </w:p>
    <w:p>
      <w:pPr>
        <w:pStyle w:val="ListBullet"/>
      </w:pPr>
      <w:r/>
      <w:r>
        <w:rPr>
          <w:b/>
        </w:rPr>
        <w:t>Hyperprolactinémie</w:t>
      </w:r>
      <w:r>
        <w:t xml:space="preserve"> : modérée, moins marquée que rispéridone (mais présente)</w:t>
      </w:r>
    </w:p>
    <w:p>
      <w:pPr>
        <w:pStyle w:val="ListBullet"/>
      </w:pPr>
      <w:r/>
      <w:r>
        <w:rPr>
          <w:b/>
        </w:rPr>
        <w:t>Syndrome malin des neuroleptiques</w:t>
      </w:r>
      <w:r>
        <w:t xml:space="preserve"> (rare)</w:t>
      </w:r>
    </w:p>
    <w:p>
      <w:pPr>
        <w:pStyle w:val="ListBullet"/>
      </w:pPr>
      <w:r/>
      <w:r>
        <w:rPr>
          <w:b/>
        </w:rPr>
        <w:t>Hépatotoxicité</w:t>
      </w:r>
      <w:r>
        <w:t xml:space="preserve"> (transaminases modérées)</w:t>
      </w:r>
    </w:p>
    <w:p>
      <w:pPr>
        <w:pStyle w:val="ListBullet"/>
      </w:pPr>
      <w:r/>
      <w:r>
        <w:rPr>
          <w:b/>
        </w:rPr>
        <w:t>Convulsions</w:t>
      </w:r>
      <w:r>
        <w:t xml:space="preserve"> (rare, seuil abaissé)</w:t>
      </w:r>
    </w:p>
    <w:p>
      <w:pPr>
        <w:pStyle w:val="ListBullet"/>
      </w:pPr>
      <w:r/>
      <w:r>
        <w:rPr>
          <w:b/>
        </w:rPr>
        <w:t>Œdèmes périphériques</w:t>
      </w:r>
      <w:r/>
    </w:p>
    <w:p>
      <w:pPr>
        <w:pStyle w:val="ListBullet"/>
      </w:pPr>
      <w:r/>
      <w:r>
        <w:rPr>
          <w:b/>
        </w:rPr>
        <w:t>Risque d'AVC majoré en gériatrie</w:t>
      </w:r>
      <w:r>
        <w:t xml:space="preserve"> (démence)</w:t>
      </w:r>
    </w:p>
    <w:p>
      <w:pPr>
        <w:pStyle w:val="ListBullet"/>
      </w:pPr>
      <w:r/>
      <w:r>
        <w:rPr>
          <w:b/>
        </w:rPr>
        <w:t>Akathisie</w:t>
      </w:r>
      <w:r>
        <w:t xml:space="preserve"> fréquente en début de traitement</w:t>
      </w:r>
    </w:p>
    <w:p>
      <w:pPr>
        <w:pStyle w:val="ListBullet"/>
      </w:pPr>
      <w:r/>
      <w:r>
        <w:rPr>
          <w:b/>
        </w:rPr>
        <w:t>Agranulocytose</w:t>
      </w:r>
      <w:r>
        <w:t xml:space="preserve"> exceptionnelle (≠ clozapine)</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 complet</w:t>
      </w:r>
      <w:r>
        <w:t xml:space="preserve"> : poids, IMC, tour de taille, TA, glycémie à jeun, HbA1c, bilan lipidique, ECG, prolactinémie, transaminases</w:t>
      </w:r>
    </w:p>
    <w:p>
      <w:pPr>
        <w:pStyle w:val="ListBullet"/>
      </w:pPr>
      <w:r/>
      <w:r>
        <w:rPr>
          <w:b/>
        </w:rPr>
        <w:t>Surveillance métabolique renforcée</w:t>
      </w:r>
      <w:r>
        <w:t xml:space="preserve"> : à l'initiation, à M1, M3, M6 puis trimestrielle (calendrier contraignant) — pesée hebdomadaire le premier mois, conseil diététique intensif</w:t>
      </w:r>
    </w:p>
    <w:p>
      <w:pPr>
        <w:pStyle w:val="ListBullet"/>
      </w:pPr>
      <w:r/>
      <w:r>
        <w:rPr>
          <w:b/>
        </w:rPr>
        <w:t>Conseil hygiéno-diététique</w:t>
      </w:r>
      <w:r>
        <w:t xml:space="preserve"> : alimentation équilibrée, activité physique régulière, surveillance accrue chez les patients à risque (ATCD diabète, obésité, dyslipidémie familiale)</w:t>
      </w:r>
    </w:p>
    <w:p>
      <w:pPr>
        <w:pStyle w:val="ListBullet"/>
      </w:pPr>
      <w:r/>
      <w:r>
        <w:rPr>
          <w:b/>
        </w:rPr>
        <w:t>Éviter l'olanzapine chez les patients à risque métabolique élevé</w:t>
      </w:r>
      <w:r>
        <w:t xml:space="preserve"> : préférer aripiprazole, ziprasidone ou lurasidone</w:t>
      </w:r>
    </w:p>
    <w:p>
      <w:pPr>
        <w:pStyle w:val="ListBullet"/>
      </w:pPr>
      <w:r/>
      <w:r>
        <w:rPr>
          <w:b/>
        </w:rPr>
        <w:t>Surveillance ECG</w:t>
      </w:r>
      <w:r>
        <w:t xml:space="preserve"> si âge &gt; 50 ans, ATCD cardiaques, associations allongeurs QT</w:t>
      </w:r>
    </w:p>
    <w:p>
      <w:pPr>
        <w:pStyle w:val="ListBullet"/>
      </w:pPr>
      <w:r/>
      <w:r>
        <w:rPr>
          <w:b/>
        </w:rPr>
        <w:t>Conduite à Tenir</w:t>
      </w:r>
      <w:r>
        <w:t xml:space="preserve"> :</w:t>
      </w:r>
    </w:p>
    <w:p>
      <w:pPr>
        <w:pStyle w:val="ListBullet"/>
      </w:pPr>
      <w:r/>
      <w:r>
        <w:rPr>
          <w:b/>
        </w:rPr>
        <w:t>Si prise de poids &gt; 5 % en 1 mois</w:t>
      </w:r>
      <w:r>
        <w:t xml:space="preserve"> : conseil diététique, surveillance accrue ; envisager switch vers aripiprazole, ziprasidone, lurasidone (moins obésigènes)</w:t>
      </w:r>
    </w:p>
    <w:p>
      <w:pPr>
        <w:pStyle w:val="ListBullet"/>
      </w:pPr>
      <w:r/>
      <w:r>
        <w:rPr>
          <w:b/>
        </w:rPr>
        <w:t>Si hyperglycémie/diabète</w:t>
      </w:r>
      <w:r>
        <w:t xml:space="preserve"> : surveillance glycémique renforcée, introdction metformine (efficace sur prise de poids AP), switch molécule</w:t>
      </w:r>
    </w:p>
    <w:p>
      <w:pPr>
        <w:pStyle w:val="ListBullet"/>
      </w:pPr>
      <w:r/>
      <w:r>
        <w:rPr>
          <w:b/>
        </w:rPr>
        <w:t>Si dyslipidémie</w:t>
      </w:r>
      <w:r>
        <w:t xml:space="preserve"> : statine si nécessaire (préférérer pravastatine, faible interaction)</w:t>
      </w:r>
    </w:p>
    <w:p>
      <w:pPr>
        <w:pStyle w:val="ListBullet"/>
      </w:pPr>
      <w:r/>
      <w:r>
        <w:rPr>
          <w:b/>
        </w:rPr>
        <w:t>Si sédation excessive</w:t>
      </w:r>
      <w:r>
        <w:t xml:space="preserve"> : déplacer la prise au soir, réduire la dose, switch vers molécule moins sédative (aripiprazole, ziprasidone)</w:t>
      </w:r>
    </w:p>
    <w:p>
      <w:pPr>
        <w:pStyle w:val="ListBullet"/>
      </w:pPr>
      <w:r/>
      <w:r>
        <w:rPr>
          <w:b/>
        </w:rPr>
        <w:t>Si akathisie</w:t>
      </w:r>
      <w:r>
        <w:t xml:space="preserve"> : réduction de dose, propranolol</w:t>
      </w:r>
    </w:p>
    <w:p>
      <w:pPr>
        <w:pStyle w:val="ListBullet"/>
      </w:pPr>
      <w:r/>
      <w:r>
        <w:rPr>
          <w:b/>
        </w:rPr>
        <w:t>Si hypotension orthostatique</w:t>
      </w:r>
      <w:r>
        <w:t xml:space="preserve"> : réduction de dose, lever progressif</w:t>
      </w:r>
    </w:p>
    <w:p>
      <w:pPr>
        <w:pStyle w:val="ListBullet"/>
      </w:pPr>
      <w:r/>
      <w:r>
        <w:rPr>
          <w:b/>
        </w:rPr>
        <w:t>Si syndrome métabolique avéré</w:t>
      </w:r>
      <w:r>
        <w:t xml:space="preserve"> : switch obligatoire vers une molécule moins obésigène</w:t>
      </w:r>
    </w:p>
    <w:p>
      <w:r/>
      <w:r>
        <w:rPr>
          <w:b/>
        </w:rPr>
        <w:t>Interactions Importantes :</w:t>
      </w:r>
      <w:r/>
    </w:p>
    <w:p>
      <w:pPr>
        <w:pStyle w:val="ListBullet"/>
      </w:pPr>
      <w:r/>
      <w:r>
        <w:rPr>
          <w:b/>
        </w:rPr>
        <w:t>Olanzapine + tabac</w:t>
      </w:r>
      <w:r>
        <w:t xml:space="preserve"> : le tabac (inducteur CYP1A2) réduit les taux d'olanzapine de 30-40 %. À l'arrêt du tabac, surveiller l'augmentation des taux et la toxicité.</w:t>
      </w:r>
    </w:p>
    <w:p>
      <w:pPr>
        <w:pStyle w:val="ListBullet"/>
      </w:pPr>
      <w:r/>
      <w:r>
        <w:rPr>
          <w:b/>
        </w:rPr>
        <w:t>Olanzapine + fluvoxamine</w:t>
      </w:r>
      <w:r>
        <w:t xml:space="preserve"> (inhibiteur CYP1A2) : augmentation des taux d'olanzapine de 50-100 % → réduire la dose d'olanzapine</w:t>
      </w:r>
    </w:p>
    <w:p>
      <w:pPr>
        <w:pStyle w:val="ListBullet"/>
      </w:pPr>
      <w:r/>
      <w:r>
        <w:rPr>
          <w:b/>
        </w:rPr>
        <w:t>Olanzapine + carbamazépine</w:t>
      </w:r>
      <w:r>
        <w:t xml:space="preserve"> (inducteur CYP3A4) : diminution des taux d'olanzapine → surveillance et adaptation</w:t>
      </w:r>
    </w:p>
    <w:p>
      <w:pPr>
        <w:pStyle w:val="ListBullet"/>
      </w:pPr>
      <w:r/>
      <w:r>
        <w:rPr>
          <w:b/>
        </w:rPr>
        <w:t>Olanzapine + allongeurs QTc</w:t>
      </w:r>
      <w:r>
        <w:t xml:space="preserve"> : effet additif torsadogène, surveillance ECG</w:t>
      </w:r>
    </w:p>
    <w:p>
      <w:pPr>
        <w:pStyle w:val="ListBullet"/>
      </w:pPr>
      <w:r/>
      <w:r>
        <w:rPr>
          <w:b/>
        </w:rPr>
        <w:t>Olanzapine + dépresseurs SNC</w:t>
      </w:r>
      <w:r>
        <w:t xml:space="preserve"> (alcool, opioïdes, BZD) : potentialisation sédative, hypotension, dépression respiratoire</w:t>
      </w:r>
    </w:p>
    <w:p>
      <w:pPr>
        <w:pStyle w:val="ListBullet"/>
      </w:pPr>
      <w:r/>
      <w:r>
        <w:rPr>
          <w:b/>
        </w:rPr>
        <w:t>Olanzapine + antihypertenseurs</w:t>
      </w:r>
      <w:r>
        <w:t xml:space="preserve"> : hypotension majorée</w:t>
      </w:r>
    </w:p>
    <w:p>
      <w:pPr>
        <w:pStyle w:val="ListBullet"/>
      </w:pPr>
      <w:r/>
      <w:r>
        <w:rPr>
          <w:b/>
        </w:rPr>
        <w:t>Olanzapine + anticholinergiques</w:t>
      </w:r>
      <w:r>
        <w:t xml:space="preserve"> (atropiniques, ATC, oxybutynine) : potentialisation atropinique (constipation sévère, rétention urinaire)</w:t>
      </w:r>
    </w:p>
    <w:p>
      <w:pPr>
        <w:pStyle w:val="ListBullet"/>
      </w:pPr>
      <w:r/>
      <w:r>
        <w:rPr>
          <w:b/>
        </w:rPr>
        <w:t>Olanzapine + lévodopa</w:t>
      </w:r>
      <w:r>
        <w:t xml:space="preserve"> : antagonisme</w:t>
      </w:r>
    </w:p>
    <w:p>
      <w:pPr>
        <w:pStyle w:val="ListBullet"/>
      </w:pPr>
      <w:r/>
      <w:r>
        <w:rPr>
          <w:b/>
        </w:rPr>
        <w:t>Olanzapine + lithium</w:t>
      </w:r>
      <w:r>
        <w:t xml:space="preserve"> : risque majoré de syndrome malin</w:t>
      </w:r>
    </w:p>
    <w:p>
      <w:r/>
      <w:r>
        <w:rPr>
          <w:b/>
        </w:rPr>
        <w:t>Grossesse et Allaitement :</w:t>
      </w:r>
      <w:r/>
    </w:p>
    <w:p>
      <w:pPr>
        <w:pStyle w:val="ListBullet"/>
      </w:pPr>
      <w:r/>
      <w:r>
        <w:rPr>
          <w:b/>
        </w:rPr>
        <w:t>Grossesse</w:t>
      </w:r>
      <w:r>
        <w:t xml:space="preserve"> : selon CRAT, pas de surrisque malformatif global démontré (données limitées sur ~1000 grossesses exposées). Risque d'</w:t>
      </w:r>
      <w:r>
        <w:rPr>
          <w:b/>
        </w:rPr>
        <w:t>hypotonie néonatale transitoire</w:t>
      </w:r>
      <w:r>
        <w:t>, de détresse respiratoire, de syndrome de sevrage néonatal (tremblements, agitation, hypertonie), d'</w:t>
      </w:r>
      <w:r>
        <w:rPr>
          <w:b/>
        </w:rPr>
        <w:t>hypoglycémie néonatale</w:t>
      </w:r>
      <w:r>
        <w:t xml:space="preserve"> transitoire (effet insulino-résistant), de </w:t>
      </w:r>
      <w:r>
        <w:rPr>
          <w:b/>
        </w:rPr>
        <w:t>macrosomie</w:t>
      </w:r>
      <w:r>
        <w:t xml:space="preserve"> (effet métabolique). À éviter si possible ; si nécessaire, dose minimale efficace, surveillance renforcée. Surveillance néonatale (48 h en maternité). Échographie morphologique standard à 22 SA. Déclaration en pharmacovigilance.</w:t>
      </w:r>
    </w:p>
    <w:p>
      <w:pPr>
        <w:pStyle w:val="ListBullet"/>
      </w:pPr>
      <w:r/>
      <w:r>
        <w:rPr>
          <w:b/>
        </w:rPr>
        <w:t>Allaitement</w:t>
      </w:r>
      <w:r>
        <w:t xml:space="preserve"> : selon CRAT, l'olanzapine passe modérément dans le lait (rapport lait/plasma ~0,3), DRI ~1-3 % de la dose maternelle pondérale — en dessous du seuil de préoccupation pour des doses maternelles ≤ 10 mg/j. L'allaitement est possible sous surveillance de la sédation, du poids et du développement neurologique. À éviter en cas de polymédication, dose &gt; 10 mg/j, ou enfant prématuré.</w:t>
      </w:r>
    </w:p>
    <w:p>
      <w:pPr>
        <w:pStyle w:val="ListBullet"/>
      </w:pPr>
      <w:r/>
      <w:r>
        <w:rPr>
          <w:b/>
        </w:rPr>
        <w:t>Précisions</w:t>
      </w:r>
      <w:r>
        <w:t xml:space="preserve"> : surveillance glycémie néonatale (risque hypoglycémie).</w:t>
      </w:r>
    </w:p>
    <w:p>
      <w:r/>
      <w:r>
        <w:rPr>
          <w:b/>
        </w:rPr>
        <w:t>Posologie et Mode d'administration (Standard) :</w:t>
      </w:r>
      <w:r/>
    </w:p>
    <w:p>
      <w:pPr>
        <w:pStyle w:val="ListBullet"/>
      </w:pPr>
      <w:r/>
      <w:r>
        <w:rPr>
          <w:b/>
        </w:rPr>
        <w:t>Adulte</w:t>
      </w:r>
      <w:r>
        <w:t xml:space="preserve"> :</w:t>
      </w:r>
    </w:p>
    <w:p>
      <w:pPr>
        <w:pStyle w:val="ListBullet"/>
      </w:pPr>
      <w:r/>
      <w:r>
        <w:rPr>
          <w:b/>
        </w:rPr>
        <w:t>Schizophrénie</w:t>
      </w:r>
      <w:r>
        <w:t xml:space="preserve"> : dose initiale 5-10 mg/j en une prise (le soir), dose cible 10-20 mg/j, maximum 20 mg/j</w:t>
      </w:r>
    </w:p>
    <w:p>
      <w:pPr>
        <w:pStyle w:val="ListBullet"/>
      </w:pPr>
      <w:r/>
      <w:r>
        <w:rPr>
          <w:b/>
        </w:rPr>
        <w:t>Trouble bipolaire (manie)</w:t>
      </w:r>
      <w:r>
        <w:t xml:space="preserve"> : 10-15 mg/j en une prise, dose cible 5-20 mg/j</w:t>
      </w:r>
    </w:p>
    <w:p>
      <w:pPr>
        <w:pStyle w:val="ListBullet"/>
      </w:pPr>
      <w:r/>
      <w:r>
        <w:rPr>
          <w:b/>
        </w:rPr>
        <w:t>Dépression bipolaire (en association avec fluoxétine)</w:t>
      </w:r>
      <w:r>
        <w:t xml:space="preserve"> : 5-12,5 mg/j + fluoxétine 20-50 mg/j</w:t>
      </w:r>
    </w:p>
    <w:p>
      <w:pPr>
        <w:pStyle w:val="ListBullet"/>
      </w:pPr>
      <w:r/>
      <w:r>
        <w:rPr>
          <w:b/>
        </w:rPr>
        <w:t>Prévention nausées-vomissements chimio</w:t>
      </w:r>
      <w:r>
        <w:t xml:space="preserve"> : 5-10 mg/j pendant 3-4 jours</w:t>
      </w:r>
    </w:p>
    <w:p>
      <w:pPr>
        <w:pStyle w:val="ListBullet"/>
      </w:pPr>
      <w:r/>
      <w:r>
        <w:rPr>
          <w:b/>
        </w:rPr>
        <w:t>Sujet âgé</w:t>
      </w:r>
      <w:r>
        <w:t xml:space="preserve"> : dose initiale 2,5-5 mg/j, dose cible 5-10 mg/j</w:t>
      </w:r>
    </w:p>
    <w:p>
      <w:pPr>
        <w:pStyle w:val="ListBullet"/>
      </w:pPr>
      <w:r/>
      <w:r>
        <w:rPr>
          <w:b/>
        </w:rPr>
        <w:t>Insuffisant hépatique modéré</w:t>
      </w:r>
      <w:r>
        <w:t xml:space="preserve"> : dose initiale 5 mg/j, titration prudente</w:t>
      </w:r>
    </w:p>
    <w:p>
      <w:pPr>
        <w:pStyle w:val="ListBullet"/>
      </w:pPr>
      <w:r/>
      <w:r>
        <w:rPr>
          <w:b/>
        </w:rPr>
        <w:t>Insuffisant rénal</w:t>
      </w:r>
      <w:r>
        <w:t xml:space="preserve"> : pas d'adaptation mais surveillance accrue</w:t>
      </w:r>
    </w:p>
    <w:p>
      <w:pPr>
        <w:pStyle w:val="ListBullet"/>
      </w:pPr>
      <w:r/>
      <w:r>
        <w:rPr>
          <w:b/>
        </w:rPr>
        <w:t>Fumeur</w:t>
      </w:r>
      <w:r>
        <w:t xml:space="preserve"> : peut nécessiter des doses plus élevées (induction CYP1A2)</w:t>
      </w:r>
    </w:p>
    <w:p>
      <w:pPr>
        <w:pStyle w:val="ListBullet"/>
      </w:pPr>
      <w:r/>
      <w:r>
        <w:rPr>
          <w:b/>
        </w:rPr>
        <w:t>Durée</w:t>
      </w:r>
      <w:r>
        <w:t xml:space="preserve"> : au long cours (années) ; évaluation annuelle du bien-fondé</w:t>
      </w:r>
    </w:p>
    <w:p>
      <w:pPr>
        <w:pStyle w:val="ListBullet"/>
      </w:pPr>
      <w:r/>
      <w:r>
        <w:rPr>
          <w:b/>
        </w:rPr>
        <w:t>Moment de la prise</w:t>
      </w:r>
      <w:r>
        <w:t xml:space="preserve"> : en une prise le soir (exploitation de la sédation), pendant ou après repas</w:t>
      </w:r>
    </w:p>
    <w:p>
      <w:r/>
      <w:r>
        <w:rPr>
          <w:b/>
        </w:rPr>
        <w:t>Arbitrage et Bénéfices des Formes Galéniques :</w:t>
      </w:r>
      <w:r/>
    </w:p>
    <w:p>
      <w:pPr>
        <w:pStyle w:val="ListBullet"/>
      </w:pPr>
      <w:r/>
      <w:r>
        <w:rPr>
          <w:b/>
        </w:rPr>
        <w:t>Comprimés pelliculés 5, 10 mg</w:t>
      </w:r>
      <w:r>
        <w:t xml:space="preserve"> : formes de référence pour l'initiation et l'entretien adulte</w:t>
      </w:r>
    </w:p>
    <w:p>
      <w:pPr>
        <w:pStyle w:val="ListBullet"/>
      </w:pPr>
      <w:r/>
      <w:r>
        <w:rPr>
          <w:b/>
        </w:rPr>
        <w:t>Comprimés orodispersibles (LANZAPREX ORO, OLANZA ORO, OLANZEX ORO, OLANZOMAX, OLPREXA, PSYCHOLANZ ODT, SCHIZOPIN ODT, OLANZAPINAD ORO, ANZAPINE-ORO)</w:t>
      </w:r>
      <w:r>
        <w:t xml:space="preserve"> : indiqués pour patients dysphagiques, gériatrie, refus de traitement. Se dissolvent en quelques secondes, goût masqué. Particulièrement utiles chez le patient non observant ou en institution.</w:t>
      </w:r>
    </w:p>
    <w:p>
      <w:pPr>
        <w:pStyle w:val="ListBullet"/>
      </w:pPr>
      <w:r>
        <w:t>Pas de solution buvable disponible en Algérie (contrairement à la rispéridone)</w:t>
      </w:r>
    </w:p>
    <w:p>
      <w:pPr>
        <w:pStyle w:val="ListBullet"/>
      </w:pPr>
      <w:r>
        <w:t>Pas de forme dépôt LP IM (contrairement à la rispéridone, palipéridone, aripiprazole) — la seule forme LP IM de l'olanzapine (Zyprexa Relprevv) a été retirée du marché européen en raison de risques de sédation prolongée post-injection (syndrome de surdosage olanzapine post-injection)</w:t>
      </w:r>
    </w:p>
    <w:p>
      <w:r/>
      <w:r>
        <w:rPr>
          <w:b/>
        </w:rPr>
        <w:t>Instructions et Conseils au Patient :</w:t>
      </w:r>
      <w:r/>
    </w:p>
    <w:p>
      <w:pPr>
        <w:pStyle w:val="ListBullet"/>
      </w:pPr>
      <w:r/>
      <w:r>
        <w:rPr>
          <w:b/>
        </w:rPr>
        <w:t>Communication au comptoir</w:t>
      </w:r>
      <w:r>
        <w:t xml:space="preserve"> :</w:t>
      </w:r>
    </w:p>
    <w:p>
      <w:pPr>
        <w:pStyle w:val="ListBullet"/>
      </w:pPr>
      <w:r>
        <w:t xml:space="preserve">Expliquer le risque </w:t>
      </w:r>
      <w:r>
        <w:rPr>
          <w:b/>
        </w:rPr>
        <w:t>majeur de prise de poids</w:t>
      </w:r>
      <w:r>
        <w:t xml:space="preserve"> : "ce médicament peut faire prendre beaucoup de poids en quelques mois — il faut surveiller votre alimentation et peser régulièrement"</w:t>
      </w:r>
    </w:p>
    <w:p>
      <w:pPr>
        <w:pStyle w:val="ListBullet"/>
      </w:pPr>
      <w:r>
        <w:t xml:space="preserve">Surveiller </w:t>
      </w:r>
      <w:r>
        <w:rPr>
          <w:b/>
        </w:rPr>
        <w:t>glycémie et lipides</w:t>
      </w:r>
      <w:r>
        <w:t xml:space="preserve"> selon le calendrier</w:t>
      </w:r>
    </w:p>
    <w:p>
      <w:pPr>
        <w:pStyle w:val="ListBullet"/>
      </w:pPr>
      <w:r>
        <w:t xml:space="preserve">Prévenir </w:t>
      </w:r>
      <w:r>
        <w:rPr>
          <w:b/>
        </w:rPr>
        <w:t>sédation et hypotension orthostatique</w:t>
      </w:r>
      <w:r>
        <w:t xml:space="preserve"> : ne pas conduire en début de traitement, se lever progressivement</w:t>
      </w:r>
    </w:p>
    <w:p>
      <w:pPr>
        <w:pStyle w:val="ListBullet"/>
      </w:pPr>
      <w:r>
        <w:t>Ne pas arrêter brutalement</w:t>
      </w:r>
    </w:p>
    <w:p>
      <w:pPr>
        <w:pStyle w:val="ListBullet"/>
      </w:pPr>
      <w:r/>
      <w:r>
        <w:rPr>
          <w:b/>
        </w:rPr>
        <w:t>Alcool à proscrire</w:t>
      </w:r>
      <w:r/>
    </w:p>
    <w:p>
      <w:pPr>
        <w:pStyle w:val="ListBullet"/>
      </w:pPr>
      <w:r>
        <w:t>Prévenir le patient que l'effet apparaît en quelques jours mais pleine efficacité à 4-6 semaines</w:t>
      </w:r>
    </w:p>
    <w:p>
      <w:pPr>
        <w:pStyle w:val="ListBullet"/>
      </w:pPr>
      <w:r>
        <w:t>En cas d'arrêt du tabac, signaler au médecin (modification des taux)</w:t>
      </w:r>
    </w:p>
    <w:p>
      <w:pPr>
        <w:pStyle w:val="ListBullet"/>
      </w:pPr>
      <w:r/>
      <w:r>
        <w:rPr>
          <w:b/>
        </w:rPr>
        <w:t>Mode d'utilisation pratique</w:t>
      </w:r>
      <w:r>
        <w:t xml:space="preserve"> :</w:t>
      </w:r>
    </w:p>
    <w:p>
      <w:pPr>
        <w:pStyle w:val="ListBullet"/>
      </w:pPr>
      <w:r>
        <w:t>Prise unique le soir pendant ou après repas</w:t>
      </w:r>
    </w:p>
    <w:p>
      <w:pPr>
        <w:pStyle w:val="ListBullet"/>
      </w:pPr>
      <w:r>
        <w:t>En cas d'oubli : prendre si &lt; 12 h, sinon ignorer (ne pas doubler)</w:t>
      </w:r>
    </w:p>
    <w:p>
      <w:pPr>
        <w:pStyle w:val="ListBullet"/>
      </w:pPr>
      <w:r>
        <w:t>Comprimé orodispersible : placer sur la langue, laisser fondre, avaler ; peut être dissous dans l'eau ou un aliment semi-liquide</w:t>
      </w:r>
    </w:p>
    <w:p>
      <w:r/>
      <w:r>
        <w:rPr>
          <w:b/>
        </w:rPr>
        <w:t>Données Pharmacocinétiques détaillées :</w:t>
      </w:r>
      <w:r/>
    </w:p>
    <w:p>
      <w:pPr>
        <w:pStyle w:val="ListBullet"/>
      </w:pPr>
      <w:r/>
      <w:r>
        <w:rPr>
          <w:b/>
        </w:rPr>
        <w:t>Absorption</w:t>
      </w:r>
      <w:r>
        <w:t xml:space="preserve"> : l'olanzapine est bien absorbée par voie orale (biodisponibilité ~ 60 %, effet de premier passage hépatique modéré). Le pic plasmatique est atteint en 5-8 h. La prise alimentaire n'influence pas significativement l'absorption (avantage pratique).</w:t>
      </w:r>
    </w:p>
    <w:p>
      <w:pPr>
        <w:pStyle w:val="ListBullet"/>
      </w:pPr>
      <w:r/>
      <w:r>
        <w:rPr>
          <w:b/>
        </w:rPr>
        <w:t>Distribution</w:t>
      </w:r>
      <w:r>
        <w:t xml:space="preserve"> : liaison aux protéines plasmatiques ~ 93 % (principalement albumine et alpha-1-glycoprotéine acide). Volume de distribution élevé (10-20 L/kg) — reflétant une large distribution tissulaire, notamment cérébrale.</w:t>
      </w:r>
    </w:p>
    <w:p>
      <w:pPr>
        <w:pStyle w:val="ListBullet"/>
      </w:pPr>
      <w:r/>
      <w:r>
        <w:rPr>
          <w:b/>
        </w:rPr>
        <w:t>Métabolisme</w:t>
      </w:r>
      <w:r>
        <w:t xml:space="preserve"> : hépatique, principalement via CYP1A2 (40 %) et CYP2D6 (30 %), accessoirement CYP3A4 (30 %). Conjugaison glucuronide. Métabolites inactifs (N-desméthyl-olanzapine et 2-hydroxyméthyl-olanzapine sont faiblement actifs).</w:t>
      </w:r>
    </w:p>
    <w:p>
      <w:pPr>
        <w:pStyle w:val="ListBullet"/>
      </w:pPr>
      <w:r/>
      <w:r>
        <w:rPr>
          <w:b/>
        </w:rPr>
        <w:t>Demi-vie d'élimination</w:t>
      </w:r>
      <w:r>
        <w:t xml:space="preserve"> : 30-40 h en moyenne (mais très variable : 20-70 h selon les individus) — permet une seule prise quotidienne. Concentration plasmatique cible : 20-50 ng/mL.</w:t>
      </w:r>
    </w:p>
    <w:p>
      <w:pPr>
        <w:pStyle w:val="ListBullet"/>
      </w:pPr>
      <w:r/>
      <w:r>
        <w:rPr>
          <w:b/>
        </w:rPr>
        <w:t>Élimination</w:t>
      </w:r>
      <w:r>
        <w:t xml:space="preserve"> : ~ 57 % urinaire (métabolites conjugués), ~ 30 % fécale. Moins de 10 % inchangé.</w:t>
      </w:r>
    </w:p>
    <w:p>
      <w:pPr>
        <w:pStyle w:val="ListBullet"/>
      </w:pPr>
      <w:r/>
      <w:r>
        <w:rPr>
          <w:b/>
        </w:rPr>
        <w:t>Facteurs influençant la cinétique</w:t>
      </w:r>
      <w:r>
        <w:t xml:space="preserve"> :</w:t>
      </w:r>
    </w:p>
    <w:p>
      <w:pPr>
        <w:pStyle w:val="ListBullet"/>
      </w:pPr>
      <w:r/>
      <w:r>
        <w:rPr>
          <w:b/>
        </w:rPr>
        <w:t>Tabac</w:t>
      </w:r>
      <w:r>
        <w:t xml:space="preserve"> : inducteur CYP1A2 → réduction des taux d'olanzapine de 30-40 % (les fumeurs nécessitent des doses plus élevées)</w:t>
      </w:r>
    </w:p>
    <w:p>
      <w:pPr>
        <w:pStyle w:val="ListBullet"/>
      </w:pPr>
      <w:r/>
      <w:r>
        <w:rPr>
          <w:b/>
        </w:rPr>
        <w:t>Fluvoxamine</w:t>
      </w:r>
      <w:r>
        <w:t xml:space="preserve"> : inhibiteur CYP1A2 → augmentation des taux d'olanzapine de 50-100 % (réduction de dose nécessaire)</w:t>
      </w:r>
    </w:p>
    <w:p>
      <w:pPr>
        <w:pStyle w:val="ListBullet"/>
      </w:pPr>
      <w:r/>
      <w:r>
        <w:rPr>
          <w:b/>
        </w:rPr>
        <w:t>Sexe</w:t>
      </w:r>
      <w:r>
        <w:t xml:space="preserve"> : femmes ont des concentrations ~ 25 % plus élevées que les hommes à dose équivalente</w:t>
      </w:r>
    </w:p>
    <w:p>
      <w:pPr>
        <w:pStyle w:val="ListBullet"/>
      </w:pPr>
      <w:r/>
      <w:r>
        <w:rPr>
          <w:b/>
        </w:rPr>
        <w:t>Âge</w:t>
      </w:r>
      <w:r>
        <w:t xml:space="preserve"> : personnes âgées ont une clearance réduite de 30 %</w:t>
      </w:r>
    </w:p>
    <w:p>
      <w:pPr>
        <w:pStyle w:val="ListBullet"/>
      </w:pPr>
      <w:r/>
      <w:r>
        <w:rPr>
          <w:b/>
        </w:rPr>
        <w:t>Insuffisance hépatique</w:t>
      </w:r>
      <w:r>
        <w:t xml:space="preserve"> : clearance réduite, adapter la dose</w:t>
      </w:r>
    </w:p>
    <w:p>
      <w:pPr>
        <w:pStyle w:val="ListBullet"/>
      </w:pPr>
      <w:r/>
      <w:r>
        <w:rPr>
          <w:b/>
        </w:rPr>
        <w:t>Insuffisance rénale</w:t>
      </w:r>
      <w:r>
        <w:t xml:space="preserve"> : pas d'adaptation stricte mais surveillance</w:t>
      </w:r>
    </w:p>
    <w:p>
      <w:r/>
      <w:r>
        <w:rPr>
          <w:b/>
        </w:rPr>
        <w:t>Notes, Règles d'Or &amp; Pièges au Comptoir :</w:t>
      </w:r>
      <w:r/>
    </w:p>
    <w:p>
      <w:pPr>
        <w:pStyle w:val="ListBullet"/>
      </w:pPr>
      <w:r/>
      <w:r>
        <w:rPr>
          <w:b/>
        </w:rPr>
        <w:t>Piège classique — Syndrome métabolique</w:t>
      </w:r>
      <w:r>
        <w:t xml:space="preserve"> : l'olanzapine est la molécule de la classe avec le profil métabolique le plus défavorable (avec la clozapine). Le risque de décompensation diabétique peut être rapide (parfois &lt; 6 mois). D'où l'importance d'un dépistage précoce et d'un switch si nécessaire.</w:t>
      </w:r>
    </w:p>
    <w:p>
      <w:pPr>
        <w:pStyle w:val="ListBullet"/>
      </w:pPr>
      <w:r/>
      <w:r>
        <w:rPr>
          <w:b/>
        </w:rPr>
        <w:t>Piège classique — Sédation excessive</w:t>
      </w:r>
      <w:r>
        <w:t xml:space="preserve"> : peut limiter l'observance et la réhabilitation. À anticiper par prise vespérale et adaptation de dose.</w:t>
      </w:r>
    </w:p>
    <w:p>
      <w:pPr>
        <w:pStyle w:val="ListBullet"/>
      </w:pPr>
      <w:r/>
      <w:r>
        <w:rPr>
          <w:b/>
        </w:rPr>
        <w:t>Piège classique — Constipation sévère</w:t>
      </w:r>
      <w:r>
        <w:t xml:space="preserve"> : à surveiller, surtout en gériatrie. Prévention par hydratation, fibres, laxatif osmotique si nécessaire.</w:t>
      </w:r>
    </w:p>
    <w:p>
      <w:pPr>
        <w:pStyle w:val="ListBullet"/>
      </w:pPr>
      <w:r/>
      <w:r>
        <w:rPr>
          <w:b/>
        </w:rPr>
        <w:t>Règle de prise</w:t>
      </w:r>
      <w:r>
        <w:t xml:space="preserve"> : titration prudente chez le sujet âgé, dose initiale réduite, prise vespérale pour la sédation.</w:t>
      </w:r>
    </w:p>
    <w:p>
      <w:pPr>
        <w:pStyle w:val="ListBullet"/>
      </w:pPr>
      <w:r/>
      <w:r>
        <w:rPr>
          <w:b/>
        </w:rPr>
        <w:t>Préparation et Conservation</w:t>
      </w:r>
      <w:r>
        <w:t xml:space="preserve"> : conservation à température &lt; 25 °C, à l'abri de l'humidité. Comprimés orodispersibles dans leur emballage d'origine.</w:t>
      </w:r>
    </w:p>
    <w:p>
      <w:pPr>
        <w:pStyle w:val="ListBullet"/>
      </w:pPr>
      <w:r/>
      <w:r>
        <w:rPr>
          <w:b/>
        </w:rPr>
        <w:t>Piège du surdosage / Substitution</w:t>
      </w:r>
      <w:r>
        <w:t xml:space="preserve"> :</w:t>
      </w:r>
    </w:p>
    <w:p>
      <w:pPr>
        <w:pStyle w:val="ListBullet"/>
      </w:pPr>
      <w:r>
        <w:t>Surdosage : sédation profonde, hypotension, tachycardie, EPS, allongement QTc, convulsions — réanimation</w:t>
      </w:r>
    </w:p>
    <w:p>
      <w:pPr>
        <w:pStyle w:val="ListBullet"/>
      </w:pPr>
      <w:r/>
      <w:r>
        <w:rPr>
          <w:b/>
        </w:rPr>
        <w:t>Substitution</w:t>
      </w:r>
      <w:r>
        <w:t xml:space="preserve"> : switch progressif vers aripiprazole, ziprasidone, lurasidone en cas d'intolérance métabolique (cross-taper sur 2-4 semaines)</w:t>
      </w:r>
    </w:p>
    <w:p>
      <w:pPr>
        <w:pStyle w:val="ListBullet"/>
      </w:pPr>
      <w:r>
        <w:t>Attention à ne pas confondre l'</w:t>
      </w:r>
      <w:r>
        <w:rPr>
          <w:b/>
        </w:rPr>
        <w:t>olanzapine</w:t>
      </w:r>
      <w:r>
        <w:t xml:space="preserve"> avec l'</w:t>
      </w:r>
      <w:r>
        <w:rPr>
          <w:b/>
        </w:rPr>
        <w:t>oclanzapine</w:t>
      </w:r>
      <w:r>
        <w:t xml:space="preserve"> (n'existe pas) ou l'</w:t>
      </w:r>
      <w:r>
        <w:rPr>
          <w:b/>
        </w:rPr>
        <w:t>oclauxin</w:t>
      </w:r>
      <w:r>
        <w:t xml:space="preserve"> (n'existe pas)</w:t>
      </w:r>
    </w:p>
    <w:p>
      <w:pPr>
        <w:pStyle w:val="Heading3"/>
      </w:pPr>
      <w:r>
        <w:t>4. DCI : Quétiapine (Seule)</w:t>
      </w:r>
    </w:p>
    <w:p>
      <w:r>
        <w:t xml:space="preserve">La quétiapine est un antipsychotique atypique de 2e génération de type dibenzothiazépine, introduit en 1997 (AstraZeneca, marque Seroquel). Elle se distingue par un </w:t>
      </w:r>
      <w:r>
        <w:rPr>
          <w:b/>
        </w:rPr>
        <w:t>profil sédatif marqué</w:t>
      </w:r>
      <w:r>
        <w:t xml:space="preserve"> (lié à une affinité H1 élevée), une </w:t>
      </w:r>
      <w:r>
        <w:rPr>
          <w:b/>
        </w:rPr>
        <w:t>efficacité sur les symptômes positifs et négatifs</w:t>
      </w:r>
      <w:r>
        <w:t xml:space="preserve"> de la schizophrénie, mais surtout par une </w:t>
      </w:r>
      <w:r>
        <w:rPr>
          <w:b/>
        </w:rPr>
        <w:t>indication AMM élargie au trouble bipolaire (manie, dépression bipolaire, prévention)</w:t>
      </w:r>
      <w:r>
        <w:t xml:space="preserve"> et à la </w:t>
      </w:r>
      <w:r>
        <w:rPr>
          <w:b/>
        </w:rPr>
        <w:t>dépression majeure résistante</w:t>
      </w:r>
      <w:r>
        <w:t xml:space="preserve"> (quétiapine LP à 50-300 mg/j). C'est la seule molécule de la classe ayant une AMM dans la dépression bipolaire. La quétiapine présente un </w:t>
      </w:r>
      <w:r>
        <w:rPr>
          <w:b/>
        </w:rPr>
        <w:t>profil métabolique intermédiaire</w:t>
      </w:r>
      <w:r>
        <w:t xml:space="preserve"> (prise de poids modérée à marquée, moins que clozapine/olanzapine mais supérieure à aripiprazole/ziprasidone/lurasidone) et un </w:t>
      </w:r>
      <w:r>
        <w:rPr>
          <w:b/>
        </w:rPr>
        <w:t>risque d'EPS faible</w:t>
      </w:r>
      <w:r>
        <w:t>. Sa forme à libération prolongée (LP/XR) permet une seule prise quotidienne et améliore l'observance, particulièrement dans la schizophrénie et le trouble bipolaire.</w:t>
      </w:r>
    </w:p>
    <w:p>
      <w:r/>
      <w:r>
        <w:rPr>
          <w:b/>
        </w:rPr>
        <w:t>Médicaments disponibles en Algérie (Marques, Laboratoires, Formes et Dosages) :</w:t>
      </w:r>
      <w:r/>
    </w:p>
    <w:p>
      <w:pPr>
        <w:pStyle w:val="ListBullet"/>
      </w:pPr>
      <w:r/>
      <w:r>
        <w:rPr>
          <w:b/>
        </w:rPr>
        <w:t>SELOPRESS</w:t>
      </w:r>
      <w:r>
        <w:t xml:space="preserve"> (CHIMIE PHARMACIE COMMERCE MULTIPLE — CPCM) — forme à libération immédiate (LI)</w:t>
      </w:r>
    </w:p>
    <w:p>
      <w:pPr>
        <w:pStyle w:val="ListBullet"/>
      </w:pPr>
      <w:r>
        <w:t>Formes et Dosages : Comprimé pelliculé 25 mg (B/60) ; 100 mg (B/60) ; 200 mg (B/60) ; 300 mg (B/60)</w:t>
      </w:r>
    </w:p>
    <w:p>
      <w:pPr>
        <w:pStyle w:val="ListBullet"/>
      </w:pPr>
      <w:r>
        <w:t>Statut : Actif</w:t>
      </w:r>
    </w:p>
    <w:p>
      <w:pPr>
        <w:pStyle w:val="ListBullet"/>
      </w:pPr>
      <w:r/>
      <w:r>
        <w:rPr>
          <w:b/>
        </w:rPr>
        <w:t>SEROQUEL</w:t>
      </w:r>
      <w:r>
        <w:t xml:space="preserve"> (ASTRAZENECA UK LIMITED) — marque princeps forme à libération immédiate</w:t>
      </w:r>
    </w:p>
    <w:p>
      <w:pPr>
        <w:pStyle w:val="ListBullet"/>
      </w:pPr>
      <w:r>
        <w:t>Formes et Dosages : Comprimé enrobé 25 mg (B/60) ; Comprimé pelliculé 100 mg (B/60) ; 200 mg (B/60) ; 300 mg (B/60)</w:t>
      </w:r>
    </w:p>
    <w:p>
      <w:pPr>
        <w:pStyle w:val="ListBullet"/>
      </w:pPr>
      <w:r>
        <w:t>Statut : Actif</w:t>
      </w:r>
    </w:p>
    <w:p>
      <w:pPr>
        <w:pStyle w:val="ListBullet"/>
      </w:pPr>
      <w:r/>
      <w:r>
        <w:rPr>
          <w:b/>
        </w:rPr>
        <w:t>PINAQUINE</w:t>
      </w:r>
      <w:r>
        <w:t xml:space="preserve"> (EL KENDI INDUSTRIE DU MEDICAMENT) — forme à libération immédiate</w:t>
      </w:r>
    </w:p>
    <w:p>
      <w:pPr>
        <w:pStyle w:val="ListBullet"/>
      </w:pPr>
      <w:r>
        <w:t>Formes et Dosages : Comprimé pelliculé 50 mg (B/60) ; 200 mg (B/60) ; 300 mg (B/60)</w:t>
      </w:r>
    </w:p>
    <w:p>
      <w:pPr>
        <w:pStyle w:val="ListBullet"/>
      </w:pPr>
      <w:r>
        <w:t>Statut : Actif</w:t>
      </w:r>
    </w:p>
    <w:p>
      <w:pPr>
        <w:pStyle w:val="ListBullet"/>
      </w:pPr>
      <w:r/>
      <w:r>
        <w:rPr>
          <w:b/>
        </w:rPr>
        <w:t>Q-PINE ALEMBIC MAMI</w:t>
      </w:r>
      <w:r>
        <w:t xml:space="preserve"> (ALEMBIC MAMI SPA) — forme à libération immédiate</w:t>
      </w:r>
    </w:p>
    <w:p>
      <w:pPr>
        <w:pStyle w:val="ListBullet"/>
      </w:pPr>
      <w:r>
        <w:t>Formes et Dosages : Comprimé pelliculé 50 mg (B/30) ; 300 mg (B/30)</w:t>
      </w:r>
    </w:p>
    <w:p>
      <w:pPr>
        <w:pStyle w:val="ListBullet"/>
      </w:pPr>
      <w:r>
        <w:t>Statut : Actif</w:t>
      </w:r>
    </w:p>
    <w:p>
      <w:pPr>
        <w:pStyle w:val="ListBullet"/>
      </w:pPr>
      <w:r/>
      <w:r>
        <w:rPr>
          <w:b/>
        </w:rPr>
        <w:t>PINAQUINE LP</w:t>
      </w:r>
      <w:r>
        <w:t xml:space="preserve"> (EL KENDI INDUSTRIE DU MEDICAMENT) — forme à libération prolongée (LP/XR)</w:t>
      </w:r>
    </w:p>
    <w:p>
      <w:pPr>
        <w:pStyle w:val="ListBullet"/>
      </w:pPr>
      <w:r>
        <w:t>Formes et Dosages : Comprimé pelliculé à libération prolongée 200 mg (B/60)</w:t>
      </w:r>
    </w:p>
    <w:p>
      <w:pPr>
        <w:pStyle w:val="ListBullet"/>
      </w:pPr>
      <w:r>
        <w:t>Statut : Actif</w:t>
      </w:r>
    </w:p>
    <w:p>
      <w:pPr>
        <w:pStyle w:val="ListBullet"/>
      </w:pPr>
      <w:r/>
      <w:r>
        <w:rPr>
          <w:b/>
        </w:rPr>
        <w:t>QUETAL LP</w:t>
      </w:r>
      <w:r>
        <w:t xml:space="preserve"> (HIKMA PHARMA ALGERIA) — forme LP</w:t>
      </w:r>
    </w:p>
    <w:p>
      <w:pPr>
        <w:pStyle w:val="ListBullet"/>
      </w:pPr>
      <w:r>
        <w:t>Formes et Dosages : Comprimé pelliculé à libération prolongée 50 mg (B/30 et B/60) ; 150 mg (B/30 et B/60) ; 200 mg (B/30 et B/60) ; 300 mg (B/60)</w:t>
      </w:r>
    </w:p>
    <w:p>
      <w:pPr>
        <w:pStyle w:val="ListBullet"/>
      </w:pPr>
      <w:r>
        <w:t>Statut : Actif</w:t>
      </w:r>
    </w:p>
    <w:p>
      <w:pPr>
        <w:pStyle w:val="ListBullet"/>
      </w:pPr>
      <w:r/>
      <w:r>
        <w:rPr>
          <w:b/>
        </w:rPr>
        <w:t>QUETIAPINE BEKER LP</w:t>
      </w:r>
      <w:r>
        <w:t xml:space="preserve"> (LABORATOIRES BEKER) — forme LP</w:t>
      </w:r>
    </w:p>
    <w:p>
      <w:pPr>
        <w:pStyle w:val="ListBullet"/>
      </w:pPr>
      <w:r>
        <w:t>Formes et Dosages : Comprimé pelliculé à libération prolongée 50 mg (B/30 et B/60) ; 300 mg (B/30 et B/60)</w:t>
      </w:r>
    </w:p>
    <w:p>
      <w:pPr>
        <w:pStyle w:val="ListBullet"/>
      </w:pPr>
      <w:r>
        <w:t>Statut : Actif</w:t>
      </w:r>
    </w:p>
    <w:p>
      <w:pPr>
        <w:pStyle w:val="ListBullet"/>
      </w:pPr>
      <w:r/>
      <w:r>
        <w:rPr>
          <w:b/>
        </w:rPr>
        <w:t>QUETIAX</w:t>
      </w:r>
      <w:r>
        <w:t xml:space="preserve"> (BIOPHARM) — forme LP</w:t>
      </w:r>
    </w:p>
    <w:p>
      <w:pPr>
        <w:pStyle w:val="ListBullet"/>
      </w:pPr>
      <w:r>
        <w:t>Formes et Dosages : Comprimé pelliculé à libération prolongée 50 mg (B/60) ; 300 mg (B/30 et B/60)</w:t>
      </w:r>
    </w:p>
    <w:p>
      <w:pPr>
        <w:pStyle w:val="ListBullet"/>
      </w:pPr>
      <w:r>
        <w:t>Statut : Actif</w:t>
      </w:r>
    </w:p>
    <w:p>
      <w:r/>
      <w:r>
        <w:rPr>
          <w:b/>
        </w:rPr>
        <w:t>Sous-classe et Mécanisme d'action :</w:t>
      </w:r>
      <w:r/>
    </w:p>
    <w:p>
      <w:pPr>
        <w:pStyle w:val="ListBullet"/>
      </w:pPr>
      <w:r/>
      <w:r>
        <w:rPr>
          <w:b/>
        </w:rPr>
        <w:t>Sous-classe</w:t>
      </w:r>
      <w:r>
        <w:t xml:space="preserve"> : Antipsychotique atypique de 2e génération — dibenzothiazépine, AP-2G à profil sédatif et métabolique intermédiaire.</w:t>
      </w:r>
    </w:p>
    <w:p>
      <w:pPr>
        <w:pStyle w:val="ListBullet"/>
      </w:pPr>
      <w:r/>
      <w:r>
        <w:rPr>
          <w:b/>
        </w:rPr>
        <w:t>Mécanisme d'action</w:t>
      </w:r>
      <w:r>
        <w:t xml:space="preserve"> : la quétiapine possède un profil multi-réceptoriel élargi :</w:t>
      </w:r>
    </w:p>
    <w:p>
      <w:pPr>
        <w:pStyle w:val="ListBullet"/>
      </w:pPr>
      <w:r/>
      <w:r>
        <w:rPr>
          <w:b/>
        </w:rPr>
        <w:t>Antagonisme D2</w:t>
      </w:r>
      <w:r>
        <w:t xml:space="preserve"> faible (occupation ~ 30-40 % à dose thérapeutique — la plus faible occupation D2 de la classe, ce qui explique la quasi-absence d'EPS et l'absence d'hyperprolactinémie)</w:t>
      </w:r>
    </w:p>
    <w:p>
      <w:pPr>
        <w:pStyle w:val="ListBullet"/>
      </w:pPr>
      <w:r/>
      <w:r>
        <w:rPr>
          <w:b/>
        </w:rPr>
        <w:t>Antagonisme 5-HT2A</w:t>
      </w:r>
      <w:r>
        <w:t xml:space="preserve"> (profil atypique)</w:t>
      </w:r>
    </w:p>
    <w:p>
      <w:pPr>
        <w:pStyle w:val="ListBullet"/>
      </w:pPr>
      <w:r/>
      <w:r>
        <w:rPr>
          <w:b/>
        </w:rPr>
        <w:t>Affinité H1 marquée</w:t>
      </w:r>
      <w:r>
        <w:t xml:space="preserve"> (sédation, prise de poids, hypersomnie)</w:t>
      </w:r>
    </w:p>
    <w:p>
      <w:pPr>
        <w:pStyle w:val="ListBullet"/>
      </w:pPr>
      <w:r/>
      <w:r>
        <w:rPr>
          <w:b/>
        </w:rPr>
        <w:t>Affinité alpha-1 adrénergique</w:t>
      </w:r>
      <w:r>
        <w:t xml:space="preserve"> (hypotension orthostatique)</w:t>
      </w:r>
    </w:p>
    <w:p>
      <w:pPr>
        <w:pStyle w:val="ListBullet"/>
      </w:pPr>
      <w:r/>
      <w:r>
        <w:rPr>
          <w:b/>
        </w:rPr>
        <w:t>Affinité alpha-2 adrénergique</w:t>
      </w:r>
      <w:r>
        <w:t xml:space="preserve"> (particulière à la quétiapine — pourrait contribuer à l'efficacité antidépressive et à l'hypotension)</w:t>
      </w:r>
    </w:p>
    <w:p>
      <w:pPr>
        <w:pStyle w:val="ListBullet"/>
      </w:pPr>
      <w:r/>
      <w:r>
        <w:rPr>
          <w:b/>
        </w:rPr>
        <w:t>Affinité muscarinique M1</w:t>
      </w:r>
      <w:r>
        <w:t xml:space="preserve"> très faible (peu d'effets atropiniques)</w:t>
      </w:r>
    </w:p>
    <w:p>
      <w:pPr>
        <w:pStyle w:val="ListBullet"/>
      </w:pPr>
      <w:r>
        <w:t xml:space="preserve">Métabolite actif principal : la </w:t>
      </w:r>
      <w:r>
        <w:rPr>
          <w:b/>
        </w:rPr>
        <w:t>norquétiapine</w:t>
      </w:r>
      <w:r>
        <w:t xml:space="preserve"> (métabolite principal), qui possède une activité </w:t>
      </w:r>
      <w:r>
        <w:rPr>
          <w:b/>
        </w:rPr>
        <w:t>inhibitrice de la recapture de la noradrénaline</w:t>
      </w:r>
      <w:r>
        <w:t xml:space="preserve"> (NRI) — ce qui expliquerait l'efficacité antidépressive de la quétiapine (notamment dans la dépression bipolaire et la dépression majeure résistante).</w:t>
      </w:r>
    </w:p>
    <w:p>
      <w:pPr>
        <w:pStyle w:val="ListBullet"/>
      </w:pPr>
      <w:r/>
      <w:r>
        <w:rPr>
          <w:b/>
        </w:rPr>
        <w:t>Métabolisme</w:t>
      </w:r>
      <w:r>
        <w:t xml:space="preserve"> : CYP3A4 (interactions majeures avec inducteurs/inhibiteurs CYP3A4)</w:t>
      </w:r>
    </w:p>
    <w:p>
      <w:pPr>
        <w:pStyle w:val="ListBullet"/>
      </w:pPr>
      <w:r/>
      <w:r>
        <w:rPr>
          <w:b/>
        </w:rPr>
        <w:t>Demi-vie</w:t>
      </w:r>
      <w:r>
        <w:t xml:space="preserve"> courte pour la forme LI (~7 h) nécessitant 2 prises par jour ; la forme LP a une demi-vie apparente prolongée permettant une seule prise quotidienne.</w:t>
      </w:r>
    </w:p>
    <w:p>
      <w:r/>
      <w:r>
        <w:rPr>
          <w:b/>
        </w:rPr>
        <w:t>Profil Pharmacologique :</w:t>
      </w:r>
      <w:r/>
    </w:p>
    <w:p>
      <w:pPr>
        <w:pStyle w:val="ListBullet"/>
      </w:pPr>
      <w:r/>
      <w:r>
        <w:rPr>
          <w:b/>
        </w:rPr>
        <w:t>Indications</w:t>
      </w:r>
      <w:r>
        <w:t xml:space="preserve"> :</w:t>
      </w:r>
    </w:p>
    <w:p>
      <w:pPr>
        <w:pStyle w:val="ListBullet"/>
      </w:pPr>
      <w:r/>
      <w:r>
        <w:rPr>
          <w:b/>
        </w:rPr>
        <w:t>Schizophrénie</w:t>
      </w:r>
      <w:r>
        <w:t xml:space="preserve"> (toutes phases) — AMM</w:t>
      </w:r>
    </w:p>
    <w:p>
      <w:pPr>
        <w:pStyle w:val="ListBullet"/>
      </w:pPr>
      <w:r/>
      <w:r>
        <w:rPr>
          <w:b/>
        </w:rPr>
        <w:t>Trouble bipolaire</w:t>
      </w:r>
      <w:r>
        <w:t xml:space="preserve"> (manie aiguë, dépression bipolaire, prévention des rechutes) — AMM complète (seul AP avec AMM dans les 3 phases du trouble bipolaire)</w:t>
      </w:r>
    </w:p>
    <w:p>
      <w:pPr>
        <w:pStyle w:val="ListBullet"/>
      </w:pPr>
      <w:r/>
      <w:r>
        <w:rPr>
          <w:b/>
        </w:rPr>
        <w:t>Dépression majeure résistante</w:t>
      </w:r>
      <w:r>
        <w:t xml:space="preserve"> (quétiapine LP à 50-300 mg/j en association ou monothérapie) — AMM européenne</w:t>
      </w:r>
    </w:p>
    <w:p>
      <w:pPr>
        <w:pStyle w:val="ListBullet"/>
      </w:pPr>
      <w:r/>
      <w:r>
        <w:rPr>
          <w:b/>
        </w:rPr>
        <w:t>Trouble schizo-affectif</w:t>
      </w:r>
      <w:r>
        <w:t xml:space="preserve"> (2e intention)</w:t>
      </w:r>
    </w:p>
    <w:p>
      <w:pPr>
        <w:pStyle w:val="ListBullet"/>
      </w:pPr>
      <w:r/>
      <w:r>
        <w:rPr>
          <w:b/>
        </w:rPr>
        <w:t>Anxiété généralisée</w:t>
      </w:r>
      <w:r>
        <w:t xml:space="preserve"> (hors AMM, faibles doses)</w:t>
      </w:r>
    </w:p>
    <w:p>
      <w:pPr>
        <w:pStyle w:val="ListBullet"/>
      </w:pPr>
      <w:r/>
      <w:r>
        <w:rPr>
          <w:b/>
        </w:rPr>
        <w:t>Insomnie</w:t>
      </w:r>
      <w:r>
        <w:t xml:space="preserve"> (hors AMM, faibles doses 25-100 mg/j)</w:t>
      </w:r>
    </w:p>
    <w:p>
      <w:pPr>
        <w:pStyle w:val="ListBullet"/>
      </w:pPr>
      <w:r/>
      <w:r>
        <w:rPr>
          <w:b/>
        </w:rPr>
        <w:t>Contre-indications</w:t>
      </w:r>
      <w:r>
        <w:t xml:space="preserve"> :</w:t>
      </w:r>
    </w:p>
    <w:p>
      <w:pPr>
        <w:pStyle w:val="ListBullet"/>
      </w:pPr>
      <w:r>
        <w:t>Hypersensibilité à la quétiapine</w:t>
      </w:r>
    </w:p>
    <w:p>
      <w:pPr>
        <w:pStyle w:val="ListBullet"/>
      </w:pPr>
      <w:r>
        <w:t>Allaitement (CI selon CRAT)</w:t>
      </w:r>
    </w:p>
    <w:p>
      <w:pPr>
        <w:pStyle w:val="ListBullet"/>
      </w:pPr>
      <w:r>
        <w:t>Insuffisance hépatique sévère</w:t>
      </w:r>
    </w:p>
    <w:p>
      <w:pPr>
        <w:pStyle w:val="ListBullet"/>
      </w:pPr>
      <w:r>
        <w:t>En association avec les allongeurs QT à doses supra-thérapeutiques</w:t>
      </w:r>
    </w:p>
    <w:p>
      <w:pPr>
        <w:pStyle w:val="ListBullet"/>
      </w:pPr>
      <w:r>
        <w:t>Phéochromocytome</w:t>
      </w:r>
    </w:p>
    <w:p>
      <w:pPr>
        <w:pStyle w:val="ListBullet"/>
      </w:pPr>
      <w:r/>
      <w:r>
        <w:rPr>
          <w:b/>
        </w:rPr>
        <w:t>Effets Indésirables</w:t>
      </w:r>
      <w:r>
        <w:t xml:space="preserve"> :</w:t>
      </w:r>
    </w:p>
    <w:p>
      <w:pPr>
        <w:pStyle w:val="ListBullet"/>
      </w:pPr>
      <w:r/>
      <w:r>
        <w:rPr>
          <w:b/>
        </w:rPr>
        <w:t>Somnolence et sédation marquée</w:t>
      </w:r>
      <w:r>
        <w:t xml:space="preserve"> (EI le plus fréquent, 30-50 %) — utile en cas d'insomnie associée, mais gênant pour la fonction diurne</w:t>
      </w:r>
    </w:p>
    <w:p>
      <w:pPr>
        <w:pStyle w:val="ListBullet"/>
      </w:pPr>
      <w:r/>
      <w:r>
        <w:rPr>
          <w:b/>
        </w:rPr>
        <w:t>Prise de poids</w:t>
      </w:r>
      <w:r>
        <w:t xml:space="preserve"> modérée à marquée (2-5 kg en moyenne, parfois &gt; 10 kg)</w:t>
      </w:r>
    </w:p>
    <w:p>
      <w:pPr>
        <w:pStyle w:val="ListBullet"/>
      </w:pPr>
      <w:r/>
      <w:r>
        <w:rPr>
          <w:b/>
        </w:rPr>
        <w:t>Syndrome métabolique</w:t>
      </w:r>
      <w:r>
        <w:t xml:space="preserve"> (intermédiaire, inférieur à clozapine/olanzapine mais présent)</w:t>
      </w:r>
    </w:p>
    <w:p>
      <w:pPr>
        <w:pStyle w:val="ListBullet"/>
      </w:pPr>
      <w:r/>
      <w:r>
        <w:rPr>
          <w:b/>
        </w:rPr>
        <w:t>Hypotension orthostatique</w:t>
      </w:r>
      <w:r>
        <w:t xml:space="preserve"> (surtout initiation, sujet âgé)</w:t>
      </w:r>
    </w:p>
    <w:p>
      <w:pPr>
        <w:pStyle w:val="ListBullet"/>
      </w:pPr>
      <w:r/>
      <w:r>
        <w:rPr>
          <w:b/>
        </w:rPr>
        <w:t>Allongement QTc</w:t>
      </w:r>
      <w:r>
        <w:t xml:space="preserve"> modéré</w:t>
      </w:r>
    </w:p>
    <w:p>
      <w:pPr>
        <w:pStyle w:val="ListBullet"/>
      </w:pPr>
      <w:r/>
      <w:r>
        <w:rPr>
          <w:b/>
        </w:rPr>
        <w:t>Constipation, sécheresse buccale</w:t>
      </w:r>
      <w:r>
        <w:t xml:space="preserve"> (peu marqués)</w:t>
      </w:r>
    </w:p>
    <w:p>
      <w:pPr>
        <w:pStyle w:val="ListBullet"/>
      </w:pPr>
      <w:r/>
      <w:r>
        <w:rPr>
          <w:b/>
        </w:rPr>
        <w:t>Akathisie</w:t>
      </w:r>
      <w:r>
        <w:t xml:space="preserve"> modérée (rare aux faibles doses)</w:t>
      </w:r>
    </w:p>
    <w:p>
      <w:pPr>
        <w:pStyle w:val="ListBullet"/>
      </w:pPr>
      <w:r/>
      <w:r>
        <w:rPr>
          <w:b/>
        </w:rPr>
        <w:t>Dyskinésie tardive</w:t>
      </w:r>
      <w:r>
        <w:t xml:space="preserve"> (rare)</w:t>
      </w:r>
    </w:p>
    <w:p>
      <w:pPr>
        <w:pStyle w:val="ListBullet"/>
      </w:pPr>
      <w:r/>
      <w:r>
        <w:rPr>
          <w:b/>
        </w:rPr>
        <w:t>Hyperprolactinémie</w:t>
      </w:r>
      <w:r>
        <w:t xml:space="preserve"> rare (absence quasi-totale, la quétiapine avec l'aripiprazole est la seule à ne pas induire d'hyperprolactinémie)</w:t>
      </w:r>
    </w:p>
    <w:p>
      <w:pPr>
        <w:pStyle w:val="ListBullet"/>
      </w:pPr>
      <w:r/>
      <w:r>
        <w:rPr>
          <w:b/>
        </w:rPr>
        <w:t>Syndrome malin des neuroleptiques</w:t>
      </w:r>
      <w:r>
        <w:t xml:space="preserve"> (rare)</w:t>
      </w:r>
    </w:p>
    <w:p>
      <w:pPr>
        <w:pStyle w:val="ListBullet"/>
      </w:pPr>
      <w:r/>
      <w:r>
        <w:rPr>
          <w:b/>
        </w:rPr>
        <w:t>Convulsions</w:t>
      </w:r>
      <w:r>
        <w:t xml:space="preserve"> (rare, seuil abaissé)</w:t>
      </w:r>
    </w:p>
    <w:p>
      <w:pPr>
        <w:pStyle w:val="ListBullet"/>
      </w:pPr>
      <w:r/>
      <w:r>
        <w:rPr>
          <w:b/>
        </w:rPr>
        <w:t>Cataracte</w:t>
      </w:r>
      <w:r>
        <w:t xml:space="preserve"> (chez l'animal — surveillance ophtalmologique chez l'humain)</w:t>
      </w:r>
    </w:p>
    <w:p>
      <w:pPr>
        <w:pStyle w:val="ListBullet"/>
      </w:pPr>
      <w:r/>
      <w:r>
        <w:rPr>
          <w:b/>
        </w:rPr>
        <w:t>Hépatotoxicité</w:t>
      </w:r>
      <w:r>
        <w:t xml:space="preserve"> (transaminases modérées)</w:t>
      </w:r>
    </w:p>
    <w:p>
      <w:pPr>
        <w:pStyle w:val="ListBullet"/>
      </w:pPr>
      <w:r/>
      <w:r>
        <w:rPr>
          <w:b/>
        </w:rPr>
        <w:t>Risque d'AVC majoré en gériatrie</w:t>
      </w:r>
      <w:r>
        <w:t xml:space="preserve"> (démence)</w:t>
      </w:r>
    </w:p>
    <w:p>
      <w:pPr>
        <w:pStyle w:val="ListBullet"/>
      </w:pPr>
      <w:r/>
      <w:r>
        <w:rPr>
          <w:b/>
        </w:rPr>
        <w:t>Somnolence diurne résiduelle</w:t>
      </w:r>
      <w:r>
        <w:t xml:space="preserve"> avec la forme LP</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 complet</w:t>
      </w:r>
      <w:r>
        <w:t xml:space="preserve"> : poids, IMC, tour de taille, TA, glycémie à jeun, HbA1c, bilan lipidique, ECG, transaminases</w:t>
      </w:r>
    </w:p>
    <w:p>
      <w:pPr>
        <w:pStyle w:val="ListBullet"/>
      </w:pPr>
      <w:r/>
      <w:r>
        <w:rPr>
          <w:b/>
        </w:rPr>
        <w:t>Surveillance métabolique</w:t>
      </w:r>
      <w:r>
        <w:t xml:space="preserve"> : à l'initiation, à M1, M3, M6 puis semestrielle</w:t>
      </w:r>
    </w:p>
    <w:p>
      <w:pPr>
        <w:pStyle w:val="ListBullet"/>
      </w:pPr>
      <w:r/>
      <w:r>
        <w:rPr>
          <w:b/>
        </w:rPr>
        <w:t>Surveillance ECG</w:t>
      </w:r>
      <w:r>
        <w:t xml:space="preserve"> si âge &gt; 50 ans, ATCD cardiaques, associations allongeurs QT</w:t>
      </w:r>
    </w:p>
    <w:p>
      <w:pPr>
        <w:pStyle w:val="ListBullet"/>
      </w:pPr>
      <w:r/>
      <w:r>
        <w:rPr>
          <w:b/>
        </w:rPr>
        <w:t>Titration progressive</w:t>
      </w:r>
      <w:r>
        <w:t xml:space="preserve"> pour limiter l'hypotension orthostatique (surtout chez le sujet âgé)</w:t>
      </w:r>
    </w:p>
    <w:p>
      <w:pPr>
        <w:pStyle w:val="ListBullet"/>
      </w:pPr>
      <w:r/>
      <w:r>
        <w:rPr>
          <w:b/>
        </w:rPr>
        <w:t>Éviter de conduire</w:t>
      </w:r>
      <w:r>
        <w:t xml:space="preserve"> en début de traitement (somnolence)</w:t>
      </w:r>
    </w:p>
    <w:p>
      <w:pPr>
        <w:pStyle w:val="ListBullet"/>
      </w:pPr>
      <w:r/>
      <w:r>
        <w:rPr>
          <w:b/>
        </w:rPr>
        <w:t>Conduite à Tenir</w:t>
      </w:r>
      <w:r>
        <w:t xml:space="preserve"> :</w:t>
      </w:r>
    </w:p>
    <w:p>
      <w:pPr>
        <w:pStyle w:val="ListBullet"/>
      </w:pPr>
      <w:r/>
      <w:r>
        <w:rPr>
          <w:b/>
        </w:rPr>
        <w:t>Si somnolence excessive</w:t>
      </w:r>
      <w:r>
        <w:t xml:space="preserve"> : ajustement de l'horaire de prise (plus tôt le soir), réduction de dose, switch vers forme LI si LP trop sédatif résiduel</w:t>
      </w:r>
    </w:p>
    <w:p>
      <w:pPr>
        <w:pStyle w:val="ListBullet"/>
      </w:pPr>
      <w:r/>
      <w:r>
        <w:rPr>
          <w:b/>
        </w:rPr>
        <w:t>Si hypotension orthostatique</w:t>
      </w:r>
      <w:r>
        <w:t xml:space="preserve"> : réduction de dose, lever progressif</w:t>
      </w:r>
    </w:p>
    <w:p>
      <w:pPr>
        <w:pStyle w:val="ListBullet"/>
      </w:pPr>
      <w:r/>
      <w:r>
        <w:rPr>
          <w:b/>
        </w:rPr>
        <w:t>Si prise de poids</w:t>
      </w:r>
      <w:r>
        <w:t xml:space="preserve"> : conseil diététique, surveillance accrue ; envisager switch vers aripiprazole, ziprasidone, lurasidone</w:t>
      </w:r>
    </w:p>
    <w:p>
      <w:pPr>
        <w:pStyle w:val="ListBullet"/>
      </w:pPr>
      <w:r/>
      <w:r>
        <w:rPr>
          <w:b/>
        </w:rPr>
        <w:t>Si syndrome métabolique</w:t>
      </w:r>
      <w:r>
        <w:t xml:space="preserve"> : switch molécule</w:t>
      </w:r>
    </w:p>
    <w:p>
      <w:r/>
      <w:r>
        <w:rPr>
          <w:b/>
        </w:rPr>
        <w:t>Interactions Importantes :</w:t>
      </w:r>
      <w:r/>
    </w:p>
    <w:p>
      <w:pPr>
        <w:pStyle w:val="ListBullet"/>
      </w:pPr>
      <w:r/>
      <w:r>
        <w:rPr>
          <w:b/>
        </w:rPr>
        <w:t>Quétiapine + inducteurs CYP3A4</w:t>
      </w:r>
      <w:r>
        <w:t xml:space="preserve"> (carbamazépine, phénytoïne, rifampicine, millepertuis, éfavirenz) : diminution majeure des taux de quétiapine (jusqu'à -80 %) → inefficacité ; contre-indication relative, augmenter la dose 5× si association nécessaire</w:t>
      </w:r>
    </w:p>
    <w:p>
      <w:pPr>
        <w:pStyle w:val="ListBullet"/>
      </w:pPr>
      <w:r/>
      <w:r>
        <w:rPr>
          <w:b/>
        </w:rPr>
        <w:t>Quétiapine + inhibiteurs CYP3A4</w:t>
      </w:r>
      <w:r>
        <w:t xml:space="preserve"> (kétaconazole, itraconazole, voriconazole, érythromycine, clarithromycine, ritonavir) : augmentation majeure des taux de quétiapine (jusqu'à +300 %) → toxicité ; réduire la dose à 1/6, surveillance</w:t>
      </w:r>
    </w:p>
    <w:p>
      <w:pPr>
        <w:pStyle w:val="ListBullet"/>
      </w:pPr>
      <w:r/>
      <w:r>
        <w:rPr>
          <w:b/>
        </w:rPr>
        <w:t>Quétiapine + allongeurs QTc</w:t>
      </w:r>
      <w:r>
        <w:t xml:space="preserve"> : effet additif torsadogène, surveillance ECG</w:t>
      </w:r>
    </w:p>
    <w:p>
      <w:pPr>
        <w:pStyle w:val="ListBullet"/>
      </w:pPr>
      <w:r/>
      <w:r>
        <w:rPr>
          <w:b/>
        </w:rPr>
        <w:t>Quétiapine + dépresseurs SNC</w:t>
      </w:r>
      <w:r>
        <w:t xml:space="preserve"> (alcool, opioïdes, BZD) : potentialisation sédative majeure</w:t>
      </w:r>
    </w:p>
    <w:p>
      <w:pPr>
        <w:pStyle w:val="ListBullet"/>
      </w:pPr>
      <w:r/>
      <w:r>
        <w:rPr>
          <w:b/>
        </w:rPr>
        <w:t>Quétiapine + antihypertenseurs</w:t>
      </w:r>
      <w:r>
        <w:t xml:space="preserve"> : hypotension orthostatique majorée</w:t>
      </w:r>
    </w:p>
    <w:p>
      <w:pPr>
        <w:pStyle w:val="ListBullet"/>
      </w:pPr>
      <w:r/>
      <w:r>
        <w:rPr>
          <w:b/>
        </w:rPr>
        <w:t>Quétiapine + lévodopa</w:t>
      </w:r>
      <w:r>
        <w:t xml:space="preserve"> : antagonisme</w:t>
      </w:r>
    </w:p>
    <w:p>
      <w:pPr>
        <w:pStyle w:val="ListBullet"/>
      </w:pPr>
      <w:r/>
      <w:r>
        <w:rPr>
          <w:b/>
        </w:rPr>
        <w:t>Quétiapine + lithium</w:t>
      </w:r>
      <w:r>
        <w:t xml:space="preserve"> : risque majoré de syndrome malin et EPS</w:t>
      </w:r>
    </w:p>
    <w:p>
      <w:r/>
      <w:r>
        <w:rPr>
          <w:b/>
        </w:rPr>
        <w:t>Grossesse et Allaitement :</w:t>
      </w:r>
      <w:r/>
    </w:p>
    <w:p>
      <w:pPr>
        <w:pStyle w:val="ListBullet"/>
      </w:pPr>
      <w:r/>
      <w:r>
        <w:rPr>
          <w:b/>
        </w:rPr>
        <w:t>Grossesse</w:t>
      </w:r>
      <w:r>
        <w:t xml:space="preserve"> : selon CRAT, pas de surrisque malformatif global démontré (données limitées sur ~800 grossesses exposées). Risque d'</w:t>
      </w:r>
      <w:r>
        <w:rPr>
          <w:b/>
        </w:rPr>
        <w:t>hypotonie néonatale transitoire</w:t>
      </w:r>
      <w:r>
        <w:t>, de détresse respiratoire, de syndrome de sevrage néonatal. Risque métabolique. À éviter si possible ; si nécessaire, dose minimale efficace. Surveillance néonatale renforcée (48 h en maternité).</w:t>
      </w:r>
    </w:p>
    <w:p>
      <w:pPr>
        <w:pStyle w:val="ListBullet"/>
      </w:pPr>
      <w:r/>
      <w:r>
        <w:rPr>
          <w:b/>
        </w:rPr>
        <w:t>Allaitement</w:t>
      </w:r>
      <w:r>
        <w:t xml:space="preserve"> : selon CRAT, la quétiapine passe dans le lait (rapport lait/plasma ~0,3), DRI ~1-2 % de la dose maternelle pondérale — en dessous du seuil de préoccupation. L'allaitement est possible sous surveillance de la sédation, du poids et du développement neurologique du nourrisson.</w:t>
      </w:r>
    </w:p>
    <w:p>
      <w:pPr>
        <w:pStyle w:val="ListBullet"/>
      </w:pPr>
      <w:r/>
      <w:r>
        <w:rPr>
          <w:b/>
        </w:rPr>
        <w:t>Précisions</w:t>
      </w:r>
      <w:r>
        <w:t xml:space="preserve"> : surveillance glycémie néonatale.</w:t>
      </w:r>
    </w:p>
    <w:p>
      <w:r/>
      <w:r>
        <w:rPr>
          <w:b/>
        </w:rPr>
        <w:t>Posologie et Mode d'administration (Standard) :</w:t>
      </w:r>
      <w:r/>
    </w:p>
    <w:p>
      <w:pPr>
        <w:pStyle w:val="ListBullet"/>
      </w:pPr>
      <w:r/>
      <w:r>
        <w:rPr>
          <w:b/>
        </w:rPr>
        <w:t>Adulte</w:t>
      </w:r>
      <w:r>
        <w:t xml:space="preserve"> :</w:t>
      </w:r>
    </w:p>
    <w:p>
      <w:pPr>
        <w:pStyle w:val="ListBullet"/>
      </w:pPr>
      <w:r/>
      <w:r>
        <w:rPr>
          <w:b/>
        </w:rPr>
        <w:t>Schizophrénie (LI)</w:t>
      </w:r>
      <w:r>
        <w:t xml:space="preserve"> : dose initiale 25 mg × 2/j, titration à 50 mg × 2/j à J2, 100 mg × 2/j à J3, 150 mg × 2/j à J4, dose cible 300-450 mg/j en 2 prises, maximum 750 mg/j</w:t>
      </w:r>
    </w:p>
    <w:p>
      <w:pPr>
        <w:pStyle w:val="ListBullet"/>
      </w:pPr>
      <w:r/>
      <w:r>
        <w:rPr>
          <w:b/>
        </w:rPr>
        <w:t>Schizophrénie (LP)</w:t>
      </w:r>
      <w:r>
        <w:t xml:space="preserve"> : dose initiale 300 mg/j en 1 prise le soir, titration par paliers de 100-300 mg/j, dose cible 400-800 mg/j, maximum 800 mg/j</w:t>
      </w:r>
    </w:p>
    <w:p>
      <w:pPr>
        <w:pStyle w:val="ListBullet"/>
      </w:pPr>
      <w:r/>
      <w:r>
        <w:rPr>
          <w:b/>
        </w:rPr>
        <w:t>Trouble bipolaire (manie, LI)</w:t>
      </w:r>
      <w:r>
        <w:t xml:space="preserve"> : dose initiale 50 mg × 2/j, titration à 100 mg × 2/j à J3, dose cible 400-800 mg/j</w:t>
      </w:r>
    </w:p>
    <w:p>
      <w:pPr>
        <w:pStyle w:val="ListBullet"/>
      </w:pPr>
      <w:r/>
      <w:r>
        <w:rPr>
          <w:b/>
        </w:rPr>
        <w:t>Trouble bipolaire (manie, LP)</w:t>
      </w:r>
      <w:r>
        <w:t xml:space="preserve"> : dose initiale 300 mg/j, titration à 600 mg/j à J3, dose cible 400-800 mg/j</w:t>
      </w:r>
    </w:p>
    <w:p>
      <w:pPr>
        <w:pStyle w:val="ListBullet"/>
      </w:pPr>
      <w:r/>
      <w:r>
        <w:rPr>
          <w:b/>
        </w:rPr>
        <w:t>Dépression bipolaire (LP)</w:t>
      </w:r>
      <w:r>
        <w:t xml:space="preserve"> : dose initiale 50 mg/j le soir, titration à 150 mg/j à J3, dose cible 300 mg/j, maximum 600 mg/j</w:t>
      </w:r>
    </w:p>
    <w:p>
      <w:pPr>
        <w:pStyle w:val="ListBullet"/>
      </w:pPr>
      <w:r/>
      <w:r>
        <w:rPr>
          <w:b/>
        </w:rPr>
        <w:t>Dépression majeure résistante (LP)</w:t>
      </w:r>
      <w:r>
        <w:t xml:space="preserve"> : dose initiale 50 mg/j, titration à 150 mg/j à J3, dose cible 150-300 mg/j</w:t>
      </w:r>
    </w:p>
    <w:p>
      <w:pPr>
        <w:pStyle w:val="ListBullet"/>
      </w:pPr>
      <w:r/>
      <w:r>
        <w:rPr>
          <w:b/>
        </w:rPr>
        <w:t>Sujet âgé</w:t>
      </w:r>
      <w:r>
        <w:t xml:space="preserve"> : dose initiale réduite (25-50 mg/j), titration très lente, dose cible 50-200 mg/j</w:t>
      </w:r>
    </w:p>
    <w:p>
      <w:pPr>
        <w:pStyle w:val="ListBullet"/>
      </w:pPr>
      <w:r/>
      <w:r>
        <w:rPr>
          <w:b/>
        </w:rPr>
        <w:t>Insuffisant hépatique</w:t>
      </w:r>
      <w:r>
        <w:t xml:space="preserve"> : dose initiale réduite (25 mg/j), titration prudente</w:t>
      </w:r>
    </w:p>
    <w:p>
      <w:pPr>
        <w:pStyle w:val="ListBullet"/>
      </w:pPr>
      <w:r/>
      <w:r>
        <w:rPr>
          <w:b/>
        </w:rPr>
        <w:t>Insuffisant rénal</w:t>
      </w:r>
      <w:r>
        <w:t xml:space="preserve"> : pas d'adaptation mais surveillance accrue</w:t>
      </w:r>
    </w:p>
    <w:p>
      <w:pPr>
        <w:pStyle w:val="ListBullet"/>
      </w:pPr>
      <w:r/>
      <w:r>
        <w:rPr>
          <w:b/>
        </w:rPr>
        <w:t>Durée</w:t>
      </w:r>
      <w:r>
        <w:t xml:space="preserve"> : au long cours (années)</w:t>
      </w:r>
    </w:p>
    <w:p>
      <w:pPr>
        <w:pStyle w:val="ListBullet"/>
      </w:pPr>
      <w:r/>
      <w:r>
        <w:rPr>
          <w:b/>
        </w:rPr>
        <w:t>Moment de la prise</w:t>
      </w:r>
      <w:r>
        <w:t xml:space="preserve"> : pour la forme LP, en une prise le soir (sédation et pic nocturne) ; pour la forme LI, en 2 prises (matin + soir)</w:t>
      </w:r>
    </w:p>
    <w:p>
      <w:r/>
      <w:r>
        <w:rPr>
          <w:b/>
        </w:rPr>
        <w:t>Arbitrage et Bénéfices des Formes Galéniques :</w:t>
      </w:r>
      <w:r/>
    </w:p>
    <w:p>
      <w:pPr>
        <w:pStyle w:val="ListBullet"/>
      </w:pPr>
      <w:r/>
      <w:r>
        <w:rPr>
          <w:b/>
        </w:rPr>
        <w:t>Forme LI (libération immédiate)</w:t>
      </w:r>
      <w:r>
        <w:t xml:space="preserve"> : SELOPRESS, SEROQUEL, PINAQUINE, Q-PINE — indiquée pour les patients nécessitant une adaptation posologique fine, les sujets âgés, ou en initiation (titration)</w:t>
      </w:r>
    </w:p>
    <w:p>
      <w:pPr>
        <w:pStyle w:val="ListBullet"/>
      </w:pPr>
      <w:r/>
      <w:r>
        <w:rPr>
          <w:b/>
        </w:rPr>
        <w:t>Forme LP (libération prolongée)</w:t>
      </w:r>
      <w:r>
        <w:t xml:space="preserve"> : PINAQUINE LP, QUETAL LP, QUETIAPINE BEKER LP, QUETIAX — indiquée pour l'entretien à long terme (observance facilitée par 1 prise/jour), meilleure tolérance initiale (pic moins marqué), sédation résiduelle matutinale exploitée dans l'insomnie associée</w:t>
      </w:r>
    </w:p>
    <w:p>
      <w:pPr>
        <w:pStyle w:val="ListBullet"/>
      </w:pPr>
      <w:r>
        <w:t>Le passage LI → LP se fait à dose équivalente approximative (LI 300 mg/j en 2 prises → LP 300 mg/j en 1 prise le soir), mais avec adaptation et surveillance</w:t>
      </w:r>
    </w:p>
    <w:p>
      <w:pPr>
        <w:pStyle w:val="ListBullet"/>
      </w:pPr>
      <w:r>
        <w:t>Pas de solution buvable ni de forme orodispersible disponibles en Algérie</w:t>
      </w:r>
    </w:p>
    <w:p>
      <w:pPr>
        <w:pStyle w:val="ListBullet"/>
      </w:pPr>
      <w:r>
        <w:t>Pas de forme dépôt IM LP</w:t>
      </w:r>
    </w:p>
    <w:p>
      <w:r/>
      <w:r>
        <w:rPr>
          <w:b/>
        </w:rPr>
        <w:t>Instructions et Conseils au Patient :</w:t>
      </w:r>
      <w:r/>
    </w:p>
    <w:p>
      <w:pPr>
        <w:pStyle w:val="ListBullet"/>
      </w:pPr>
      <w:r/>
      <w:r>
        <w:rPr>
          <w:b/>
        </w:rPr>
        <w:t>Communication au comptoir</w:t>
      </w:r>
      <w:r>
        <w:t xml:space="preserve"> :</w:t>
      </w:r>
    </w:p>
    <w:p>
      <w:pPr>
        <w:pStyle w:val="ListBullet"/>
      </w:pPr>
      <w:r>
        <w:t xml:space="preserve">Prévenir la </w:t>
      </w:r>
      <w:r>
        <w:rPr>
          <w:b/>
        </w:rPr>
        <w:t>somnolence diurne</w:t>
      </w:r>
      <w:r>
        <w:t xml:space="preserve"> : ne pas conduire en début de traitement</w:t>
      </w:r>
    </w:p>
    <w:p>
      <w:pPr>
        <w:pStyle w:val="ListBullet"/>
      </w:pPr>
      <w:r/>
      <w:r>
        <w:rPr>
          <w:b/>
        </w:rPr>
        <w:t>Hypotension orthostatique</w:t>
      </w:r>
      <w:r>
        <w:t xml:space="preserve"> : se lever progressivement</w:t>
      </w:r>
    </w:p>
    <w:p>
      <w:pPr>
        <w:pStyle w:val="ListBullet"/>
      </w:pPr>
      <w:r/>
      <w:r>
        <w:rPr>
          <w:b/>
        </w:rPr>
        <w:t>Surveillance métabolique</w:t>
      </w:r>
      <w:r>
        <w:t xml:space="preserve"> : pesée, glycémie, lipides selon calendrier</w:t>
      </w:r>
    </w:p>
    <w:p>
      <w:pPr>
        <w:pStyle w:val="ListBullet"/>
      </w:pPr>
      <w:r>
        <w:t>Ne pas arrêter brutalement</w:t>
      </w:r>
    </w:p>
    <w:p>
      <w:pPr>
        <w:pStyle w:val="ListBullet"/>
      </w:pPr>
      <w:r/>
      <w:r>
        <w:rPr>
          <w:b/>
        </w:rPr>
        <w:t>Alcool à proscrire</w:t>
      </w:r>
      <w:r/>
    </w:p>
    <w:p>
      <w:pPr>
        <w:pStyle w:val="ListBullet"/>
      </w:pPr>
      <w:r>
        <w:t>Ne pas écraser ou croquer les comprimés LP (perte de l'effet prolongé, risque de surdosage)</w:t>
      </w:r>
    </w:p>
    <w:p>
      <w:pPr>
        <w:pStyle w:val="ListBullet"/>
      </w:pPr>
      <w:r>
        <w:t>Prendre la forme LP le soir, sans nourriture riche en graisses (retarde l'absorption)</w:t>
      </w:r>
    </w:p>
    <w:p>
      <w:pPr>
        <w:pStyle w:val="ListBullet"/>
      </w:pPr>
      <w:r/>
      <w:r>
        <w:rPr>
          <w:b/>
        </w:rPr>
        <w:t>Mode d'utilisation pratique</w:t>
      </w:r>
      <w:r>
        <w:t xml:space="preserve"> :</w:t>
      </w:r>
    </w:p>
    <w:p>
      <w:pPr>
        <w:pStyle w:val="ListBullet"/>
      </w:pPr>
      <w:r>
        <w:t>En cas d'oubli d'une prise de LI : prendre si &lt; 6 h, sinon ignorer</w:t>
      </w:r>
    </w:p>
    <w:p>
      <w:pPr>
        <w:pStyle w:val="ListBullet"/>
      </w:pPr>
      <w:r>
        <w:t>En cas d'oubli d'une prise de LP : prendre si &lt; 12 h, sinon ignorer</w:t>
      </w:r>
    </w:p>
    <w:p>
      <w:pPr>
        <w:pStyle w:val="ListBullet"/>
      </w:pPr>
      <w:r>
        <w:t>Avaler les comprimés LP entiers, sans croquer ni écraser</w:t>
      </w:r>
    </w:p>
    <w:p>
      <w:r/>
      <w:r>
        <w:rPr>
          <w:b/>
        </w:rPr>
        <w:t>Données Pharmacocinétiques détaillées :</w:t>
      </w:r>
      <w:r/>
    </w:p>
    <w:p>
      <w:pPr>
        <w:pStyle w:val="ListBullet"/>
      </w:pPr>
      <w:r/>
      <w:r>
        <w:rPr>
          <w:b/>
        </w:rPr>
        <w:t>Absorption</w:t>
      </w:r>
      <w:r>
        <w:t xml:space="preserve"> : la quétiapine est bien absorbée par voie orale (biodisponibilité faible ~ 9 % en raison d'un effet de premier passage hépatique massif). Le pic plasmatique est atteint en 1-2 h pour la forme LI et en 5-6 h pour la forme LP. La prise alimentaire n'influence pas significativement la forme LI, mais peut retarder l'absorption de la forme LP (sans conséquence clinique pratique).</w:t>
      </w:r>
    </w:p>
    <w:p>
      <w:pPr>
        <w:pStyle w:val="ListBullet"/>
      </w:pPr>
      <w:r/>
      <w:r>
        <w:rPr>
          <w:b/>
        </w:rPr>
        <w:t>Distribution</w:t>
      </w:r>
      <w:r>
        <w:t xml:space="preserve"> : liaison aux protéines plasmatiques ~ 83 % (principalement albumine et alpha-1-glycoprotéine acide). Volume de distribution très élevé (~ 10 L/kg).</w:t>
      </w:r>
    </w:p>
    <w:p>
      <w:pPr>
        <w:pStyle w:val="ListBullet"/>
      </w:pPr>
      <w:r/>
      <w:r>
        <w:rPr>
          <w:b/>
        </w:rPr>
        <w:t>Métabolisme</w:t>
      </w:r>
      <w:r>
        <w:t xml:space="preserve"> : hépatique, principalement via CYP3A4 (90 %). Le métabolite principal est la </w:t>
      </w:r>
      <w:r>
        <w:rPr>
          <w:b/>
        </w:rPr>
        <w:t>norquétiapine</w:t>
      </w:r>
      <w:r>
        <w:t xml:space="preserve"> (mono-désalkyl-quétiapine), qui possède une activité pharmacologique distincte : inhibiteur de la recapture de la noradrénaline (NRI) — responsable de l'efficacité antidépressive de la quétiapine dans la dépression bipolaire et la dépression majeure résistante. La norquétiapine a une demi-vie plus longue (~ 12 h) que la quétiapine elle-même.</w:t>
      </w:r>
    </w:p>
    <w:p>
      <w:pPr>
        <w:pStyle w:val="ListBullet"/>
      </w:pPr>
      <w:r/>
      <w:r>
        <w:rPr>
          <w:b/>
        </w:rPr>
        <w:t>Demi-vie d'élimination</w:t>
      </w:r>
      <w:r>
        <w:t xml:space="preserve"> : ~ 7 h pour la quétiapine (forme LI), nécessitant 2 prises par jour. La forme LP a une demi-vie apparente prolongée (~ 12 h), permettant une seule prise quotidienne.</w:t>
      </w:r>
    </w:p>
    <w:p>
      <w:pPr>
        <w:pStyle w:val="ListBullet"/>
      </w:pPr>
      <w:r/>
      <w:r>
        <w:rPr>
          <w:b/>
        </w:rPr>
        <w:t>Élimination</w:t>
      </w:r>
      <w:r>
        <w:t xml:space="preserve"> : ~ 73 % urinaire (métabolites inactifs en très grande majorité), ~ 21 % fécale. Moins de 5 % inchangé.</w:t>
      </w:r>
    </w:p>
    <w:p>
      <w:pPr>
        <w:pStyle w:val="ListBullet"/>
      </w:pPr>
      <w:r/>
      <w:r>
        <w:rPr>
          <w:b/>
        </w:rPr>
        <w:t>Insuffisance rénale</w:t>
      </w:r>
      <w:r>
        <w:t xml:space="preserve"> : pas d'adaptation posologique stricte, mais surveillance accrue.</w:t>
      </w:r>
    </w:p>
    <w:p>
      <w:pPr>
        <w:pStyle w:val="ListBullet"/>
      </w:pPr>
      <w:r/>
      <w:r>
        <w:rPr>
          <w:b/>
        </w:rPr>
        <w:t>Insuffisance hépatique</w:t>
      </w:r>
      <w:r>
        <w:t xml:space="preserve"> : réduction posologique d'environ 1/3 à 1/2 (clairance réduite).</w:t>
      </w:r>
    </w:p>
    <w:p>
      <w:pPr>
        <w:pStyle w:val="ListBullet"/>
      </w:pPr>
      <w:r/>
      <w:r>
        <w:rPr>
          <w:b/>
        </w:rPr>
        <w:t>Sujet âgé</w:t>
      </w:r>
      <w:r>
        <w:t xml:space="preserve"> : clearance réduite de 30-50 %, dose réduite.</w:t>
      </w:r>
    </w:p>
    <w:p>
      <w:r/>
      <w:r>
        <w:rPr>
          <w:b/>
        </w:rPr>
        <w:t>Notes, Règles d'Or &amp; Pièges au Comptoir :</w:t>
      </w:r>
      <w:r/>
    </w:p>
    <w:p>
      <w:pPr>
        <w:pStyle w:val="ListBullet"/>
      </w:pPr>
      <w:r/>
      <w:r>
        <w:rPr>
          <w:b/>
        </w:rPr>
        <w:t>Piège classique — Somnolence résiduelle</w:t>
      </w:r>
      <w:r>
        <w:t xml:space="preserve"> : la forme LP peut induire une somnolence matinale gênante. À anticiper en déplaçant la prise plus tôt le soir (18-19 h) si sédation résiduelle matinale.</w:t>
      </w:r>
    </w:p>
    <w:p>
      <w:pPr>
        <w:pStyle w:val="ListBullet"/>
      </w:pPr>
      <w:r/>
      <w:r>
        <w:rPr>
          <w:b/>
        </w:rPr>
        <w:t>Piège classique — Erreur d'écrasement LP</w:t>
      </w:r>
      <w:r>
        <w:t xml:space="preserve"> : ne jamais écraser ni croquer un comprimé LP — cela provoque une libération immédiate de toute la dose, avec risque de surdosage (sédation profonde, hypotension, collapsus).</w:t>
      </w:r>
    </w:p>
    <w:p>
      <w:pPr>
        <w:pStyle w:val="ListBullet"/>
      </w:pPr>
      <w:r/>
      <w:r>
        <w:rPr>
          <w:b/>
        </w:rPr>
        <w:t>Piège classique — Interactions CYP3A4</w:t>
      </w:r>
      <w:r>
        <w:t xml:space="preserve"> : un patient sous quétiapine à qui l'on prescrit un antifongique azolé ou un macrolide sans ajustement de dose peut présenter une intoxication sévère. Toujours vérifier.</w:t>
      </w:r>
    </w:p>
    <w:p>
      <w:pPr>
        <w:pStyle w:val="ListBullet"/>
      </w:pPr>
      <w:r/>
      <w:r>
        <w:rPr>
          <w:b/>
        </w:rPr>
        <w:t>Règle de prise</w:t>
      </w:r>
      <w:r>
        <w:t xml:space="preserve"> : titration progressive obligatoire en début de traitement (surtout sujet âgé) pour limiter l'hypotension orthostatique.</w:t>
      </w:r>
    </w:p>
    <w:p>
      <w:pPr>
        <w:pStyle w:val="ListBullet"/>
      </w:pPr>
      <w:r/>
      <w:r>
        <w:rPr>
          <w:b/>
        </w:rPr>
        <w:t>Préparation et Conservation</w:t>
      </w:r>
      <w:r>
        <w:t xml:space="preserve"> : conservation à température &lt; 25 °C, à l'abri de l'humidité.</w:t>
      </w:r>
    </w:p>
    <w:p>
      <w:pPr>
        <w:pStyle w:val="ListBullet"/>
      </w:pPr>
      <w:r/>
      <w:r>
        <w:rPr>
          <w:b/>
        </w:rPr>
        <w:t>Piège du surdosage / Substitution</w:t>
      </w:r>
      <w:r>
        <w:t xml:space="preserve"> :</w:t>
      </w:r>
    </w:p>
    <w:p>
      <w:pPr>
        <w:pStyle w:val="ListBullet"/>
      </w:pPr>
      <w:r>
        <w:t>Surdosage : sédation profonde, hypotension, tachycardie, allongement QTc, convulsions — réanimation</w:t>
      </w:r>
    </w:p>
    <w:p>
      <w:pPr>
        <w:pStyle w:val="ListBullet"/>
      </w:pPr>
      <w:r/>
      <w:r>
        <w:rPr>
          <w:b/>
        </w:rPr>
        <w:t>Substitution</w:t>
      </w:r>
      <w:r>
        <w:t xml:space="preserve"> : switch possible LI ↔ LP à dose équivalente approximative ; le switch vers d'autres AP-2G se fait en cross-taper sur 2-4 semaines</w:t>
      </w:r>
    </w:p>
    <w:p>
      <w:pPr>
        <w:pStyle w:val="ListBullet"/>
      </w:pPr>
      <w:r>
        <w:t xml:space="preserve">Attention à ne pas confondre la </w:t>
      </w:r>
      <w:r>
        <w:rPr>
          <w:b/>
        </w:rPr>
        <w:t>quétiapine</w:t>
      </w:r>
      <w:r>
        <w:t xml:space="preserve"> avec la </w:t>
      </w:r>
      <w:r>
        <w:rPr>
          <w:b/>
        </w:rPr>
        <w:t>quinidine</w:t>
      </w:r>
      <w:r>
        <w:t xml:space="preserve"> (antiarythmique) ou la </w:t>
      </w:r>
      <w:r>
        <w:rPr>
          <w:b/>
        </w:rPr>
        <w:t>quinine</w:t>
      </w:r>
      <w:r>
        <w:t xml:space="preserve"> (antipaludéen)</w:t>
      </w:r>
    </w:p>
    <w:p>
      <w:pPr>
        <w:pStyle w:val="Heading3"/>
      </w:pPr>
      <w:r>
        <w:t>5. DCI : Ziprasidone (Seule)</w:t>
      </w:r>
    </w:p>
    <w:p>
      <w:r>
        <w:t xml:space="preserve">La ziprasidone est un antipsychotique atypique de 2e génération de type benzisothiazolyl-pipérazine, introduit en 2001 (Pfizer, marque Zeldox). Elle se distingue par un </w:t>
      </w:r>
      <w:r>
        <w:rPr>
          <w:b/>
        </w:rPr>
        <w:t>profil métabolique neutre</w:t>
      </w:r>
      <w:r>
        <w:t xml:space="preserve"> (prise de poids minime, peu d'effet sur la glycémie et les lipides — comparable à l'aripiprazole) et une </w:t>
      </w:r>
      <w:r>
        <w:rPr>
          <w:b/>
        </w:rPr>
        <w:t>efficacité antipsychotique équivalente</w:t>
      </w:r>
      <w:r>
        <w:t xml:space="preserve"> aux autres AP-2G dans la schizophrénie et le trouble bipolaire. Sa particularité est un </w:t>
      </w:r>
      <w:r>
        <w:rPr>
          <w:b/>
        </w:rPr>
        <w:t>risque d'allongement du QTc</w:t>
      </w:r>
      <w:r>
        <w:t xml:space="preserve"> plus marqué que la moyenne de la classe, ayant motivé une "black box warning" FDA (2001), avec restriction d'usage en cas d'ATCD cardiaques ou d'associations torsadogènes. La ziprasidone est disponible en Algérie uniquement en forme retirée/non renouvelable (ZELDOX) — aussi bien en gélule orale qu'en poudre pour solution injectable IM — ce qui limite son utilisation pratique actuelle, mais elle reste importante à connaître pour les patients ayant un historique de traitement ou pour comprendre le positionnement relatif des autres molécules.</w:t>
      </w:r>
    </w:p>
    <w:p>
      <w:r/>
      <w:r>
        <w:rPr>
          <w:b/>
        </w:rPr>
        <w:t>Médicaments disponibles en Algérie (Marques, Laboratoires, Formes et Dosages) :</w:t>
      </w:r>
      <w:r/>
    </w:p>
    <w:p>
      <w:pPr>
        <w:pStyle w:val="ListBullet"/>
      </w:pPr>
      <w:r/>
      <w:r>
        <w:rPr>
          <w:b/>
        </w:rPr>
        <w:t>ZELDOX</w:t>
      </w:r>
      <w:r>
        <w:t xml:space="preserve"> (PFIZER PHARMA GMBH) — forme injectable IM</w:t>
      </w:r>
    </w:p>
    <w:p>
      <w:pPr>
        <w:pStyle w:val="ListBullet"/>
      </w:pPr>
      <w:r>
        <w:t>Formes et Dosages : Poudre et solvant pour solution injectable IM 20 mg/flacon (soit 20 mg/mL après reconstitution) — boîte de 1 flacon de poudre + 1 ampoule de 1,2 mL de solvant</w:t>
      </w:r>
    </w:p>
    <w:p>
      <w:pPr>
        <w:pStyle w:val="ListBullet"/>
      </w:pPr>
      <w:r>
        <w:t>Statut : Non Renouvelable</w:t>
      </w:r>
    </w:p>
    <w:p>
      <w:pPr>
        <w:pStyle w:val="ListBullet"/>
      </w:pPr>
      <w:r/>
      <w:r>
        <w:rPr>
          <w:b/>
        </w:rPr>
        <w:t>ZELDOX</w:t>
      </w:r>
      <w:r>
        <w:t xml:space="preserve"> (PFIZER GMBH) — forme orale en gélules</w:t>
      </w:r>
    </w:p>
    <w:p>
      <w:pPr>
        <w:pStyle w:val="ListBullet"/>
      </w:pPr>
      <w:r>
        <w:t>Formes et Dosages : Gélule 40 mg (B/30) ; Gélule 60 mg (B/30) ; Gélule 80 mg (B/30)</w:t>
      </w:r>
    </w:p>
    <w:p>
      <w:pPr>
        <w:pStyle w:val="ListBullet"/>
      </w:pPr>
      <w:r>
        <w:t>Statut : Non Renouvelable</w:t>
      </w:r>
    </w:p>
    <w:p>
      <w:r>
        <w:t>La ziprasidone n'est donc plus disponible en pratique sur le territoire algérien (statut "non renouvelable" signifie que les lots existants peuvent être dispensés jusqu'à épuisement, mais aucun renouvellement d'AMM ou de commercialisation n'est prévu). Les patients précédemment traités par ZELDOX doivent être switchés vers une alternative atypique (aripiprazole ou lurasidone pour le profil métabolique neutre, rispéridone pour l'efficacité).</w:t>
      </w:r>
    </w:p>
    <w:p>
      <w:r/>
      <w:r>
        <w:rPr>
          <w:b/>
        </w:rPr>
        <w:t>Sous-classe et Mécanisme d'action :</w:t>
      </w:r>
      <w:r/>
    </w:p>
    <w:p>
      <w:pPr>
        <w:pStyle w:val="ListBullet"/>
      </w:pPr>
      <w:r/>
      <w:r>
        <w:rPr>
          <w:b/>
        </w:rPr>
        <w:t>Sous-classe</w:t>
      </w:r>
      <w:r>
        <w:t xml:space="preserve"> : Antipsychotique atypique de 2e génération — benzisothiazolyl-pipérazine, AP-2G à profil métabolique neutre mais allongeur QT.</w:t>
      </w:r>
    </w:p>
    <w:p>
      <w:pPr>
        <w:pStyle w:val="ListBullet"/>
      </w:pPr>
      <w:r/>
      <w:r>
        <w:rPr>
          <w:b/>
        </w:rPr>
        <w:t>Mécanisme d'action</w:t>
      </w:r>
      <w:r>
        <w:t xml:space="preserve"> : la ziprasidone possède un profil multi-réceptoriel spécifique :</w:t>
      </w:r>
    </w:p>
    <w:p>
      <w:pPr>
        <w:pStyle w:val="ListBullet"/>
      </w:pPr>
      <w:r/>
      <w:r>
        <w:rPr>
          <w:b/>
        </w:rPr>
        <w:t>Antagonisme D2</w:t>
      </w:r>
      <w:r>
        <w:t xml:space="preserve"> modéré (occupation ~ 50-60 %)</w:t>
      </w:r>
    </w:p>
    <w:p>
      <w:pPr>
        <w:pStyle w:val="ListBullet"/>
      </w:pPr>
      <w:r/>
      <w:r>
        <w:rPr>
          <w:b/>
        </w:rPr>
        <w:t>Antagonisme 5-HT2A</w:t>
      </w:r>
      <w:r>
        <w:t xml:space="preserve"> marqué (ratio 5-HT2A/D2 élevé, profil atypique)</w:t>
      </w:r>
    </w:p>
    <w:p>
      <w:pPr>
        <w:pStyle w:val="ListBullet"/>
      </w:pPr>
      <w:r/>
      <w:r>
        <w:rPr>
          <w:b/>
        </w:rPr>
        <w:t>Agoniste partiel 5-HT1A</w:t>
      </w:r>
      <w:r>
        <w:t xml:space="preserve"> (activité partielle agoniste, comme l'aripiprazole — amélioration des symptômes négatifs et cognitifs, anxiolyse)</w:t>
      </w:r>
    </w:p>
    <w:p>
      <w:pPr>
        <w:pStyle w:val="ListBullet"/>
      </w:pPr>
      <w:r/>
      <w:r>
        <w:rPr>
          <w:b/>
        </w:rPr>
        <w:t>Antagoniste 5-HT2C et 5-HT1D</w:t>
      </w:r>
      <w:r>
        <w:t xml:space="preserve"> (modulation de l'humeur, anxiété)</w:t>
      </w:r>
    </w:p>
    <w:p>
      <w:pPr>
        <w:pStyle w:val="ListBullet"/>
      </w:pPr>
      <w:r/>
      <w:r>
        <w:rPr>
          <w:b/>
        </w:rPr>
        <w:t>Inhibition modérée de la recapture de la noradrénaline et de la sérotonine</w:t>
      </w:r>
      <w:r>
        <w:t xml:space="preserve"> (activité antidépressive putative, mais faible)</w:t>
      </w:r>
    </w:p>
    <w:p>
      <w:pPr>
        <w:pStyle w:val="ListBullet"/>
      </w:pPr>
      <w:r/>
      <w:r>
        <w:rPr>
          <w:b/>
        </w:rPr>
        <w:t>Affinité H1 modérée</w:t>
      </w:r>
      <w:r>
        <w:t xml:space="preserve"> (sédation modérée, peu de prise de poids)</w:t>
      </w:r>
    </w:p>
    <w:p>
      <w:pPr>
        <w:pStyle w:val="ListBullet"/>
      </w:pPr>
      <w:r/>
      <w:r>
        <w:rPr>
          <w:b/>
        </w:rPr>
        <w:t>Affinité alpha-1 adrénergique modérée</w:t>
      </w:r>
      <w:r>
        <w:t xml:space="preserve"> (hypotension orthostatique)</w:t>
      </w:r>
    </w:p>
    <w:p>
      <w:pPr>
        <w:pStyle w:val="ListBullet"/>
      </w:pPr>
      <w:r/>
      <w:r>
        <w:rPr>
          <w:b/>
        </w:rPr>
        <w:t>Pas d'affinité muscarinique significative</w:t>
      </w:r>
      <w:r>
        <w:t xml:space="preserve"> (peu d'effets atropiniques)</w:t>
      </w:r>
    </w:p>
    <w:p>
      <w:pPr>
        <w:pStyle w:val="ListBullet"/>
      </w:pPr>
      <w:r>
        <w:t>Le profil réceptoriel particulier (5-HT1A agoniste partiel + 5-HT2A antagoniste + faible H1) explique le profil métabolique neutre et le profil cognitif favorable.</w:t>
      </w:r>
    </w:p>
    <w:p>
      <w:pPr>
        <w:pStyle w:val="ListBullet"/>
      </w:pPr>
      <w:r>
        <w:t>Métabolisme : CYP3A4 (interactions avec inducteurs/inhibiteurs CYP3A4)</w:t>
      </w:r>
    </w:p>
    <w:p>
      <w:pPr>
        <w:pStyle w:val="ListBullet"/>
      </w:pPr>
      <w:r>
        <w:t>La ziprasidone allonge le QTc par blocage du canal hERG (potassique) de manière plus marquée que les autres AP-2G, d'où sa réputation torsadogène.</w:t>
      </w:r>
    </w:p>
    <w:p>
      <w:r/>
      <w:r>
        <w:rPr>
          <w:b/>
        </w:rPr>
        <w:t>Profil Pharmacologique :</w:t>
      </w:r>
      <w:r/>
    </w:p>
    <w:p>
      <w:pPr>
        <w:pStyle w:val="ListBullet"/>
      </w:pPr>
      <w:r/>
      <w:r>
        <w:rPr>
          <w:b/>
        </w:rPr>
        <w:t>Indications</w:t>
      </w:r>
      <w:r>
        <w:t xml:space="preserve"> :</w:t>
      </w:r>
    </w:p>
    <w:p>
      <w:pPr>
        <w:pStyle w:val="ListBullet"/>
      </w:pPr>
      <w:r/>
      <w:r>
        <w:rPr>
          <w:b/>
        </w:rPr>
        <w:t>Schizophrénie</w:t>
      </w:r>
      <w:r>
        <w:t xml:space="preserve"> (toutes phases) — AMM</w:t>
      </w:r>
    </w:p>
    <w:p>
      <w:pPr>
        <w:pStyle w:val="ListBullet"/>
      </w:pPr>
      <w:r/>
      <w:r>
        <w:rPr>
          <w:b/>
        </w:rPr>
        <w:t>Trouble bipolaire (manie aiguë)</w:t>
      </w:r>
      <w:r>
        <w:t xml:space="preserve"> — AMM</w:t>
      </w:r>
    </w:p>
    <w:p>
      <w:pPr>
        <w:pStyle w:val="ListBullet"/>
      </w:pPr>
      <w:r/>
      <w:r>
        <w:rPr>
          <w:b/>
        </w:rPr>
        <w:t>Trouble schizo-affectif</w:t>
      </w:r>
      <w:r>
        <w:t xml:space="preserve"> (2e intention)</w:t>
      </w:r>
    </w:p>
    <w:p>
      <w:pPr>
        <w:pStyle w:val="ListBullet"/>
      </w:pPr>
      <w:r/>
      <w:r>
        <w:rPr>
          <w:b/>
        </w:rPr>
        <w:t>Contre-indications</w:t>
      </w:r>
      <w:r>
        <w:t xml:space="preserve"> :</w:t>
      </w:r>
    </w:p>
    <w:p>
      <w:pPr>
        <w:pStyle w:val="ListBullet"/>
      </w:pPr>
      <w:r>
        <w:t>Hypersensibilité à la ziprasidone</w:t>
      </w:r>
    </w:p>
    <w:p>
      <w:pPr>
        <w:pStyle w:val="ListBullet"/>
      </w:pPr>
      <w:r>
        <w:t>Allongement QTc connu (&gt; 500 ms) ou ATCD familial de QT long</w:t>
      </w:r>
    </w:p>
    <w:p>
      <w:pPr>
        <w:pStyle w:val="ListBullet"/>
      </w:pPr>
      <w:r>
        <w:t>Infarctus du myocarde récent</w:t>
      </w:r>
    </w:p>
    <w:p>
      <w:pPr>
        <w:pStyle w:val="ListBullet"/>
      </w:pPr>
      <w:r>
        <w:t>Insuffisance cardiaque décompensée</w:t>
      </w:r>
    </w:p>
    <w:p>
      <w:pPr>
        <w:pStyle w:val="ListBullet"/>
      </w:pPr>
      <w:r>
        <w:t>Bradycardie sévère, hypokaliémie, hypomagnésémie non corrigées</w:t>
      </w:r>
    </w:p>
    <w:p>
      <w:pPr>
        <w:pStyle w:val="ListBullet"/>
      </w:pPr>
      <w:r>
        <w:t>En association avec d'autres allongeurs QT (CI relative)</w:t>
      </w:r>
    </w:p>
    <w:p>
      <w:pPr>
        <w:pStyle w:val="ListBullet"/>
      </w:pPr>
      <w:r>
        <w:t>Allaitement</w:t>
      </w:r>
    </w:p>
    <w:p>
      <w:pPr>
        <w:pStyle w:val="ListBullet"/>
      </w:pPr>
      <w:r/>
      <w:r>
        <w:rPr>
          <w:b/>
        </w:rPr>
        <w:t>Effets Indésirables</w:t>
      </w:r>
      <w:r>
        <w:t xml:space="preserve"> :</w:t>
      </w:r>
    </w:p>
    <w:p>
      <w:pPr>
        <w:pStyle w:val="ListBullet"/>
      </w:pPr>
      <w:r/>
      <w:r>
        <w:rPr>
          <w:b/>
        </w:rPr>
        <w:t>Allongement QTc</w:t>
      </w:r>
      <w:r>
        <w:t xml:space="preserve"> marqué (~10-15 ms en moyenne, parfois &gt; 30 ms), rarement torsades de pointes (incidence &lt; 1/10 000) — surveillance ECG</w:t>
      </w:r>
    </w:p>
    <w:p>
      <w:pPr>
        <w:pStyle w:val="ListBullet"/>
      </w:pPr>
      <w:r/>
      <w:r>
        <w:rPr>
          <w:b/>
        </w:rPr>
        <w:t>Somnolence, sédation</w:t>
      </w:r>
      <w:r>
        <w:t xml:space="preserve"> modérée (15-25 %)</w:t>
      </w:r>
    </w:p>
    <w:p>
      <w:pPr>
        <w:pStyle w:val="ListBullet"/>
      </w:pPr>
      <w:r/>
      <w:r>
        <w:rPr>
          <w:b/>
        </w:rPr>
        <w:t>EPS</w:t>
      </w:r>
      <w:r>
        <w:t xml:space="preserve"> : modérés (akathisie 10-15 %, parkinsonisme 5 %)</w:t>
      </w:r>
    </w:p>
    <w:p>
      <w:pPr>
        <w:pStyle w:val="ListBullet"/>
      </w:pPr>
      <w:r/>
      <w:r>
        <w:rPr>
          <w:b/>
        </w:rPr>
        <w:t>Hypotension orthostatique</w:t>
      </w:r>
      <w:r>
        <w:t xml:space="preserve"> (surtout initiation)</w:t>
      </w:r>
    </w:p>
    <w:p>
      <w:pPr>
        <w:pStyle w:val="ListBullet"/>
      </w:pPr>
      <w:r/>
      <w:r>
        <w:rPr>
          <w:b/>
        </w:rPr>
        <w:t>Prise de poids</w:t>
      </w:r>
      <w:r>
        <w:t xml:space="preserve"> minime (&lt; 1-2 kg en moyenne à 1 an) — la plus faible avec l'aripiprazole et la lurasidone</w:t>
      </w:r>
    </w:p>
    <w:p>
      <w:pPr>
        <w:pStyle w:val="ListBullet"/>
      </w:pPr>
      <w:r/>
      <w:r>
        <w:rPr>
          <w:b/>
        </w:rPr>
        <w:t>Risque métabolique</w:t>
      </w:r>
      <w:r>
        <w:t xml:space="preserve"> minime (glycémie, lipides inchangés)</w:t>
      </w:r>
    </w:p>
    <w:p>
      <w:pPr>
        <w:pStyle w:val="ListBullet"/>
      </w:pPr>
      <w:r/>
      <w:r>
        <w:rPr>
          <w:b/>
        </w:rPr>
        <w:t>Hyperprolactinémie</w:t>
      </w:r>
      <w:r>
        <w:t xml:space="preserve"> rare</w:t>
      </w:r>
    </w:p>
    <w:p>
      <w:pPr>
        <w:pStyle w:val="ListBullet"/>
      </w:pPr>
      <w:r/>
      <w:r>
        <w:rPr>
          <w:b/>
        </w:rPr>
        <w:t>Syndrome malin des neuroleptiques</w:t>
      </w:r>
      <w:r>
        <w:t xml:space="preserve"> (rare)</w:t>
      </w:r>
    </w:p>
    <w:p>
      <w:pPr>
        <w:pStyle w:val="ListBullet"/>
      </w:pPr>
      <w:r/>
      <w:r>
        <w:rPr>
          <w:b/>
        </w:rPr>
        <w:t>Convulsions</w:t>
      </w:r>
      <w:r>
        <w:t xml:space="preserve"> (rare)</w:t>
      </w:r>
    </w:p>
    <w:p>
      <w:pPr>
        <w:pStyle w:val="ListBullet"/>
      </w:pPr>
      <w:r/>
      <w:r>
        <w:rPr>
          <w:b/>
        </w:rPr>
        <w:t>Réactions cutanées</w:t>
      </w:r>
      <w:r>
        <w:t xml:space="preserve"> (rash, photosensibilité)</w:t>
      </w:r>
    </w:p>
    <w:p>
      <w:pPr>
        <w:pStyle w:val="ListBullet"/>
      </w:pPr>
      <w:r/>
      <w:r>
        <w:rPr>
          <w:b/>
        </w:rPr>
        <w:t>Nausées, constipation</w:t>
      </w:r>
      <w:r>
        <w:t xml:space="preserve"> (modérés)</w:t>
      </w:r>
    </w:p>
    <w:p>
      <w:pPr>
        <w:pStyle w:val="ListBullet"/>
      </w:pPr>
      <w:r/>
      <w:r>
        <w:rPr>
          <w:b/>
        </w:rPr>
        <w:t>Sécheresse buccale</w:t>
      </w:r>
      <w:r/>
    </w:p>
    <w:p>
      <w:pPr>
        <w:pStyle w:val="ListBullet"/>
      </w:pPr>
      <w:r/>
      <w:r>
        <w:rPr>
          <w:b/>
        </w:rPr>
        <w:t>Risque d'AVC majoré en gériatrie</w:t>
      </w:r>
      <w:r>
        <w:t xml:space="preserve"> (démence)</w:t>
      </w:r>
    </w:p>
    <w:p>
      <w:r/>
      <w:r>
        <w:rPr>
          <w:b/>
        </w:rPr>
        <w:t>Prévention et Gestion des Effets Indésirables :</w:t>
      </w:r>
      <w:r/>
    </w:p>
    <w:p>
      <w:pPr>
        <w:pStyle w:val="ListBullet"/>
      </w:pPr>
      <w:r/>
      <w:r>
        <w:rPr>
          <w:b/>
        </w:rPr>
        <w:t>Mesures Préventives</w:t>
      </w:r>
      <w:r>
        <w:t xml:space="preserve"> :</w:t>
      </w:r>
    </w:p>
    <w:p>
      <w:pPr>
        <w:pStyle w:val="ListBullet"/>
      </w:pPr>
      <w:r/>
      <w:r>
        <w:rPr>
          <w:b/>
        </w:rPr>
        <w:t>ECG pré-thérapeutique obligatoire</w:t>
      </w:r>
      <w:r>
        <w:t xml:space="preserve"> : mesurer QTc avant initiation, ne pas initier si QTc &gt; 500 ms</w:t>
      </w:r>
    </w:p>
    <w:p>
      <w:pPr>
        <w:pStyle w:val="ListBullet"/>
      </w:pPr>
      <w:r/>
      <w:r>
        <w:rPr>
          <w:b/>
        </w:rPr>
        <w:t>Bilan électrolytique</w:t>
      </w:r>
      <w:r>
        <w:t xml:space="preserve"> : kaliémie, magnésémie (corriger toute hypokaliémie/hypomagnésémie avant initiation)</w:t>
      </w:r>
    </w:p>
    <w:p>
      <w:pPr>
        <w:pStyle w:val="ListBullet"/>
      </w:pPr>
      <w:r/>
      <w:r>
        <w:rPr>
          <w:b/>
        </w:rPr>
        <w:t>Surveillance ECG</w:t>
      </w:r>
      <w:r>
        <w:t xml:space="preserve"> : à l'initiation, après titration, puis si associations allongeurs QT ou ATCD cardiaques</w:t>
      </w:r>
    </w:p>
    <w:p>
      <w:pPr>
        <w:pStyle w:val="ListBullet"/>
      </w:pPr>
      <w:r/>
      <w:r>
        <w:rPr>
          <w:b/>
        </w:rPr>
        <w:t>Surveillance métabolique</w:t>
      </w:r>
      <w:r>
        <w:t xml:space="preserve"> standard (à l'initiation, M3, M6, M12)</w:t>
      </w:r>
    </w:p>
    <w:p>
      <w:pPr>
        <w:pStyle w:val="ListBullet"/>
      </w:pPr>
      <w:r/>
      <w:r>
        <w:rPr>
          <w:b/>
        </w:rPr>
        <w:t>Éviter les associations allongeurs QT</w:t>
      </w:r>
      <w:r/>
    </w:p>
    <w:p>
      <w:pPr>
        <w:pStyle w:val="ListBullet"/>
      </w:pPr>
      <w:r/>
      <w:r>
        <w:rPr>
          <w:b/>
        </w:rPr>
        <w:t>Conduite à Tenir</w:t>
      </w:r>
      <w:r>
        <w:t xml:space="preserve"> :</w:t>
      </w:r>
    </w:p>
    <w:p>
      <w:pPr>
        <w:pStyle w:val="ListBullet"/>
      </w:pPr>
      <w:r/>
      <w:r>
        <w:rPr>
          <w:b/>
        </w:rPr>
        <w:t>Si QTc &gt; 500 ms</w:t>
      </w:r>
      <w:r>
        <w:t xml:space="preserve"> : arrêt immédiat, bilan étiologique</w:t>
      </w:r>
    </w:p>
    <w:p>
      <w:pPr>
        <w:pStyle w:val="ListBullet"/>
      </w:pPr>
      <w:r/>
      <w:r>
        <w:rPr>
          <w:b/>
        </w:rPr>
        <w:t>Si hypokaliémie/hypomagnésémie</w:t>
      </w:r>
      <w:r>
        <w:t xml:space="preserve"> : correction avant reprise</w:t>
      </w:r>
    </w:p>
    <w:p>
      <w:pPr>
        <w:pStyle w:val="ListBullet"/>
      </w:pPr>
      <w:r/>
      <w:r>
        <w:rPr>
          <w:b/>
        </w:rPr>
        <w:t>Si akathisie</w:t>
      </w:r>
      <w:r>
        <w:t xml:space="preserve"> : réduction de dose, propranolol</w:t>
      </w:r>
    </w:p>
    <w:p>
      <w:pPr>
        <w:pStyle w:val="ListBullet"/>
      </w:pPr>
      <w:r/>
      <w:r>
        <w:rPr>
          <w:b/>
        </w:rPr>
        <w:t>Si somnolence</w:t>
      </w:r>
      <w:r>
        <w:t xml:space="preserve"> : prise vespérale, réduction de dose</w:t>
      </w:r>
    </w:p>
    <w:p>
      <w:r/>
      <w:r>
        <w:rPr>
          <w:b/>
        </w:rPr>
        <w:t>Interactions Importantes :</w:t>
      </w:r>
      <w:r/>
    </w:p>
    <w:p>
      <w:pPr>
        <w:pStyle w:val="ListBullet"/>
      </w:pPr>
      <w:r/>
      <w:r>
        <w:rPr>
          <w:b/>
        </w:rPr>
        <w:t>Ziprasidone + allongeurs QTc</w:t>
      </w:r>
      <w:r>
        <w:t xml:space="preserve"> (amiodarone, sotalol, méthadone, antibiotiques macrolides/fluoroquinolones, autres antipsychotiques, halofantrine) : </w:t>
      </w:r>
      <w:r>
        <w:rPr>
          <w:b/>
        </w:rPr>
        <w:t>effet additif majeur torsadogène</w:t>
      </w:r>
      <w:r>
        <w:t xml:space="preserve"> — surveillance ECG stricte, voire contre-indication</w:t>
      </w:r>
    </w:p>
    <w:p>
      <w:pPr>
        <w:pStyle w:val="ListBullet"/>
      </w:pPr>
      <w:r/>
      <w:r>
        <w:rPr>
          <w:b/>
        </w:rPr>
        <w:t>Ziprasidone + inducteurs CYP3A4</w:t>
      </w:r>
      <w:r>
        <w:t xml:space="preserve"> (carbamazépine, phénytoïne, rifampicine) : diminution des taux de ziprasidone → inefficacité</w:t>
      </w:r>
    </w:p>
    <w:p>
      <w:pPr>
        <w:pStyle w:val="ListBullet"/>
      </w:pPr>
      <w:r/>
      <w:r>
        <w:rPr>
          <w:b/>
        </w:rPr>
        <w:t>Ziprasidone + inhibiteurs CYP3A4</w:t>
      </w:r>
      <w:r>
        <w:t xml:space="preserve"> (kétoconazole, itraconazole, érythromycine, clarithromycine, ritonavir) : augmentation des taux de ziprasidone → toxicité</w:t>
      </w:r>
    </w:p>
    <w:p>
      <w:pPr>
        <w:pStyle w:val="ListBullet"/>
      </w:pPr>
      <w:r/>
      <w:r>
        <w:rPr>
          <w:b/>
        </w:rPr>
        <w:t>Ziprasidone + dépresseurs SNC</w:t>
      </w:r>
      <w:r>
        <w:t xml:space="preserve"> (alcool, opioïdes, BZD) : potentialisation sédative</w:t>
      </w:r>
    </w:p>
    <w:p>
      <w:pPr>
        <w:pStyle w:val="ListBullet"/>
      </w:pPr>
      <w:r/>
      <w:r>
        <w:rPr>
          <w:b/>
        </w:rPr>
        <w:t>Ziprasidone + antihypertenseurs</w:t>
      </w:r>
      <w:r>
        <w:t xml:space="preserve"> : hypotension majorée</w:t>
      </w:r>
    </w:p>
    <w:p>
      <w:pPr>
        <w:pStyle w:val="ListBullet"/>
      </w:pPr>
      <w:r/>
      <w:r>
        <w:rPr>
          <w:b/>
        </w:rPr>
        <w:t>Ziprasidone + lévodopa</w:t>
      </w:r>
      <w:r>
        <w:t xml:space="preserve"> : antagonisme</w:t>
      </w:r>
    </w:p>
    <w:p>
      <w:r/>
      <w:r>
        <w:rPr>
          <w:b/>
        </w:rPr>
        <w:t>Grossesse et Allaitement :</w:t>
      </w:r>
      <w:r/>
    </w:p>
    <w:p>
      <w:pPr>
        <w:pStyle w:val="ListBullet"/>
      </w:pPr>
      <w:r/>
      <w:r>
        <w:rPr>
          <w:b/>
        </w:rPr>
        <w:t>Grossesse</w:t>
      </w:r>
      <w:r>
        <w:t xml:space="preserve"> : selon CRAT, données très limitées (peu de grossesses exposées). Risque théorique d'effets cardiovasculaires fœtaux (QTc), d'hypotonie néonatale. À éviter par prudence ; si nécessaire, dose minimale efficace, surveillance ECG néonatale.</w:t>
      </w:r>
    </w:p>
    <w:p>
      <w:pPr>
        <w:pStyle w:val="ListBullet"/>
      </w:pPr>
      <w:r/>
      <w:r>
        <w:rPr>
          <w:b/>
        </w:rPr>
        <w:t>Allaitement</w:t>
      </w:r>
      <w:r>
        <w:t xml:space="preserve"> : selon CRAT, données insuffisantes — à éviter par prudence. La ziprasidone passe dans le lait maternel, mais les concentrations néonatales sont inconnues.</w:t>
      </w:r>
    </w:p>
    <w:p>
      <w:pPr>
        <w:pStyle w:val="ListBullet"/>
      </w:pPr>
      <w:r/>
      <w:r>
        <w:rPr>
          <w:b/>
        </w:rPr>
        <w:t>Précisions</w:t>
      </w:r>
      <w:r>
        <w:t xml:space="preserve"> : surveillance ECG néonatale (QTc), surveillance neurologique.</w:t>
      </w:r>
    </w:p>
    <w:p>
      <w:r/>
      <w:r>
        <w:rPr>
          <w:b/>
        </w:rPr>
        <w:t>Posologie et Mode d'administration (Standard) :</w:t>
      </w:r>
      <w:r/>
    </w:p>
    <w:p>
      <w:pPr>
        <w:pStyle w:val="ListBullet"/>
      </w:pPr>
      <w:r/>
      <w:r>
        <w:rPr>
          <w:b/>
        </w:rPr>
        <w:t>Adulte</w:t>
      </w:r>
      <w:r>
        <w:t xml:space="preserve"> :</w:t>
      </w:r>
    </w:p>
    <w:p>
      <w:pPr>
        <w:pStyle w:val="ListBullet"/>
      </w:pPr>
      <w:r/>
      <w:r>
        <w:rPr>
          <w:b/>
        </w:rPr>
        <w:t>Schizophrénie (oral)</w:t>
      </w:r>
      <w:r>
        <w:t xml:space="preserve"> : dose initiale 20 mg × 2/j avec repas (au moins 500 kcal — l'absorption est multipliée par 2 avec nourriture), titration à 40-80 mg × 2/j, dose cible 40-80 mg × 2/j, maximum 160 mg/j</w:t>
      </w:r>
    </w:p>
    <w:p>
      <w:pPr>
        <w:pStyle w:val="ListBullet"/>
      </w:pPr>
      <w:r/>
      <w:r>
        <w:rPr>
          <w:b/>
        </w:rPr>
        <w:t>Trouble bipolaire (manie, oral)</w:t>
      </w:r>
      <w:r>
        <w:t xml:space="preserve"> : dose initiale 40 mg × 2/j, titration à 60-80 mg × 2/j, dose cible 80 mg × 2/j le J2, maximum 160 mg/j</w:t>
      </w:r>
    </w:p>
    <w:p>
      <w:pPr>
        <w:pStyle w:val="ListBullet"/>
      </w:pPr>
      <w:r/>
      <w:r>
        <w:rPr>
          <w:b/>
        </w:rPr>
        <w:t>Injection IM</w:t>
      </w:r>
      <w:r>
        <w:t xml:space="preserve"> : 10-20 mg toutes les 4 heures si nécessaire, maximum 40 mg/j en IM</w:t>
      </w:r>
    </w:p>
    <w:p>
      <w:pPr>
        <w:pStyle w:val="ListBullet"/>
      </w:pPr>
      <w:r/>
      <w:r>
        <w:rPr>
          <w:b/>
        </w:rPr>
        <w:t>Sujet âgé</w:t>
      </w:r>
      <w:r>
        <w:t xml:space="preserve"> : dose réduite, titration prudente</w:t>
      </w:r>
    </w:p>
    <w:p>
      <w:pPr>
        <w:pStyle w:val="ListBullet"/>
      </w:pPr>
      <w:r/>
      <w:r>
        <w:rPr>
          <w:b/>
        </w:rPr>
        <w:t>Insuffisant hépatique</w:t>
      </w:r>
      <w:r>
        <w:t xml:space="preserve"> : dose réduite</w:t>
      </w:r>
    </w:p>
    <w:p>
      <w:pPr>
        <w:pStyle w:val="ListBullet"/>
      </w:pPr>
      <w:r/>
      <w:r>
        <w:rPr>
          <w:b/>
        </w:rPr>
        <w:t>Insuffisant rénal</w:t>
      </w:r>
      <w:r>
        <w:t xml:space="preserve"> : pas d'adaptation</w:t>
      </w:r>
    </w:p>
    <w:p>
      <w:pPr>
        <w:pStyle w:val="ListBullet"/>
      </w:pPr>
      <w:r/>
      <w:r>
        <w:rPr>
          <w:b/>
        </w:rPr>
        <w:t>Durée</w:t>
      </w:r>
      <w:r>
        <w:t xml:space="preserve"> : au long cours (années)</w:t>
      </w:r>
    </w:p>
    <w:p>
      <w:pPr>
        <w:pStyle w:val="ListBullet"/>
      </w:pPr>
      <w:r/>
      <w:r>
        <w:rPr>
          <w:b/>
        </w:rPr>
        <w:t>Moment de la prise</w:t>
      </w:r>
      <w:r>
        <w:t xml:space="preserve"> : pendant les repas (obligatoire pour l'absorption), en 2 prises</w:t>
      </w:r>
    </w:p>
    <w:p>
      <w:r/>
      <w:r>
        <w:rPr>
          <w:b/>
        </w:rPr>
        <w:t>Arbitrage et Bénéfices des Formes Galéniques :</w:t>
      </w:r>
      <w:r/>
    </w:p>
    <w:p>
      <w:pPr>
        <w:pStyle w:val="ListBullet"/>
      </w:pPr>
      <w:r/>
      <w:r>
        <w:rPr>
          <w:b/>
        </w:rPr>
        <w:t>Gélules orales 40, 60, 80 mg</w:t>
      </w:r>
      <w:r>
        <w:t xml:space="preserve"> : forme de référence pour la schizophrénie et le trouble bipolaire adulte. À prendre impérativement pendant un repas contenant au moins 500 kcal (sans quoi l'absorption est réduite de moitié).</w:t>
      </w:r>
    </w:p>
    <w:p>
      <w:pPr>
        <w:pStyle w:val="ListBullet"/>
      </w:pPr>
      <w:r/>
      <w:r>
        <w:rPr>
          <w:b/>
        </w:rPr>
        <w:t>Poudre pour solution injectable IM 20 mg</w:t>
      </w:r>
      <w:r>
        <w:t xml:space="preserve"> : indiquée pour l'agitation aiguë en milieu hospitalier (psychiatrie urgente). Action rapide (15-30 min), durée 4 h. Alternative à l'halopéridol IM.</w:t>
      </w:r>
    </w:p>
    <w:p>
      <w:pPr>
        <w:pStyle w:val="ListBullet"/>
      </w:pPr>
      <w:r>
        <w:t>Pas de solution buvable, pas de forme orodispersible, pas de forme dépôt LP IM.</w:t>
      </w:r>
    </w:p>
    <w:p>
      <w:r/>
      <w:r>
        <w:rPr>
          <w:b/>
        </w:rPr>
        <w:t>Instructions et Conseils au Patient :</w:t>
      </w:r>
      <w:r/>
    </w:p>
    <w:p>
      <w:pPr>
        <w:pStyle w:val="ListBullet"/>
      </w:pPr>
      <w:r/>
      <w:r>
        <w:rPr>
          <w:b/>
        </w:rPr>
        <w:t>Communication au comptoir</w:t>
      </w:r>
      <w:r>
        <w:t xml:space="preserve"> :</w:t>
      </w:r>
    </w:p>
    <w:p>
      <w:pPr>
        <w:pStyle w:val="ListBullet"/>
      </w:pPr>
      <w:r/>
      <w:r>
        <w:rPr>
          <w:b/>
        </w:rPr>
        <w:t>Préserver la prise pendant les repas</w:t>
      </w:r>
      <w:r>
        <w:t xml:space="preserve"> (impératif pour l'absorption)</w:t>
      </w:r>
    </w:p>
    <w:p>
      <w:pPr>
        <w:pStyle w:val="ListBullet"/>
      </w:pPr>
      <w:r>
        <w:t>Prévenir le risque d'</w:t>
      </w:r>
      <w:r>
        <w:rPr>
          <w:b/>
        </w:rPr>
        <w:t>allongement QT</w:t>
      </w:r>
      <w:r>
        <w:t xml:space="preserve"> : signaler tout malaise, palpitations, syncope</w:t>
      </w:r>
    </w:p>
    <w:p>
      <w:pPr>
        <w:pStyle w:val="ListBullet"/>
      </w:pPr>
      <w:r>
        <w:t>Ne pas arrêter brutalement</w:t>
      </w:r>
    </w:p>
    <w:p>
      <w:pPr>
        <w:pStyle w:val="ListBullet"/>
      </w:pPr>
      <w:r/>
      <w:r>
        <w:rPr>
          <w:b/>
        </w:rPr>
        <w:t>Alcool à proscrire</w:t>
      </w:r>
      <w:r/>
    </w:p>
    <w:p>
      <w:pPr>
        <w:pStyle w:val="ListBullet"/>
      </w:pPr>
      <w:r/>
      <w:r>
        <w:rPr>
          <w:b/>
        </w:rPr>
        <w:t>Mode d'utilisation pratique</w:t>
      </w:r>
      <w:r>
        <w:t xml:space="preserve"> :</w:t>
      </w:r>
    </w:p>
    <w:p>
      <w:pPr>
        <w:pStyle w:val="ListBullet"/>
      </w:pPr>
      <w:r>
        <w:t>Prise en 2 fois par jour avec repas</w:t>
      </w:r>
    </w:p>
    <w:p>
      <w:pPr>
        <w:pStyle w:val="ListBullet"/>
      </w:pPr>
      <w:r>
        <w:t>En cas d'oubli : prendre si &lt; 4 h, sinon ignorer</w:t>
      </w:r>
    </w:p>
    <w:p>
      <w:pPr>
        <w:pStyle w:val="ListBullet"/>
      </w:pPr>
      <w:r/>
      <w:r>
        <w:rPr>
          <w:b/>
        </w:rPr>
        <w:t>Statut algérien</w:t>
      </w:r>
      <w:r>
        <w:t xml:space="preserve"> : à l'officine, le pharmacien doit informer le patient que la ziprasidone n'est plus renouvelée ; si le patient était traité par ZELDOX, lui proposer une consultation psychiatrique pour switch vers une alternative (aripiprazole, lurasidone pour profil métabolique neutre)</w:t>
      </w:r>
    </w:p>
    <w:p>
      <w:r/>
      <w:r>
        <w:rPr>
          <w:b/>
        </w:rPr>
        <w:t>Données Pharmacocinétiques détaillées :</w:t>
      </w:r>
      <w:r/>
    </w:p>
    <w:p>
      <w:pPr>
        <w:pStyle w:val="ListBullet"/>
      </w:pPr>
      <w:r/>
      <w:r>
        <w:rPr>
          <w:b/>
        </w:rPr>
        <w:t>Absorption</w:t>
      </w:r>
      <w:r>
        <w:t xml:space="preserve"> : la ziprasidone est bien absorbée par voie orale (biodisponibilité ~ 60 %) MAIS </w:t>
      </w:r>
      <w:r>
        <w:rPr>
          <w:b/>
        </w:rPr>
        <w:t>uniquement si prise avec un repas d'au moins 500 kcal</w:t>
      </w:r>
      <w:r>
        <w:t xml:space="preserve"> — sans quoi la biodisponibilité est divisée par 2 (de 60 % à 30 %). C'est une caractéristique distinctive de la ziprasidone, liée à sa liposolubilité. Le pic plasmatique est atteint en 6-8 h (forme orale).</w:t>
      </w:r>
    </w:p>
    <w:p>
      <w:pPr>
        <w:pStyle w:val="ListBullet"/>
      </w:pPr>
      <w:r/>
      <w:r>
        <w:rPr>
          <w:b/>
        </w:rPr>
        <w:t>Distribution</w:t>
      </w:r>
      <w:r>
        <w:t xml:space="preserve"> : liaison aux protéines plasmatiques ~ 99 % (principalement albumine et alpha-1-glycoprotéine acide). Volume de distribution ~ 1,5 L/kg.</w:t>
      </w:r>
    </w:p>
    <w:p>
      <w:pPr>
        <w:pStyle w:val="ListBullet"/>
      </w:pPr>
      <w:r/>
      <w:r>
        <w:rPr>
          <w:b/>
        </w:rPr>
        <w:t>Métabolisme</w:t>
      </w:r>
      <w:r>
        <w:t xml:space="preserve"> : hépatique, principalement via CYP3A4 (aldehyde oxydase pour une voie alternative). Métabolites inactifs. La ziprasidone n'inhibe pas et n'induit pas significativement les cytochromes — avantage pour les interactions enzymatiques.</w:t>
      </w:r>
    </w:p>
    <w:p>
      <w:pPr>
        <w:pStyle w:val="ListBullet"/>
      </w:pPr>
      <w:r/>
      <w:r>
        <w:rPr>
          <w:b/>
        </w:rPr>
        <w:t>Demi-vie d'élimination</w:t>
      </w:r>
      <w:r>
        <w:t xml:space="preserve"> : ~ 7 h en moyenne (forme orale) — nécessite 2 prises par jour. La forme IM a une durée d'action plus courte (4 h), justifiant l'administration toutes les 4 h en agitation aiguë.</w:t>
      </w:r>
    </w:p>
    <w:p>
      <w:pPr>
        <w:pStyle w:val="ListBullet"/>
      </w:pPr>
      <w:r/>
      <w:r>
        <w:rPr>
          <w:b/>
        </w:rPr>
        <w:t>Élimination</w:t>
      </w:r>
      <w:r>
        <w:t xml:space="preserve"> : ~ 20 % urinaire, ~ 66 % fécale (principalement en métabolites).</w:t>
      </w:r>
    </w:p>
    <w:p>
      <w:pPr>
        <w:pStyle w:val="ListBullet"/>
      </w:pPr>
      <w:r/>
      <w:r>
        <w:rPr>
          <w:b/>
        </w:rPr>
        <w:t>Insuffisance rénale</w:t>
      </w:r>
      <w:r>
        <w:t xml:space="preserve"> : pas d'adaptation posologique.</w:t>
      </w:r>
    </w:p>
    <w:p>
      <w:pPr>
        <w:pStyle w:val="ListBullet"/>
      </w:pPr>
      <w:r/>
      <w:r>
        <w:rPr>
          <w:b/>
        </w:rPr>
        <w:t>Insuffisance hépatique</w:t>
      </w:r>
      <w:r>
        <w:t xml:space="preserve"> : réduction posologique d'environ 1/3 en cas d'insuffisance modérée ; CI en cas d'insuffisance sévère.</w:t>
      </w:r>
    </w:p>
    <w:p>
      <w:r/>
      <w:r>
        <w:rPr>
          <w:b/>
        </w:rPr>
        <w:t>Notes, Règles d'Or &amp; Pièges au Comptoir :</w:t>
      </w:r>
      <w:r/>
    </w:p>
    <w:p>
      <w:pPr>
        <w:pStyle w:val="ListBullet"/>
      </w:pPr>
      <w:r/>
      <w:r>
        <w:rPr>
          <w:b/>
        </w:rPr>
        <w:t>Piège classique — Allongement QT</w:t>
      </w:r>
      <w:r>
        <w:t xml:space="preserve"> : la ziprasidone est l'AP-2G avec le risque torsadogène le plus marqué (avec la clozapine pour la myocardite). À ne jamais associer à un autre allongeur QT sans ECG strict.</w:t>
      </w:r>
    </w:p>
    <w:p>
      <w:pPr>
        <w:pStyle w:val="ListBullet"/>
      </w:pPr>
      <w:r/>
      <w:r>
        <w:rPr>
          <w:b/>
        </w:rPr>
        <w:t>Piège classique — Mauvaise absorption</w:t>
      </w:r>
      <w:r>
        <w:t xml:space="preserve"> : la ziprasidone prise à jeun a une biodisponibilité divisée par 2 — d'où la nécessité absolue de la prendre avec un repas.</w:t>
      </w:r>
    </w:p>
    <w:p>
      <w:pPr>
        <w:pStyle w:val="ListBullet"/>
      </w:pPr>
      <w:r/>
      <w:r>
        <w:rPr>
          <w:b/>
        </w:rPr>
        <w:t>Piège classique — Statut algérien non renouvelable</w:t>
      </w:r>
      <w:r>
        <w:t xml:space="preserve"> : à l'officine, il faut informer le patient de l'indisponibilité à terme et organiser le switch avec le psychiatre.</w:t>
      </w:r>
    </w:p>
    <w:p>
      <w:pPr>
        <w:pStyle w:val="ListBullet"/>
      </w:pPr>
      <w:r/>
      <w:r>
        <w:rPr>
          <w:b/>
        </w:rPr>
        <w:t>Règle de prise</w:t>
      </w:r>
      <w:r>
        <w:t xml:space="preserve"> : pendant les repas obligatoirement, en 2 prises.</w:t>
      </w:r>
    </w:p>
    <w:p>
      <w:pPr>
        <w:pStyle w:val="ListBullet"/>
      </w:pPr>
      <w:r/>
      <w:r>
        <w:rPr>
          <w:b/>
        </w:rPr>
        <w:t>Préparation et Conservation</w:t>
      </w:r>
      <w:r>
        <w:t xml:space="preserve"> : conservation à température &lt; 25 °C.</w:t>
      </w:r>
    </w:p>
    <w:p>
      <w:pPr>
        <w:pStyle w:val="ListBullet"/>
      </w:pPr>
      <w:r/>
      <w:r>
        <w:rPr>
          <w:b/>
        </w:rPr>
        <w:t>Piège du surdosage / Substitution</w:t>
      </w:r>
      <w:r>
        <w:t xml:space="preserve"> :</w:t>
      </w:r>
    </w:p>
    <w:p>
      <w:pPr>
        <w:pStyle w:val="ListBullet"/>
      </w:pPr>
      <w:r>
        <w:t>Surdosage : allongement QTc majeur, torsades de pointes, collapsus — réanimation avec sulfate de magnésium IV, isoprénaline</w:t>
      </w:r>
    </w:p>
    <w:p>
      <w:pPr>
        <w:pStyle w:val="ListBullet"/>
      </w:pPr>
      <w:r/>
      <w:r>
        <w:rPr>
          <w:b/>
        </w:rPr>
        <w:t>Substitution</w:t>
      </w:r>
      <w:r>
        <w:t xml:space="preserve"> : switch vers aripiprazole (profil métabolique neutre équivalent) ou lurasidone (mieux documenté, plus récent)</w:t>
      </w:r>
    </w:p>
    <w:p>
      <w:pPr>
        <w:pStyle w:val="ListBullet"/>
      </w:pPr>
      <w:r>
        <w:t xml:space="preserve">Attention à ne pas confondre la </w:t>
      </w:r>
      <w:r>
        <w:rPr>
          <w:b/>
        </w:rPr>
        <w:t>ziprasidone</w:t>
      </w:r>
      <w:r>
        <w:t xml:space="preserve"> avec la </w:t>
      </w:r>
      <w:r>
        <w:rPr>
          <w:b/>
        </w:rPr>
        <w:t>zopiclone</w:t>
      </w:r>
      <w:r>
        <w:t xml:space="preserve"> (hypnotique) ou la </w:t>
      </w:r>
      <w:r>
        <w:rPr>
          <w:b/>
        </w:rPr>
        <w:t>zolpidem</w:t>
      </w:r>
      <w:r>
        <w:t xml:space="preserve"> (hypnotique)</w:t>
      </w:r>
    </w:p>
    <w:p>
      <w:pPr>
        <w:pStyle w:val="Heading3"/>
      </w:pPr>
      <w:r>
        <w:t>6. DCI : Lurasidone (Seule)</w:t>
      </w:r>
    </w:p>
    <w:p>
      <w:r>
        <w:t xml:space="preserve">La lurasidone est un antipsychotique atypique de 2e génération de type benzothiazolyl-pipérazine, introduit en Europe en 2014 (marque Latuda — non commercialisée en Algérie où seules des génériques locaux sont disponibles). Elle se distingue par un </w:t>
      </w:r>
      <w:r>
        <w:rPr>
          <w:b/>
        </w:rPr>
        <w:t>profil métabolique neutre</w:t>
      </w:r>
      <w:r>
        <w:t xml:space="preserve"> (prise de poids minime, peu d'effet sur la glycémie et les lipides — comparable à l'aripiprazole et la ziprasidone) et une </w:t>
      </w:r>
      <w:r>
        <w:rPr>
          <w:b/>
        </w:rPr>
        <w:t>efficacité démontrée dans la schizophrénie et la dépression bipolaire</w:t>
      </w:r>
      <w:r>
        <w:t xml:space="preserve">. Sa particularité pharmacologique est un </w:t>
      </w:r>
      <w:r>
        <w:rPr>
          <w:b/>
        </w:rPr>
        <w:t>profil réceptoriel combinant antagonisme D2/5-HT2A avec agoniste partiel 5-HT1A</w:t>
      </w:r>
      <w:r>
        <w:t>, ce qui lui confère une activité potentialisée sur les symptômes cognitifs et négatifs. La lurasidone est l'un des AP-2G récents les plus prometteurs pour la schizophrénie et la dépression bipolaire chez les patients à risque métabolique. Le marché algérien propose deux génériques actifs (LAROZA et LODERA).</w:t>
      </w:r>
    </w:p>
    <w:p>
      <w:r/>
      <w:r>
        <w:rPr>
          <w:b/>
        </w:rPr>
        <w:t>Médicaments disponibles en Algérie (Marques, Laboratoires, Formes et Dosages) :</w:t>
      </w:r>
      <w:r/>
    </w:p>
    <w:p>
      <w:pPr>
        <w:pStyle w:val="ListBullet"/>
      </w:pPr>
      <w:r/>
      <w:r>
        <w:rPr>
          <w:b/>
        </w:rPr>
        <w:t>LAROZA</w:t>
      </w:r>
      <w:r>
        <w:t xml:space="preserve"> (HIKMA PHARMA ALGERIA)</w:t>
      </w:r>
    </w:p>
    <w:p>
      <w:pPr>
        <w:pStyle w:val="ListBullet"/>
      </w:pPr>
      <w:r>
        <w:t>Formes et Dosages : Comprimé pelliculé 20 mg (B/30) ; 40 mg (B/30) ; 80 mg (B/30) ; 120 mg (B/30)</w:t>
      </w:r>
    </w:p>
    <w:p>
      <w:pPr>
        <w:pStyle w:val="ListBullet"/>
      </w:pPr>
      <w:r>
        <w:t>Statut : Actif</w:t>
      </w:r>
    </w:p>
    <w:p>
      <w:pPr>
        <w:pStyle w:val="ListBullet"/>
      </w:pPr>
      <w:r/>
      <w:r>
        <w:rPr>
          <w:b/>
        </w:rPr>
        <w:t>LODERA</w:t>
      </w:r>
      <w:r>
        <w:t xml:space="preserve"> (EL KENDI INDUSTRIE DU MEDICAMENT)</w:t>
      </w:r>
    </w:p>
    <w:p>
      <w:pPr>
        <w:pStyle w:val="ListBullet"/>
      </w:pPr>
      <w:r>
        <w:t>Formes et Dosages : Comprimé pelliculé 40 mg (B/30) ; 80 mg (B/30)</w:t>
      </w:r>
    </w:p>
    <w:p>
      <w:pPr>
        <w:pStyle w:val="ListBullet"/>
      </w:pPr>
      <w:r>
        <w:t>Statut : Actif</w:t>
      </w:r>
    </w:p>
    <w:p>
      <w:r/>
      <w:r>
        <w:rPr>
          <w:b/>
        </w:rPr>
        <w:t>Sous-classe et Mécanisme d'action :</w:t>
      </w:r>
      <w:r/>
    </w:p>
    <w:p>
      <w:pPr>
        <w:pStyle w:val="ListBullet"/>
      </w:pPr>
      <w:r/>
      <w:r>
        <w:rPr>
          <w:b/>
        </w:rPr>
        <w:t>Sous-classe</w:t>
      </w:r>
      <w:r>
        <w:t xml:space="preserve"> : Antipsychotique atypique de 2e génération — benzothiazolyl-pipérazine, AP-2G récent à profil métabolique neutre et agoniste partiel 5-HT1A.</w:t>
      </w:r>
    </w:p>
    <w:p>
      <w:pPr>
        <w:pStyle w:val="ListBullet"/>
      </w:pPr>
      <w:r/>
      <w:r>
        <w:rPr>
          <w:b/>
        </w:rPr>
        <w:t>Mécanisme d'action</w:t>
      </w:r>
      <w:r>
        <w:t xml:space="preserve"> : la lurasidone possède un profil multi-réceptoriel spécifique :</w:t>
      </w:r>
    </w:p>
    <w:p>
      <w:pPr>
        <w:pStyle w:val="ListBullet"/>
      </w:pPr>
      <w:r/>
      <w:r>
        <w:rPr>
          <w:b/>
        </w:rPr>
        <w:t>Antagonisme D2</w:t>
      </w:r>
      <w:r>
        <w:t xml:space="preserve"> (occupation ~ 50-60 % à dose thérapeutique)</w:t>
      </w:r>
    </w:p>
    <w:p>
      <w:pPr>
        <w:pStyle w:val="ListBullet"/>
      </w:pPr>
      <w:r/>
      <w:r>
        <w:rPr>
          <w:b/>
        </w:rPr>
        <w:t>Antagonisme 5-HT2A</w:t>
      </w:r>
      <w:r>
        <w:t xml:space="preserve"> marqué (profil atypique)</w:t>
      </w:r>
    </w:p>
    <w:p>
      <w:pPr>
        <w:pStyle w:val="ListBullet"/>
      </w:pPr>
      <w:r/>
      <w:r>
        <w:rPr>
          <w:b/>
        </w:rPr>
        <w:t>Agoniste partiel 5-HT1A</w:t>
      </w:r>
      <w:r>
        <w:t xml:space="preserve"> (activité agoniste partielle, comme l'aripiprazole — amélioration des symptômes négatifs et cognitifs, anxiolyse, potentialisation de la neurotransmission préfrontale dopaminergique et glutamatergique)</w:t>
      </w:r>
    </w:p>
    <w:p>
      <w:pPr>
        <w:pStyle w:val="ListBullet"/>
      </w:pPr>
      <w:r/>
      <w:r>
        <w:rPr>
          <w:b/>
        </w:rPr>
        <w:t>Antagoniste 5-HT7</w:t>
      </w:r>
      <w:r>
        <w:t xml:space="preserve"> (modulation de l'humeur et du rythme circadien — activité antidépressive putative)</w:t>
      </w:r>
    </w:p>
    <w:p>
      <w:pPr>
        <w:pStyle w:val="ListBullet"/>
      </w:pPr>
      <w:r/>
      <w:r>
        <w:rPr>
          <w:b/>
        </w:rPr>
        <w:t>Antagoniste 5-HT2C</w:t>
      </w:r>
      <w:r>
        <w:t xml:space="preserve"> (modulation de l'appétit, du métabolisme — contribue au profil métabolique neutre)</w:t>
      </w:r>
    </w:p>
    <w:p>
      <w:pPr>
        <w:pStyle w:val="ListBullet"/>
      </w:pPr>
      <w:r/>
      <w:r>
        <w:rPr>
          <w:b/>
        </w:rPr>
        <w:t>Affinité alpha-2C adrénergique</w:t>
      </w:r>
      <w:r>
        <w:t xml:space="preserve"> (modulation de la cognition)</w:t>
      </w:r>
    </w:p>
    <w:p>
      <w:pPr>
        <w:pStyle w:val="ListBullet"/>
      </w:pPr>
      <w:r/>
      <w:r>
        <w:rPr>
          <w:b/>
        </w:rPr>
        <w:t>Faible affinité H1</w:t>
      </w:r>
      <w:r>
        <w:t xml:space="preserve"> (peu de sédation et de prise de poids)</w:t>
      </w:r>
    </w:p>
    <w:p>
      <w:pPr>
        <w:pStyle w:val="ListBullet"/>
      </w:pPr>
      <w:r/>
      <w:r>
        <w:rPr>
          <w:b/>
        </w:rPr>
        <w:t>Pas d'affinité muscarinique significative</w:t>
      </w:r>
      <w:r>
        <w:t xml:space="preserve"> (peu d'effets atropiniques)</w:t>
      </w:r>
    </w:p>
    <w:p>
      <w:pPr>
        <w:pStyle w:val="ListBullet"/>
      </w:pPr>
      <w:r>
        <w:t>Le profil réceptoriel particulier (5-HT1A agoniste partiel + 5-HT7 antagoniste + 5-HT2A antagoniste + faible H1) explique le profil métabolique neutre, l'efficacité sur les symptômes négatifs et cognitifs, et l'activité antidépressive dans la dépression bipolaire.</w:t>
      </w:r>
    </w:p>
    <w:p>
      <w:pPr>
        <w:pStyle w:val="ListBullet"/>
      </w:pPr>
      <w:r>
        <w:t>Métabolisme : CYP3A4 principalement (interactions avec inducteurs/inhibiteurs CYP3A4)</w:t>
      </w:r>
    </w:p>
    <w:p>
      <w:pPr>
        <w:pStyle w:val="ListBullet"/>
      </w:pPr>
      <w:r>
        <w:t>La lurasidone doit être prise avec un repas d'au moins 350 kcal pour une absorption optimale (biodisponibilité multipliée par 2).</w:t>
      </w:r>
    </w:p>
    <w:p>
      <w:r/>
      <w:r>
        <w:rPr>
          <w:b/>
        </w:rPr>
        <w:t>Profil Pharmacologique :</w:t>
      </w:r>
      <w:r/>
    </w:p>
    <w:p>
      <w:pPr>
        <w:pStyle w:val="ListBullet"/>
      </w:pPr>
      <w:r/>
      <w:r>
        <w:rPr>
          <w:b/>
        </w:rPr>
        <w:t>Indications</w:t>
      </w:r>
      <w:r>
        <w:t xml:space="preserve"> :</w:t>
      </w:r>
    </w:p>
    <w:p>
      <w:pPr>
        <w:pStyle w:val="ListBullet"/>
      </w:pPr>
      <w:r/>
      <w:r>
        <w:rPr>
          <w:b/>
        </w:rPr>
        <w:t>Schizophrénie</w:t>
      </w:r>
      <w:r>
        <w:t xml:space="preserve"> (toutes phases) — AMM</w:t>
      </w:r>
    </w:p>
    <w:p>
      <w:pPr>
        <w:pStyle w:val="ListBullet"/>
      </w:pPr>
      <w:r/>
      <w:r>
        <w:rPr>
          <w:b/>
        </w:rPr>
        <w:t>Dépression bipolaire (épisodes dépressifs du trouble bipolaire I)</w:t>
      </w:r>
      <w:r>
        <w:t xml:space="preserve"> — AMM (seul AP-2G avec la quétiapine à avoir une AMM dans cette indication)</w:t>
      </w:r>
    </w:p>
    <w:p>
      <w:pPr>
        <w:pStyle w:val="ListBullet"/>
      </w:pPr>
      <w:r/>
      <w:r>
        <w:rPr>
          <w:b/>
        </w:rPr>
        <w:t>Trouble schizo-affectif</w:t>
      </w:r>
      <w:r>
        <w:t xml:space="preserve"> (2e intention)</w:t>
      </w:r>
    </w:p>
    <w:p>
      <w:pPr>
        <w:pStyle w:val="ListBullet"/>
      </w:pPr>
      <w:r/>
      <w:r>
        <w:rPr>
          <w:b/>
        </w:rPr>
        <w:t>Contre-indications</w:t>
      </w:r>
      <w:r>
        <w:t xml:space="preserve"> :</w:t>
      </w:r>
    </w:p>
    <w:p>
      <w:pPr>
        <w:pStyle w:val="ListBullet"/>
      </w:pPr>
      <w:r>
        <w:t>Hypersensibilité à la lurasidone</w:t>
      </w:r>
    </w:p>
    <w:p>
      <w:pPr>
        <w:pStyle w:val="ListBullet"/>
      </w:pPr>
      <w:r>
        <w:t>En association avec les inducteurs puissants du CYP3A4 (rifampicine) ou les inhibiteurs puissants (kétoconazole, clarithromycine, ritonavir) — CI relative</w:t>
      </w:r>
    </w:p>
    <w:p>
      <w:pPr>
        <w:pStyle w:val="ListBullet"/>
      </w:pPr>
      <w:r>
        <w:t>Insuffisance hépatique sévère</w:t>
      </w:r>
    </w:p>
    <w:p>
      <w:pPr>
        <w:pStyle w:val="ListBullet"/>
      </w:pPr>
      <w:r>
        <w:t>Allaitement</w:t>
      </w:r>
    </w:p>
    <w:p>
      <w:pPr>
        <w:pStyle w:val="ListBullet"/>
      </w:pPr>
      <w:r/>
      <w:r>
        <w:rPr>
          <w:b/>
        </w:rPr>
        <w:t>Effets Indésirables</w:t>
      </w:r>
      <w:r>
        <w:t xml:space="preserve"> :</w:t>
      </w:r>
    </w:p>
    <w:p>
      <w:pPr>
        <w:pStyle w:val="ListBullet"/>
      </w:pPr>
      <w:r/>
      <w:r>
        <w:rPr>
          <w:b/>
        </w:rPr>
        <w:t>Akathisie</w:t>
      </w:r>
      <w:r>
        <w:t xml:space="preserve"> (EI le plus fréquent, 10-20 % — dose-dépendante)</w:t>
      </w:r>
    </w:p>
    <w:p>
      <w:pPr>
        <w:pStyle w:val="ListBullet"/>
      </w:pPr>
      <w:r/>
      <w:r>
        <w:rPr>
          <w:b/>
        </w:rPr>
        <w:t>Somnolence, sédation</w:t>
      </w:r>
      <w:r>
        <w:t xml:space="preserve"> modérée (10-15 %)</w:t>
      </w:r>
    </w:p>
    <w:p>
      <w:pPr>
        <w:pStyle w:val="ListBullet"/>
      </w:pPr>
      <w:r/>
      <w:r>
        <w:rPr>
          <w:b/>
        </w:rPr>
        <w:t>Parkinsonisme</w:t>
      </w:r>
      <w:r>
        <w:t xml:space="preserve"> modéré (5-10 %)</w:t>
      </w:r>
    </w:p>
    <w:p>
      <w:pPr>
        <w:pStyle w:val="ListBullet"/>
      </w:pPr>
      <w:r/>
      <w:r>
        <w:rPr>
          <w:b/>
        </w:rPr>
        <w:t>Prise de poids</w:t>
      </w:r>
      <w:r>
        <w:t xml:space="preserve"> minime (1-2 kg en moyenne à 1 an — l'un des AP-2G les moins obésigènes avec aripiprazole et ziprasidone)</w:t>
      </w:r>
    </w:p>
    <w:p>
      <w:pPr>
        <w:pStyle w:val="ListBullet"/>
      </w:pPr>
      <w:r/>
      <w:r>
        <w:rPr>
          <w:b/>
        </w:rPr>
        <w:t>Risque métabolique</w:t>
      </w:r>
      <w:r>
        <w:t xml:space="preserve"> minime (glycémie, lipides inchangés)</w:t>
      </w:r>
    </w:p>
    <w:p>
      <w:pPr>
        <w:pStyle w:val="ListBullet"/>
      </w:pPr>
      <w:r/>
      <w:r>
        <w:rPr>
          <w:b/>
        </w:rPr>
        <w:t>Hyperprolactinémie</w:t>
      </w:r>
      <w:r>
        <w:t xml:space="preserve"> modérée et rarement symptomatique</w:t>
      </w:r>
    </w:p>
    <w:p>
      <w:pPr>
        <w:pStyle w:val="ListBullet"/>
      </w:pPr>
      <w:r/>
      <w:r>
        <w:rPr>
          <w:b/>
        </w:rPr>
        <w:t>Allongement QTc</w:t>
      </w:r>
      <w:r>
        <w:t xml:space="preserve"> modéré (rarement significatif cliniquement)</w:t>
      </w:r>
    </w:p>
    <w:p>
      <w:pPr>
        <w:pStyle w:val="ListBullet"/>
      </w:pPr>
      <w:r/>
      <w:r>
        <w:rPr>
          <w:b/>
        </w:rPr>
        <w:t>Syndrome malin des neuroleptiques</w:t>
      </w:r>
      <w:r>
        <w:t xml:space="preserve"> (rare)</w:t>
      </w:r>
    </w:p>
    <w:p>
      <w:pPr>
        <w:pStyle w:val="ListBullet"/>
      </w:pPr>
      <w:r/>
      <w:r>
        <w:rPr>
          <w:b/>
        </w:rPr>
        <w:t>Convulsions</w:t>
      </w:r>
      <w:r>
        <w:t xml:space="preserve"> (rare)</w:t>
      </w:r>
    </w:p>
    <w:p>
      <w:pPr>
        <w:pStyle w:val="ListBullet"/>
      </w:pPr>
      <w:r/>
      <w:r>
        <w:rPr>
          <w:b/>
        </w:rPr>
        <w:t>Nausées, dyspepsie</w:t>
      </w:r>
      <w:r>
        <w:t xml:space="preserve"> (modérés — particulièrement en début de traitement)</w:t>
      </w:r>
    </w:p>
    <w:p>
      <w:pPr>
        <w:pStyle w:val="ListBullet"/>
      </w:pPr>
      <w:r/>
      <w:r>
        <w:rPr>
          <w:b/>
        </w:rPr>
        <w:t>Sécheresse buccale</w:t>
      </w:r>
      <w:r/>
    </w:p>
    <w:p>
      <w:pPr>
        <w:pStyle w:val="ListBullet"/>
      </w:pPr>
      <w:r/>
      <w:r>
        <w:rPr>
          <w:b/>
        </w:rPr>
        <w:t>Hypotension orthostatique</w:t>
      </w:r>
      <w:r>
        <w:t xml:space="preserve"> modérée</w:t>
      </w:r>
    </w:p>
    <w:p>
      <w:pPr>
        <w:pStyle w:val="ListBullet"/>
      </w:pPr>
      <w:r/>
      <w:r>
        <w:rPr>
          <w:b/>
        </w:rPr>
        <w:t>Risque d'AVC majoré en gériatrie</w:t>
      </w:r>
      <w:r>
        <w:t xml:space="preserve"> (démence)</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w:t>
      </w:r>
      <w:r>
        <w:t xml:space="preserve"> : poids, IMC, TA, glycémie à jeun, bilan lipidique, ECG, transaminases</w:t>
      </w:r>
    </w:p>
    <w:p>
      <w:pPr>
        <w:pStyle w:val="ListBullet"/>
      </w:pPr>
      <w:r/>
      <w:r>
        <w:rPr>
          <w:b/>
        </w:rPr>
        <w:t>Surveillance métabolique</w:t>
      </w:r>
      <w:r>
        <w:t xml:space="preserve"> : à l'initiation, M3, M6 puis semestrielle (calendrier simplifié)</w:t>
      </w:r>
    </w:p>
    <w:p>
      <w:pPr>
        <w:pStyle w:val="ListBullet"/>
      </w:pPr>
      <w:r/>
      <w:r>
        <w:rPr>
          <w:b/>
        </w:rPr>
        <w:t>Titration progressive</w:t>
      </w:r>
      <w:r>
        <w:t xml:space="preserve"> pour limiter l'akathisie (surtout chez le sujet âgé)</w:t>
      </w:r>
    </w:p>
    <w:p>
      <w:pPr>
        <w:pStyle w:val="ListBullet"/>
      </w:pPr>
      <w:r/>
      <w:r>
        <w:rPr>
          <w:b/>
        </w:rPr>
        <w:t>Conduite à Tenir</w:t>
      </w:r>
      <w:r>
        <w:t xml:space="preserve"> :</w:t>
      </w:r>
    </w:p>
    <w:p>
      <w:pPr>
        <w:pStyle w:val="ListBullet"/>
      </w:pPr>
      <w:r/>
      <w:r>
        <w:rPr>
          <w:b/>
        </w:rPr>
        <w:t>Si akathisie</w:t>
      </w:r>
      <w:r>
        <w:t xml:space="preserve"> : réduction de dose, propranolol 30-60 mg/j ou mésylate de pridinol</w:t>
      </w:r>
    </w:p>
    <w:p>
      <w:pPr>
        <w:pStyle w:val="ListBullet"/>
      </w:pPr>
      <w:r/>
      <w:r>
        <w:rPr>
          <w:b/>
        </w:rPr>
        <w:t>Si nausées en début de traitement</w:t>
      </w:r>
      <w:r>
        <w:t xml:space="preserve"> : prise pendant repas, antiémétique si nécessaire (métoclopramide à éviter — augmente prolactinémie)</w:t>
      </w:r>
    </w:p>
    <w:p>
      <w:pPr>
        <w:pStyle w:val="ListBullet"/>
      </w:pPr>
      <w:r/>
      <w:r>
        <w:rPr>
          <w:b/>
        </w:rPr>
        <w:t>Si somnolence</w:t>
      </w:r>
      <w:r>
        <w:t xml:space="preserve"> : prise vespérale, réduction de dose</w:t>
      </w:r>
    </w:p>
    <w:p>
      <w:r/>
      <w:r>
        <w:rPr>
          <w:b/>
        </w:rPr>
        <w:t>Interactions Importantes :</w:t>
      </w:r>
      <w:r/>
    </w:p>
    <w:p>
      <w:pPr>
        <w:pStyle w:val="ListBullet"/>
      </w:pPr>
      <w:r/>
      <w:r>
        <w:rPr>
          <w:b/>
        </w:rPr>
        <w:t>Lurasidone + inducteurs CYP3A4</w:t>
      </w:r>
      <w:r>
        <w:t xml:space="preserve"> (rifampicine, carbamazépine, phénytoïne, millepertuis, éfavirenz) : diminution majeure des taux de lurasidone (jusqu'à -90 % pour rifampicine) → </w:t>
      </w:r>
      <w:r>
        <w:rPr>
          <w:b/>
        </w:rPr>
        <w:t>contre-indication</w:t>
      </w:r>
      <w:r/>
    </w:p>
    <w:p>
      <w:pPr>
        <w:pStyle w:val="ListBullet"/>
      </w:pPr>
      <w:r/>
      <w:r>
        <w:rPr>
          <w:b/>
        </w:rPr>
        <w:t>Lurasidone + inhibiteurs CYP3A4</w:t>
      </w:r>
      <w:r>
        <w:t xml:space="preserve"> (kétoconazole, itraconazole, clarithromycine, ritonavir) : augmentation majeure des taux de lurasidone (jusqu'à +200 % pour kétoconazole) → </w:t>
      </w:r>
      <w:r>
        <w:rPr>
          <w:b/>
        </w:rPr>
        <w:t>contre-indication</w:t>
      </w:r>
      <w:r/>
    </w:p>
    <w:p>
      <w:pPr>
        <w:pStyle w:val="ListBullet"/>
      </w:pPr>
      <w:r/>
      <w:r>
        <w:rPr>
          <w:b/>
        </w:rPr>
        <w:t>Lurasidone + inhibiteurs modérés CYP3A4</w:t>
      </w:r>
      <w:r>
        <w:t xml:space="preserve"> (diltiazem, vérapamil, fluconazole, érythromycine) : augmentation modérée → surveiller, adapter la dose</w:t>
      </w:r>
    </w:p>
    <w:p>
      <w:pPr>
        <w:pStyle w:val="ListBullet"/>
      </w:pPr>
      <w:r/>
      <w:r>
        <w:rPr>
          <w:b/>
        </w:rPr>
        <w:t>Lurasidone + allongeurs QTc</w:t>
      </w:r>
      <w:r>
        <w:t xml:space="preserve"> : effet additif torsadogène, surveillance ECG</w:t>
      </w:r>
    </w:p>
    <w:p>
      <w:pPr>
        <w:pStyle w:val="ListBullet"/>
      </w:pPr>
      <w:r/>
      <w:r>
        <w:rPr>
          <w:b/>
        </w:rPr>
        <w:t>Lurasidone + dépresseurs SNC</w:t>
      </w:r>
      <w:r>
        <w:t xml:space="preserve"> (alcool, opioïdes, BZD) : potentialisation sédative</w:t>
      </w:r>
    </w:p>
    <w:p>
      <w:pPr>
        <w:pStyle w:val="ListBullet"/>
      </w:pPr>
      <w:r/>
      <w:r>
        <w:rPr>
          <w:b/>
        </w:rPr>
        <w:t>Lurasidone + antihypertenseurs</w:t>
      </w:r>
      <w:r>
        <w:t xml:space="preserve"> : hypotension majorée</w:t>
      </w:r>
    </w:p>
    <w:p>
      <w:pPr>
        <w:pStyle w:val="ListBullet"/>
      </w:pPr>
      <w:r/>
      <w:r>
        <w:rPr>
          <w:b/>
        </w:rPr>
        <w:t>Lurasidone + lévodopa</w:t>
      </w:r>
      <w:r>
        <w:t xml:space="preserve"> : antagonisme</w:t>
      </w:r>
    </w:p>
    <w:p>
      <w:r/>
      <w:r>
        <w:rPr>
          <w:b/>
        </w:rPr>
        <w:t>Grossesse et Allaitement :</w:t>
      </w:r>
      <w:r/>
    </w:p>
    <w:p>
      <w:pPr>
        <w:pStyle w:val="ListBullet"/>
      </w:pPr>
      <w:r/>
      <w:r>
        <w:rPr>
          <w:b/>
        </w:rPr>
        <w:t>Grossesse</w:t>
      </w:r>
      <w:r>
        <w:t xml:space="preserve"> : selon CRAT, données très limitées (peu de grossesses exposées — molécule récente). Risque théorique d'effets cardiovasculaires fœtaux, d'hypotonie néonatale, de syndrome de sevrage néonatal. À éviter par prudence ; si nécessaire, dose minimale efficace. Surveillance néonatale renforcée.</w:t>
      </w:r>
    </w:p>
    <w:p>
      <w:pPr>
        <w:pStyle w:val="ListBullet"/>
      </w:pPr>
      <w:r/>
      <w:r>
        <w:rPr>
          <w:b/>
        </w:rPr>
        <w:t>Allaitement</w:t>
      </w:r>
      <w:r>
        <w:t xml:space="preserve"> : selon CRAT, données insuffisantes — à éviter par prudence. La lurasidone passe probablement dans le lait maternel, mais les concentrations néonatales sont inconnues.</w:t>
      </w:r>
    </w:p>
    <w:p>
      <w:pPr>
        <w:pStyle w:val="ListBullet"/>
      </w:pPr>
      <w:r/>
      <w:r>
        <w:rPr>
          <w:b/>
        </w:rPr>
        <w:t>Précisions</w:t>
      </w:r>
      <w:r>
        <w:t xml:space="preserve"> : surveillance neurologique néonatale.</w:t>
      </w:r>
    </w:p>
    <w:p>
      <w:r/>
      <w:r>
        <w:rPr>
          <w:b/>
        </w:rPr>
        <w:t>Posologie et Mode d'administration (Standard) :</w:t>
      </w:r>
      <w:r/>
    </w:p>
    <w:p>
      <w:pPr>
        <w:pStyle w:val="ListBullet"/>
      </w:pPr>
      <w:r/>
      <w:r>
        <w:rPr>
          <w:b/>
        </w:rPr>
        <w:t>Adulte</w:t>
      </w:r>
      <w:r>
        <w:t xml:space="preserve"> :</w:t>
      </w:r>
    </w:p>
    <w:p>
      <w:pPr>
        <w:pStyle w:val="ListBullet"/>
      </w:pPr>
      <w:r/>
      <w:r>
        <w:rPr>
          <w:b/>
        </w:rPr>
        <w:t>Schizophrénie</w:t>
      </w:r>
      <w:r>
        <w:t xml:space="preserve"> : dose initiale 40 mg/j en une prise avec repas (≥ 350 kcal), dose cible 40-80 mg/j, maximum 160 mg/j</w:t>
      </w:r>
    </w:p>
    <w:p>
      <w:pPr>
        <w:pStyle w:val="ListBullet"/>
      </w:pPr>
      <w:r/>
      <w:r>
        <w:rPr>
          <w:b/>
        </w:rPr>
        <w:t>Dépression bipolaire</w:t>
      </w:r>
      <w:r>
        <w:t xml:space="preserve"> : dose initiale 20 mg/j en une prise avec repas, dose cible 20-120 mg/j, maximum 120 mg/j</w:t>
      </w:r>
    </w:p>
    <w:p>
      <w:pPr>
        <w:pStyle w:val="ListBullet"/>
      </w:pPr>
      <w:r/>
      <w:r>
        <w:rPr>
          <w:b/>
        </w:rPr>
        <w:t>Sujet âgé</w:t>
      </w:r>
      <w:r>
        <w:t xml:space="preserve"> : dose initiale réduite (20 mg/j), titration prudente, dose cible 40-80 mg/j</w:t>
      </w:r>
    </w:p>
    <w:p>
      <w:pPr>
        <w:pStyle w:val="ListBullet"/>
      </w:pPr>
      <w:r/>
      <w:r>
        <w:rPr>
          <w:b/>
        </w:rPr>
        <w:t>Insuffisant hépatique modéré</w:t>
      </w:r>
      <w:r>
        <w:t xml:space="preserve"> : dose initiale réduite (20 mg/j), dose maximale 80 mg/j</w:t>
      </w:r>
    </w:p>
    <w:p>
      <w:pPr>
        <w:pStyle w:val="ListBullet"/>
      </w:pPr>
      <w:r/>
      <w:r>
        <w:rPr>
          <w:b/>
        </w:rPr>
        <w:t>Insuffisant hépatique sévère</w:t>
      </w:r>
      <w:r>
        <w:t xml:space="preserve"> : CI</w:t>
      </w:r>
    </w:p>
    <w:p>
      <w:pPr>
        <w:pStyle w:val="ListBullet"/>
      </w:pPr>
      <w:r/>
      <w:r>
        <w:rPr>
          <w:b/>
        </w:rPr>
        <w:t>Insuffisant rénal</w:t>
      </w:r>
      <w:r>
        <w:t xml:space="preserve"> : pas d'adaptation mais surveillance accrue</w:t>
      </w:r>
    </w:p>
    <w:p>
      <w:pPr>
        <w:pStyle w:val="ListBullet"/>
      </w:pPr>
      <w:r/>
      <w:r>
        <w:rPr>
          <w:b/>
        </w:rPr>
        <w:t>Durée</w:t>
      </w:r>
      <w:r>
        <w:t xml:space="preserve"> : au long cours (années)</w:t>
      </w:r>
    </w:p>
    <w:p>
      <w:pPr>
        <w:pStyle w:val="ListBullet"/>
      </w:pPr>
      <w:r/>
      <w:r>
        <w:rPr>
          <w:b/>
        </w:rPr>
        <w:t>Moment de la prise</w:t>
      </w:r>
      <w:r>
        <w:t xml:space="preserve"> : en une prise pendant un repas (≥ 350 kcal), le soir de préférence</w:t>
      </w:r>
    </w:p>
    <w:p>
      <w:r/>
      <w:r>
        <w:rPr>
          <w:b/>
        </w:rPr>
        <w:t>Arbitrage et Bénéfices des Formes Galéniques :</w:t>
      </w:r>
      <w:r/>
    </w:p>
    <w:p>
      <w:pPr>
        <w:pStyle w:val="ListBullet"/>
      </w:pPr>
      <w:r/>
      <w:r>
        <w:rPr>
          <w:b/>
        </w:rPr>
        <w:t>Comprimés pelliculés 20, 40, 80, 120 mg (LAROZA) et 40, 80 mg (LODERA)</w:t>
      </w:r>
      <w:r>
        <w:t xml:space="preserve"> : formes de référence. Le panel large de dosages permet une titration fine et une adaptation posologique personnalisée.</w:t>
      </w:r>
    </w:p>
    <w:p>
      <w:pPr>
        <w:pStyle w:val="ListBullet"/>
      </w:pPr>
      <w:r>
        <w:t>Pas de solution buvable ni de forme orodispersible disponibles en Algérie</w:t>
      </w:r>
    </w:p>
    <w:p>
      <w:pPr>
        <w:pStyle w:val="ListBullet"/>
      </w:pPr>
      <w:r>
        <w:t>Pas de forme dépôt LP IM</w:t>
      </w:r>
    </w:p>
    <w:p>
      <w:r/>
      <w:r>
        <w:rPr>
          <w:b/>
        </w:rPr>
        <w:t>Instructions et Conseils au Patient :</w:t>
      </w:r>
      <w:r/>
    </w:p>
    <w:p>
      <w:pPr>
        <w:pStyle w:val="ListBullet"/>
      </w:pPr>
      <w:r/>
      <w:r>
        <w:rPr>
          <w:b/>
        </w:rPr>
        <w:t>Communication au comptoir</w:t>
      </w:r>
      <w:r>
        <w:t xml:space="preserve"> :</w:t>
      </w:r>
    </w:p>
    <w:p>
      <w:pPr>
        <w:pStyle w:val="ListBullet"/>
      </w:pPr>
      <w:r/>
      <w:r>
        <w:rPr>
          <w:b/>
        </w:rPr>
        <w:t>Prise avec repas obligatoire</w:t>
      </w:r>
      <w:r>
        <w:t xml:space="preserve"> (≥ 350 kcal — sans quoi biodisponibilité divisée par 2)</w:t>
      </w:r>
    </w:p>
    <w:p>
      <w:pPr>
        <w:pStyle w:val="ListBullet"/>
      </w:pPr>
      <w:r>
        <w:t>Prévenir l'</w:t>
      </w:r>
      <w:r>
        <w:rPr>
          <w:b/>
        </w:rPr>
        <w:t>akathisie</w:t>
      </w:r>
      <w:r>
        <w:t xml:space="preserve"> en début de traitement : si agitation, incapacité à rester assis, signaler au médecin</w:t>
      </w:r>
    </w:p>
    <w:p>
      <w:pPr>
        <w:pStyle w:val="ListBullet"/>
      </w:pPr>
      <w:r>
        <w:t>Ne pas arrêter brutalement</w:t>
      </w:r>
    </w:p>
    <w:p>
      <w:pPr>
        <w:pStyle w:val="ListBullet"/>
      </w:pPr>
      <w:r/>
      <w:r>
        <w:rPr>
          <w:b/>
        </w:rPr>
        <w:t>Alcool à proscrire</w:t>
      </w:r>
      <w:r/>
    </w:p>
    <w:p>
      <w:pPr>
        <w:pStyle w:val="ListBullet"/>
      </w:pPr>
      <w:r>
        <w:t xml:space="preserve">Prévenir les </w:t>
      </w:r>
      <w:r>
        <w:rPr>
          <w:b/>
        </w:rPr>
        <w:t>interactions</w:t>
      </w:r>
      <w:r>
        <w:t xml:space="preserve"> : ne pas prendre avec pamplemousse (inhibiteur CYP3A4), signaler tout autre médicament au médecin</w:t>
      </w:r>
    </w:p>
    <w:p>
      <w:pPr>
        <w:pStyle w:val="ListBullet"/>
      </w:pPr>
      <w:r/>
      <w:r>
        <w:rPr>
          <w:b/>
        </w:rPr>
        <w:t>Mode d'utilisation pratique</w:t>
      </w:r>
      <w:r>
        <w:t xml:space="preserve"> :</w:t>
      </w:r>
    </w:p>
    <w:p>
      <w:pPr>
        <w:pStyle w:val="ListBullet"/>
      </w:pPr>
      <w:r>
        <w:t>Prise unique le soir avec repas</w:t>
      </w:r>
    </w:p>
    <w:p>
      <w:pPr>
        <w:pStyle w:val="ListBullet"/>
      </w:pPr>
      <w:r>
        <w:t>En cas d'oubli : prendre si &lt; 12 h, sinon ignorer</w:t>
      </w:r>
    </w:p>
    <w:p>
      <w:r/>
      <w:r>
        <w:rPr>
          <w:b/>
        </w:rPr>
        <w:t>Données Pharmacocinétiques détaillées :</w:t>
      </w:r>
      <w:r/>
    </w:p>
    <w:p>
      <w:pPr>
        <w:pStyle w:val="ListBullet"/>
      </w:pPr>
      <w:r/>
      <w:r>
        <w:rPr>
          <w:b/>
        </w:rPr>
        <w:t>Absorption</w:t>
      </w:r>
      <w:r>
        <w:t xml:space="preserve"> : la lurasidone est absorbée par voie orale avec une biodisponibilité faible ~ 10-15 %, augmentée par la prise alimentaire (multiplication par 2 si prise avec repas ≥ 350 kcal). C'est une caractéristique distinctive de la lurasidone, liée à sa liposolubilité. Le pic plasmatique est atteint en 1-3 h avec repas.</w:t>
      </w:r>
    </w:p>
    <w:p>
      <w:pPr>
        <w:pStyle w:val="ListBullet"/>
      </w:pPr>
      <w:r/>
      <w:r>
        <w:rPr>
          <w:b/>
        </w:rPr>
        <w:t>Distribution</w:t>
      </w:r>
      <w:r>
        <w:t xml:space="preserve"> : liaison aux protéines plasmatiques ~ 99 % (principalement albumine et alpha-1-glycoprotéine acide). Volume de distribution modéré.</w:t>
      </w:r>
    </w:p>
    <w:p>
      <w:pPr>
        <w:pStyle w:val="ListBullet"/>
      </w:pPr>
      <w:r/>
      <w:r>
        <w:rPr>
          <w:b/>
        </w:rPr>
        <w:t>Métabolisme</w:t>
      </w:r>
      <w:r>
        <w:t xml:space="preserve"> : hépatique, principalement via CYP3A4 (90 %). Métabolites actifs (ID-14283 et ID-11614) mais de moindre importance clinique.</w:t>
      </w:r>
    </w:p>
    <w:p>
      <w:pPr>
        <w:pStyle w:val="ListBullet"/>
      </w:pPr>
      <w:r/>
      <w:r>
        <w:rPr>
          <w:b/>
        </w:rPr>
        <w:t>Demi-vie d'élimination</w:t>
      </w:r>
      <w:r>
        <w:t xml:space="preserve"> : ~ 18 h en moyenne (forme orale) — permet une seule prise quotidienne.</w:t>
      </w:r>
    </w:p>
    <w:p>
      <w:pPr>
        <w:pStyle w:val="ListBullet"/>
      </w:pPr>
      <w:r/>
      <w:r>
        <w:rPr>
          <w:b/>
        </w:rPr>
        <w:t>Élimination</w:t>
      </w:r>
      <w:r>
        <w:t xml:space="preserve"> : ~ 80 % fécale, ~ 9 % urinaire (principalement en métabolites).</w:t>
      </w:r>
    </w:p>
    <w:p>
      <w:pPr>
        <w:pStyle w:val="ListBullet"/>
      </w:pPr>
      <w:r/>
      <w:r>
        <w:rPr>
          <w:b/>
        </w:rPr>
        <w:t>Insuffisance rénale</w:t>
      </w:r>
      <w:r>
        <w:t xml:space="preserve"> : pas d'adaptation posologique stricte en cas d'insuffisance modérée, surveillance accrue.</w:t>
      </w:r>
    </w:p>
    <w:p>
      <w:pPr>
        <w:pStyle w:val="ListBullet"/>
      </w:pPr>
      <w:r/>
      <w:r>
        <w:rPr>
          <w:b/>
        </w:rPr>
        <w:t>Insuffisance hépatique</w:t>
      </w:r>
      <w:r>
        <w:t xml:space="preserve"> : réduction posologique en cas d'insuffisance modérée (dose max 80 mg/j) ; CI en cas d'insuffisance sévère.</w:t>
      </w:r>
    </w:p>
    <w:p>
      <w:r/>
      <w:r>
        <w:rPr>
          <w:b/>
        </w:rPr>
        <w:t>Notes, Règles d'Or &amp; Pièges au Comptoir :</w:t>
      </w:r>
      <w:r/>
    </w:p>
    <w:p>
      <w:pPr>
        <w:pStyle w:val="ListBullet"/>
      </w:pPr>
      <w:r/>
      <w:r>
        <w:rPr>
          <w:b/>
        </w:rPr>
        <w:t>Piège classique — Akathisie</w:t>
      </w:r>
      <w:r>
        <w:t xml:space="preserve"> : EI le plus fréquent et le plus sous-diagnostiqué.</w:t>
      </w:r>
    </w:p>
    <w:p>
      <w:pPr>
        <w:pStyle w:val="ListBullet"/>
      </w:pPr>
      <w:r/>
      <w:r>
        <w:rPr>
          <w:b/>
        </w:rPr>
        <w:t>Piège classique — Mauvaise absorption</w:t>
      </w:r>
      <w:r>
        <w:t xml:space="preserve"> : la lurasidone prise à jeun a une biodisponibilité divisée par 2 — d'où la nécessité absolue de la prendre avec un repas.</w:t>
      </w:r>
    </w:p>
    <w:p>
      <w:pPr>
        <w:pStyle w:val="ListBullet"/>
      </w:pPr>
      <w:r/>
      <w:r>
        <w:rPr>
          <w:b/>
        </w:rPr>
        <w:t>Piège classique — Interactions CYP3A4</w:t>
      </w:r>
      <w:r>
        <w:t xml:space="preserve"> : la lurasidone est très sensible aux inducteurs/inhibiteurs CYP3A4. Toujours vérifier le traitement associé.</w:t>
      </w:r>
    </w:p>
    <w:p>
      <w:pPr>
        <w:pStyle w:val="ListBullet"/>
      </w:pPr>
      <w:r/>
      <w:r>
        <w:rPr>
          <w:b/>
        </w:rPr>
        <w:t>Règle de prise</w:t>
      </w:r>
      <w:r>
        <w:t xml:space="preserve"> : pendant un repas obligatoirement, en 1 prise.</w:t>
      </w:r>
    </w:p>
    <w:p>
      <w:pPr>
        <w:pStyle w:val="ListBullet"/>
      </w:pPr>
      <w:r/>
      <w:r>
        <w:rPr>
          <w:b/>
        </w:rPr>
        <w:t>Préparation et Conservation</w:t>
      </w:r>
      <w:r>
        <w:t xml:space="preserve"> : conservation à température &lt; 25 °C.</w:t>
      </w:r>
    </w:p>
    <w:p>
      <w:pPr>
        <w:pStyle w:val="ListBullet"/>
      </w:pPr>
      <w:r/>
      <w:r>
        <w:rPr>
          <w:b/>
        </w:rPr>
        <w:t>Piège du surdosage / Substitution</w:t>
      </w:r>
      <w:r>
        <w:t xml:space="preserve"> :</w:t>
      </w:r>
    </w:p>
    <w:p>
      <w:pPr>
        <w:pStyle w:val="ListBullet"/>
      </w:pPr>
      <w:r>
        <w:t>Surdosage : sédation, hypotension, allongement QTc, EPS — réanimation symptomatique</w:t>
      </w:r>
    </w:p>
    <w:p>
      <w:pPr>
        <w:pStyle w:val="ListBullet"/>
      </w:pPr>
      <w:r/>
      <w:r>
        <w:rPr>
          <w:b/>
        </w:rPr>
        <w:t>Substitution</w:t>
      </w:r>
      <w:r>
        <w:t xml:space="preserve"> : switch possible vers aripiprazole (profil métabolique neutre équivalent), ziprasidone (mais retirée du marché algérien), ou vers d'autres AP-2G selon le profil souhaité</w:t>
      </w:r>
    </w:p>
    <w:p>
      <w:pPr>
        <w:pStyle w:val="ListBullet"/>
      </w:pPr>
      <w:r>
        <w:t xml:space="preserve">Attention à ne pas confondre la </w:t>
      </w:r>
      <w:r>
        <w:rPr>
          <w:b/>
        </w:rPr>
        <w:t>lurasidone</w:t>
      </w:r>
      <w:r>
        <w:t xml:space="preserve"> avec la </w:t>
      </w:r>
      <w:r>
        <w:rPr>
          <w:b/>
        </w:rPr>
        <w:t>levosulpiride</w:t>
      </w:r>
      <w:r>
        <w:t xml:space="preserve"> (prokinétique antagoniste D2)</w:t>
      </w:r>
    </w:p>
    <w:p>
      <w:pPr>
        <w:pStyle w:val="Heading2"/>
      </w:pPr>
      <w:r>
        <w:t>84.2 — Sous-classe : Antipsychotiques - Atypiques (3e génération - agoniste partiel D2)</w:t>
      </w:r>
    </w:p>
    <w:p>
      <w:pPr>
        <w:pStyle w:val="Heading3"/>
      </w:pPr>
      <w:r>
        <w:t>Introduction à la sous-classe</w:t>
      </w:r>
    </w:p>
    <w:p>
      <w:r>
        <w:t xml:space="preserve">Les </w:t>
      </w:r>
      <w:r>
        <w:rPr>
          <w:b/>
        </w:rPr>
        <w:t>antipsychotiques atypiques de troisième génération (AP-3G)</w:t>
      </w:r>
      <w:r>
        <w:t xml:space="preserve">, également appelés </w:t>
      </w:r>
      <w:r>
        <w:rPr>
          <w:b/>
        </w:rPr>
        <w:t>"agonistes partiels D2"</w:t>
      </w:r>
      <w:r>
        <w:t xml:space="preserve"> ou </w:t>
      </w:r>
      <w:r>
        <w:rPr>
          <w:b/>
        </w:rPr>
        <w:t>stabilisateurs dopaminergiques</w:t>
      </w:r>
      <w:r>
        <w:t>, représentent une évolution conceptuelle majeure de la psychopharmacologie introduite en clinique depuis le début des années 2000. Le premier représentant — et à ce jour le seul de la classe dans le contexte clinique algérien — est l'</w:t>
      </w:r>
      <w:r>
        <w:rPr>
          <w:b/>
        </w:rPr>
        <w:t>aripiprazole</w:t>
      </w:r>
      <w:r>
        <w:t xml:space="preserve"> (Abilify), commercialisé depuis 2002 (Otsuka/Bristol-Myers Squibb). L'aripiprazole introduit un </w:t>
      </w:r>
      <w:r>
        <w:rPr>
          <w:b/>
        </w:rPr>
        <w:t>paradigme pharmacologique radicalement différent</w:t>
      </w:r>
      <w:r>
        <w:t xml:space="preserve"> : celui de la </w:t>
      </w:r>
      <w:r>
        <w:rPr>
          <w:b/>
        </w:rPr>
        <w:t>stabilisation dopaminergique</w:t>
      </w:r>
      <w:r>
        <w:t xml:space="preserve"> plutôt que du simple antagonisme.</w:t>
      </w:r>
    </w:p>
    <w:p>
      <w:r/>
      <w:r>
        <w:rPr>
          <w:b/>
        </w:rPr>
        <w:t>Concept d'agoniste partiel D2 :</w:t>
      </w:r>
      <w:r/>
    </w:p>
    <w:p>
      <w:r>
        <w:t xml:space="preserve">L'agoniste partiel est une molécule qui </w:t>
      </w:r>
      <w:r>
        <w:rPr>
          <w:b/>
        </w:rPr>
        <w:t>se lie au récepteur D2 avec une haute affinité</w:t>
      </w:r>
      <w:r>
        <w:t xml:space="preserve"> mais qui ne l'active qu'</w:t>
      </w:r>
      <w:r>
        <w:rPr>
          <w:b/>
        </w:rPr>
        <w:t>incomplètement</w:t>
      </w:r>
      <w:r>
        <w:t xml:space="preserve"> (activité intrinsèque faible, ~ 25-30 % de celle de la dopamine endogène). En pratique clinique, cela se traduit par :</w:t>
      </w:r>
    </w:p>
    <w:p>
      <w:pPr>
        <w:pStyle w:val="ListBullet"/>
      </w:pPr>
      <w:r/>
      <w:r>
        <w:rPr>
          <w:b/>
        </w:rPr>
        <w:t>Dans les voies dopaminergiques hyperactives</w:t>
      </w:r>
      <w:r>
        <w:t xml:space="preserve"> (voie mésolimbique en suractivité dans la schizophrénie → symptômes positifs) : l'agoniste partiel </w:t>
      </w:r>
      <w:r>
        <w:rPr>
          <w:b/>
        </w:rPr>
        <w:t>agit comme un antagoniste fonctionnel</w:t>
      </w:r>
      <w:r>
        <w:t xml:space="preserve"> en compétitant avec la dopamine endogène et en réduisant la stimulation post-synaptique → effet antipsychotique sur les symptômes positifs</w:t>
      </w:r>
    </w:p>
    <w:p>
      <w:pPr>
        <w:pStyle w:val="ListBullet"/>
      </w:pPr>
      <w:r/>
      <w:r>
        <w:rPr>
          <w:b/>
        </w:rPr>
        <w:t>Dans les voies dopaminergiques hypoactives</w:t>
      </w:r>
      <w:r>
        <w:t xml:space="preserve"> (voie mésocorticale déficitaire dans la schizophrénie → symptômes négatifs et cognitifs) : l'agoniste partiel </w:t>
      </w:r>
      <w:r>
        <w:rPr>
          <w:b/>
        </w:rPr>
        <w:t>agit comme un agoniste partiel</w:t>
      </w:r>
      <w:r>
        <w:t xml:space="preserve"> en complétant la stimulation dopaminergique résiduelle → amélioration des symptômes négatifs et cognitifs</w:t>
      </w:r>
    </w:p>
    <w:p>
      <w:pPr>
        <w:pStyle w:val="ListBullet"/>
      </w:pPr>
      <w:r/>
      <w:r>
        <w:rPr>
          <w:b/>
        </w:rPr>
        <w:t>Dans la voie tubéro-infundibulaire</w:t>
      </w:r>
      <w:r>
        <w:t xml:space="preserve"> (contrôle de la prolactinémie) : l'agoniste partiel </w:t>
      </w:r>
      <w:r>
        <w:rPr>
          <w:b/>
        </w:rPr>
        <w:t>ne bloque pas la libération de prolactine</w:t>
      </w:r>
      <w:r>
        <w:t xml:space="preserve"> (contrairement aux antagonistes purs D2) → absence d'hyperprolactinémie, advantage majeur par rapport à la rispéridone</w:t>
      </w:r>
    </w:p>
    <w:p>
      <w:pPr>
        <w:pStyle w:val="ListBullet"/>
      </w:pPr>
      <w:r/>
      <w:r>
        <w:rPr>
          <w:b/>
        </w:rPr>
        <w:t>Dans la voie nigro-striée</w:t>
      </w:r>
      <w:r>
        <w:t xml:space="preserve"> (motricité) : l'agoniste partiel </w:t>
      </w:r>
      <w:r>
        <w:rPr>
          <w:b/>
        </w:rPr>
        <w:t>n'induit pas d'EPS</w:t>
      </w:r>
      <w:r>
        <w:t xml:space="preserve"> à dose thérapeutique (occupation D2 &gt; 95 % mais activité intrinsèque résiduelle suffisante) → profil atypique préservé</w:t>
      </w:r>
    </w:p>
    <w:p>
      <w:r>
        <w:t xml:space="preserve">L'aripiprazole possède également une </w:t>
      </w:r>
      <w:r>
        <w:rPr>
          <w:b/>
        </w:rPr>
        <w:t>activité agoniste partielle 5-HT1A</w:t>
      </w:r>
      <w:r>
        <w:t xml:space="preserve"> (anxiolyse, amélioration cognitive, potentialisation de la neurotransmission préfrontale) et un </w:t>
      </w:r>
      <w:r>
        <w:rPr>
          <w:b/>
        </w:rPr>
        <w:t>antagonisme 5-HT2A</w:t>
      </w:r>
      <w:r>
        <w:t xml:space="preserve"> (profil atypique classique). Ce profil pharmacologique unique lui confère un </w:t>
      </w:r>
      <w:r>
        <w:rPr>
          <w:b/>
        </w:rPr>
        <w:t>profil d'effets indésirables distinctif</w:t>
      </w:r>
      <w:r>
        <w:t xml:space="preserve"> : profil métabolique neutre, absence d'hyperprolactinémie, faible sédation, mais </w:t>
      </w:r>
      <w:r>
        <w:rPr>
          <w:b/>
        </w:rPr>
        <w:t>risque d'akathisie</w:t>
      </w:r>
      <w:r>
        <w:t xml:space="preserve"> (liée à l'occupation D2 élevée), et </w:t>
      </w:r>
      <w:r>
        <w:rPr>
          <w:b/>
        </w:rPr>
        <w:t>risque de troubles du contrôle des impulsions</w:t>
      </w:r>
      <w:r>
        <w:t xml:space="preserve"> (jeu pathologique, hypersexualité, achats compulsifs — liés à l'agonisme D2/5-HT1A dans le circuit de récompense).</w:t>
      </w:r>
    </w:p>
    <w:p>
      <w:r/>
      <w:r>
        <w:rPr>
          <w:b/>
        </w:rPr>
        <w:t>Positionnement thérapeutique :</w:t>
      </w:r>
      <w:r/>
    </w:p>
    <w:p>
      <w:pPr>
        <w:pStyle w:val="ListBullet"/>
      </w:pPr>
      <w:r/>
      <w:r>
        <w:rPr>
          <w:b/>
        </w:rPr>
        <w:t>AP-3G de 1re intention</w:t>
      </w:r>
      <w:r>
        <w:t xml:space="preserve"> chez les patients à risque métabolique (jeunes, ATCD familiaux de diabète, obésité préexistante)</w:t>
      </w:r>
    </w:p>
    <w:p>
      <w:pPr>
        <w:pStyle w:val="ListBullet"/>
      </w:pPr>
      <w:r/>
      <w:r>
        <w:rPr>
          <w:b/>
        </w:rPr>
        <w:t>AP-3G de 1re intention</w:t>
      </w:r>
      <w:r>
        <w:t xml:space="preserve"> chez les patients présentant une hyperprolactinémie symptomatique sous rispéridone ou autre AP-2G</w:t>
      </w:r>
    </w:p>
    <w:p>
      <w:pPr>
        <w:pStyle w:val="ListBullet"/>
      </w:pPr>
      <w:r/>
      <w:r>
        <w:rPr>
          <w:b/>
        </w:rPr>
        <w:t>AP-3G de choix chez l'adolescent et le jeune adulte</w:t>
      </w:r>
      <w:r>
        <w:t xml:space="preserve"> (meilleur profil métabolique pour le développement à long terme)</w:t>
      </w:r>
    </w:p>
    <w:p>
      <w:pPr>
        <w:pStyle w:val="ListBullet"/>
      </w:pPr>
      <w:r/>
      <w:r>
        <w:rPr>
          <w:b/>
        </w:rPr>
        <w:t>AP-3G utile en switch</w:t>
      </w:r>
      <w:r>
        <w:t xml:space="preserve"> depuis un autre AP-2G en cas d'intolérance métabolique ou d'hyperprolactinémie</w:t>
      </w:r>
    </w:p>
    <w:p>
      <w:r/>
      <w:r>
        <w:rPr>
          <w:b/>
        </w:rPr>
        <w:t>Formes disponibles :</w:t>
      </w:r>
      <w:r/>
    </w:p>
    <w:p>
      <w:pPr>
        <w:pStyle w:val="ListBullet"/>
      </w:pPr>
      <w:r>
        <w:t>Formes orales solides (comprimés 1, 5, 10, 15, 20, 30 mg) — nombreuses spécialités génériques disponibles en Algérie</w:t>
      </w:r>
    </w:p>
    <w:p>
      <w:pPr>
        <w:pStyle w:val="ListBullet"/>
      </w:pPr>
      <w:r>
        <w:t>Formes orodispersibles</w:t>
      </w:r>
    </w:p>
    <w:p>
      <w:pPr>
        <w:pStyle w:val="ListBullet"/>
      </w:pPr>
      <w:r>
        <w:t>Solution buvable 1 mg/mL</w:t>
      </w:r>
    </w:p>
    <w:p>
      <w:pPr>
        <w:pStyle w:val="ListBullet"/>
      </w:pPr>
      <w:r>
        <w:t>Forme injectable IM LP mensuelle (Abilify Maintena — disponible en Algérie)</w:t>
      </w:r>
    </w:p>
    <w:p>
      <w:pPr>
        <w:pStyle w:val="ListBullet"/>
      </w:pPr>
      <w:r>
        <w:t>Forme injectable LP mensuelle alternative (Abilify Maintena à dépot mensuel)</w:t>
      </w:r>
    </w:p>
    <w:p>
      <w:r>
        <w:t>Le marché algérien est très fourni en aripiprazole, avec une dizaine de spécialités génériques actives et la marque princeps (Abilify) encore disponible, témoignant du positionnement central de cette molécule dans la stratégie thérapeutique antipsychotique moderne.</w:t>
      </w:r>
    </w:p>
    <w:p>
      <w:pPr>
        <w:pStyle w:val="Heading3"/>
      </w:pPr>
      <w:r>
        <w:t>7. DCI : Aripiprazole (Seule)</w:t>
      </w:r>
    </w:p>
    <w:p>
      <w:r>
        <w:t xml:space="preserve">L'aripiprazole est l'antipsychotique de 3e génération historique et le seul de sa classe disponible en clinique (la bxtrapine, autre agoniste partiel D2, est restée au stade expérimental). Introduit en 2002 (Otsuka/BMS), il a transformé la prise en charge antipsychotique par son </w:t>
      </w:r>
      <w:r>
        <w:rPr>
          <w:b/>
        </w:rPr>
        <w:t>mécanisme d'agoniste partiel D2 et 5-HT1A</w:t>
      </w:r>
      <w:r>
        <w:t xml:space="preserve"> qui lui confère un profil d'efficacité équivalent aux autres AP-2G dans la schizophrénie et le trouble bipolaire, mais avec un </w:t>
      </w:r>
      <w:r>
        <w:rPr>
          <w:b/>
        </w:rPr>
        <w:t>profil métabolique neutre</w:t>
      </w:r>
      <w:r>
        <w:t xml:space="preserve"> (prise de poids minime, peu d'effet sur glycémie et lipides), une </w:t>
      </w:r>
      <w:r>
        <w:rPr>
          <w:b/>
        </w:rPr>
        <w:t>absence d'hyperprolactinémie</w:t>
      </w:r>
      <w:r>
        <w:t xml:space="preserve"> (avantage majeur), une </w:t>
      </w:r>
      <w:r>
        <w:rPr>
          <w:b/>
        </w:rPr>
        <w:t>faible sédation</w:t>
      </w:r>
      <w:r>
        <w:t xml:space="preserve">, et un </w:t>
      </w:r>
      <w:r>
        <w:rPr>
          <w:b/>
        </w:rPr>
        <w:t>faible risque d'EPS</w:t>
      </w:r>
      <w:r>
        <w:t>. Sa rançon est le risque d'</w:t>
      </w:r>
      <w:r>
        <w:rPr>
          <w:b/>
        </w:rPr>
        <w:t>akathisie</w:t>
      </w:r>
      <w:r>
        <w:t xml:space="preserve"> (lié à l'occupation D2 élevée), et surtout de </w:t>
      </w:r>
      <w:r>
        <w:rPr>
          <w:b/>
        </w:rPr>
        <w:t>troubles du contrôle des impulsions</w:t>
      </w:r>
      <w:r>
        <w:t xml:space="preserve"> (jeu pathologique, hypersexualité, achats compulsifs — effet paradoxal de l'agonisme D2 dans le circuit de récompense). L'aripiprazole a également des indications AMM étendues : schizophrénie, trouble bipolaire (manie, prévention), dépression majeure résistante (en association), trouble schizo-affectif, iritabilité dans l'autisme enfant/adolescent. Le marché algérien est extrêmement fourni (15+ spécialités actives), avec formes orales solides, orodispersibles, solution buvable, et forme injectable LP mensuelle (Abilify Maintena).</w:t>
      </w:r>
    </w:p>
    <w:p>
      <w:r/>
      <w:r>
        <w:rPr>
          <w:b/>
        </w:rPr>
        <w:t>Médicaments disponibles en Algérie (Marques, Laboratoires, Formes et Dosages) :</w:t>
      </w:r>
      <w:r/>
    </w:p>
    <w:p>
      <w:pPr>
        <w:pStyle w:val="ListBullet"/>
      </w:pPr>
      <w:r/>
      <w:r>
        <w:rPr>
          <w:b/>
        </w:rPr>
        <w:t>ABILIFY</w:t>
      </w:r>
      <w:r>
        <w:t xml:space="preserve"> (ABDI IBRAHIM OTSUKA ILAÇ SAN.VE TIC. A.Ş.) — marque princeps (co-développement Otsuka/Abdi Ibrahim)</w:t>
      </w:r>
    </w:p>
    <w:p>
      <w:pPr>
        <w:pStyle w:val="ListBullet"/>
      </w:pPr>
      <w:r>
        <w:t>Formes et Dosages : Comprimé 10 mg (B/28) ; Comprimé 15 mg (B/28)</w:t>
      </w:r>
    </w:p>
    <w:p>
      <w:pPr>
        <w:pStyle w:val="ListBullet"/>
      </w:pPr>
      <w:r>
        <w:t>Statut : Actif</w:t>
      </w:r>
    </w:p>
    <w:p>
      <w:pPr>
        <w:pStyle w:val="ListBullet"/>
      </w:pPr>
      <w:r/>
      <w:r>
        <w:rPr>
          <w:b/>
        </w:rPr>
        <w:t>ABDIFLY</w:t>
      </w:r>
      <w:r>
        <w:t xml:space="preserve"> (ABDI IBRAHIM REMEDE PHARMA)</w:t>
      </w:r>
    </w:p>
    <w:p>
      <w:pPr>
        <w:pStyle w:val="ListBullet"/>
      </w:pPr>
      <w:r>
        <w:t>Formes et Dosages : Comprimé 10 mg (B/28) ; Comprimé 15 mg (B/28)</w:t>
      </w:r>
    </w:p>
    <w:p>
      <w:pPr>
        <w:pStyle w:val="ListBullet"/>
      </w:pPr>
      <w:r>
        <w:t>Statut : Actif</w:t>
      </w:r>
    </w:p>
    <w:p>
      <w:pPr>
        <w:pStyle w:val="ListBullet"/>
      </w:pPr>
      <w:r/>
      <w:r>
        <w:rPr>
          <w:b/>
        </w:rPr>
        <w:t>ABILIZOLE</w:t>
      </w:r>
      <w:r>
        <w:t xml:space="preserve"> (EL KENDI INDUSTRIE DU MEDICAMENT)</w:t>
      </w:r>
    </w:p>
    <w:p>
      <w:pPr>
        <w:pStyle w:val="ListBullet"/>
      </w:pPr>
      <w:r>
        <w:t>Formes et Dosages : Comprimé 10 mg (B/30) ; Comprimé 15 mg (B/30) ; Comprimé dispersible sécable 10 mg (B/30) ; Comprimé dispersible sécable 15 mg (B/30) ; Solution buvable 1 mg/mL (B/1 flacon de 120 mL)</w:t>
      </w:r>
    </w:p>
    <w:p>
      <w:pPr>
        <w:pStyle w:val="ListBullet"/>
      </w:pPr>
      <w:r>
        <w:t>Statut : Actif</w:t>
      </w:r>
    </w:p>
    <w:p>
      <w:pPr>
        <w:pStyle w:val="ListBullet"/>
      </w:pPr>
      <w:r/>
      <w:r>
        <w:rPr>
          <w:b/>
        </w:rPr>
        <w:t>ARIFLY</w:t>
      </w:r>
      <w:r>
        <w:t xml:space="preserve"> (LABORATOIRES DE DIAGNOSTIC MAGHREBINS-LDM)</w:t>
      </w:r>
    </w:p>
    <w:p>
      <w:pPr>
        <w:pStyle w:val="ListBullet"/>
      </w:pPr>
      <w:r>
        <w:t>Formes et Dosages : Comprimé 10 mg (B/30)</w:t>
      </w:r>
    </w:p>
    <w:p>
      <w:pPr>
        <w:pStyle w:val="ListBullet"/>
      </w:pPr>
      <w:r>
        <w:t>Statut : Actif</w:t>
      </w:r>
    </w:p>
    <w:p>
      <w:pPr>
        <w:pStyle w:val="ListBullet"/>
      </w:pPr>
      <w:r/>
      <w:r>
        <w:rPr>
          <w:b/>
        </w:rPr>
        <w:t>ARIFY</w:t>
      </w:r>
      <w:r>
        <w:t xml:space="preserve"> (WORLD MEDECINE LIMITED)</w:t>
      </w:r>
    </w:p>
    <w:p>
      <w:pPr>
        <w:pStyle w:val="ListBullet"/>
      </w:pPr>
      <w:r>
        <w:t>Formes et Dosages : Comprimé 10 mg (B/30) ; Comprimé 15 mg (B/30)</w:t>
      </w:r>
    </w:p>
    <w:p>
      <w:pPr>
        <w:pStyle w:val="ListBullet"/>
      </w:pPr>
      <w:r>
        <w:t>Statut : Actif</w:t>
      </w:r>
    </w:p>
    <w:p>
      <w:pPr>
        <w:pStyle w:val="ListBullet"/>
      </w:pPr>
      <w:r/>
      <w:r>
        <w:rPr>
          <w:b/>
        </w:rPr>
        <w:t>ARINIA</w:t>
      </w:r>
      <w:r>
        <w:t xml:space="preserve"> (HIKMA PHARMA ALGERIA)</w:t>
      </w:r>
    </w:p>
    <w:p>
      <w:pPr>
        <w:pStyle w:val="ListBullet"/>
      </w:pPr>
      <w:r>
        <w:t>Formes et Dosages : Comprimé 10 mg (B/30) ; Comprimé 15 mg (B/30)</w:t>
      </w:r>
    </w:p>
    <w:p>
      <w:pPr>
        <w:pStyle w:val="ListBullet"/>
      </w:pPr>
      <w:r>
        <w:t>Statut : Actif</w:t>
      </w:r>
    </w:p>
    <w:p>
      <w:pPr>
        <w:pStyle w:val="ListBullet"/>
      </w:pPr>
      <w:r/>
      <w:r>
        <w:rPr>
          <w:b/>
        </w:rPr>
        <w:t>ARIPIPRAZOLE BEKER</w:t>
      </w:r>
      <w:r>
        <w:t xml:space="preserve"> (LABORATOIRES BEKER)</w:t>
      </w:r>
    </w:p>
    <w:p>
      <w:pPr>
        <w:pStyle w:val="ListBullet"/>
      </w:pPr>
      <w:r>
        <w:t>Formes et Dosages : Comprimé 10 mg (B/30) ; Comprimé 15 mg (B/30) ; Comprimé 20 mg (B/30)</w:t>
      </w:r>
    </w:p>
    <w:p>
      <w:pPr>
        <w:pStyle w:val="ListBullet"/>
      </w:pPr>
      <w:r>
        <w:t>Statut : Actif</w:t>
      </w:r>
    </w:p>
    <w:p>
      <w:pPr>
        <w:pStyle w:val="ListBullet"/>
      </w:pPr>
      <w:r/>
      <w:r>
        <w:rPr>
          <w:b/>
        </w:rPr>
        <w:t>ARIPRAZ</w:t>
      </w:r>
      <w:r>
        <w:t xml:space="preserve"> (FRATER-RAZES FORME SECHE)</w:t>
      </w:r>
    </w:p>
    <w:p>
      <w:pPr>
        <w:pStyle w:val="ListBullet"/>
      </w:pPr>
      <w:r>
        <w:t>Formes et Dosages : Comprimé 10 mg (B/30) ; Comprimé 15 mg (B/30) ; Comprimé 20 mg (B/30)</w:t>
      </w:r>
    </w:p>
    <w:p>
      <w:pPr>
        <w:pStyle w:val="ListBullet"/>
      </w:pPr>
      <w:r>
        <w:t>Statut : Actif</w:t>
      </w:r>
    </w:p>
    <w:p>
      <w:pPr>
        <w:pStyle w:val="ListBullet"/>
      </w:pPr>
      <w:r/>
      <w:r>
        <w:rPr>
          <w:b/>
        </w:rPr>
        <w:t>ARPETAB</w:t>
      </w:r>
      <w:r>
        <w:t xml:space="preserve"> (TABUK ALGERIE)</w:t>
      </w:r>
    </w:p>
    <w:p>
      <w:pPr>
        <w:pStyle w:val="ListBullet"/>
      </w:pPr>
      <w:r>
        <w:t>Formes et Dosages : Comprimé 10 mg (B/30) ; Comprimé 15 mg (B/30)</w:t>
      </w:r>
    </w:p>
    <w:p>
      <w:pPr>
        <w:pStyle w:val="ListBullet"/>
      </w:pPr>
      <w:r>
        <w:t>Statut : Actif</w:t>
      </w:r>
    </w:p>
    <w:p>
      <w:pPr>
        <w:pStyle w:val="ListBullet"/>
      </w:pPr>
      <w:r/>
      <w:r>
        <w:rPr>
          <w:b/>
        </w:rPr>
        <w:t>ZOLIFY</w:t>
      </w:r>
      <w:r>
        <w:t xml:space="preserve"> (BIOPHARM)</w:t>
      </w:r>
    </w:p>
    <w:p>
      <w:pPr>
        <w:pStyle w:val="ListBullet"/>
      </w:pPr>
      <w:r>
        <w:t>Formes et Dosages : Comprimé 10 mg (B/30) ; Comprimé 15 mg (B/30) ; Comprimé 20 mg (B/30) ; Solution buvable 1 mg/mL (B/1 flacon de 150 mL)</w:t>
      </w:r>
    </w:p>
    <w:p>
      <w:pPr>
        <w:pStyle w:val="ListBullet"/>
      </w:pPr>
      <w:r>
        <w:t>Statut : Actif</w:t>
      </w:r>
    </w:p>
    <w:p>
      <w:pPr>
        <w:pStyle w:val="ListBullet"/>
      </w:pPr>
      <w:r/>
      <w:r>
        <w:rPr>
          <w:b/>
        </w:rPr>
        <w:t>ARIPIPRAZOLE LDM</w:t>
      </w:r>
      <w:r>
        <w:t xml:space="preserve"> (LABORATOIRES DE DIAGNOSTIC MAGHREBINS-LDM)</w:t>
      </w:r>
    </w:p>
    <w:p>
      <w:pPr>
        <w:pStyle w:val="ListBullet"/>
      </w:pPr>
      <w:r>
        <w:t>Formes et Dosages : Comprimé 15 mg (B/30)</w:t>
      </w:r>
    </w:p>
    <w:p>
      <w:pPr>
        <w:pStyle w:val="ListBullet"/>
      </w:pPr>
      <w:r>
        <w:t>Statut : Actif</w:t>
      </w:r>
    </w:p>
    <w:p>
      <w:pPr>
        <w:pStyle w:val="ListBullet"/>
      </w:pPr>
      <w:r/>
      <w:r>
        <w:rPr>
          <w:b/>
        </w:rPr>
        <w:t>ABDIFLY OD</w:t>
      </w:r>
      <w:r>
        <w:t xml:space="preserve"> (ABDI IBRAHIM REMEDE PHARMA) — forme orodispersible</w:t>
      </w:r>
    </w:p>
    <w:p>
      <w:pPr>
        <w:pStyle w:val="ListBullet"/>
      </w:pPr>
      <w:r>
        <w:t>Formes et Dosages : Comprimé orodispersible 10 mg (B/28) ; Comprimé orodispersible 15 mg (B/28)</w:t>
      </w:r>
    </w:p>
    <w:p>
      <w:pPr>
        <w:pStyle w:val="ListBullet"/>
      </w:pPr>
      <w:r>
        <w:t>Statut : Actif</w:t>
      </w:r>
    </w:p>
    <w:p>
      <w:pPr>
        <w:pStyle w:val="ListBullet"/>
      </w:pPr>
      <w:r/>
      <w:r>
        <w:rPr>
          <w:b/>
        </w:rPr>
        <w:t>ARIPIPRAZOLE BEKER ORO</w:t>
      </w:r>
      <w:r>
        <w:t xml:space="preserve"> (LABORATOIRES BEKER) — forme orodispersible</w:t>
      </w:r>
    </w:p>
    <w:p>
      <w:pPr>
        <w:pStyle w:val="ListBullet"/>
      </w:pPr>
      <w:r>
        <w:t>Formes et Dosages : Comprimé orodispersible 10 mg (B/30) ; Comprimé orodispersible 15 mg (B/30)</w:t>
      </w:r>
    </w:p>
    <w:p>
      <w:pPr>
        <w:pStyle w:val="ListBullet"/>
      </w:pPr>
      <w:r>
        <w:t>Statut : Actif</w:t>
      </w:r>
    </w:p>
    <w:p>
      <w:pPr>
        <w:pStyle w:val="ListBullet"/>
      </w:pPr>
      <w:r/>
      <w:r>
        <w:rPr>
          <w:b/>
        </w:rPr>
        <w:t>ABILIFY MAINTENA</w:t>
      </w:r>
      <w:r>
        <w:t xml:space="preserve"> (H. LUNDBECK A/S) — forme injectable LP mensuelle</w:t>
      </w:r>
    </w:p>
    <w:p>
      <w:pPr>
        <w:pStyle w:val="ListBullet"/>
      </w:pPr>
      <w:r>
        <w:t>Formes et Dosages : Poudre et solvant pour suspension injectable à libération prolongée 400 mg (boîte de 1 seringue)</w:t>
      </w:r>
    </w:p>
    <w:p>
      <w:pPr>
        <w:pStyle w:val="ListBullet"/>
      </w:pPr>
      <w:r>
        <w:t>Statut : Actif (un des dosages retiré, mais forme disponible)</w:t>
      </w:r>
    </w:p>
    <w:p>
      <w:r/>
      <w:r>
        <w:rPr>
          <w:b/>
        </w:rPr>
        <w:t>Sous-classe et Mécanisme d'action :</w:t>
      </w:r>
      <w:r/>
    </w:p>
    <w:p>
      <w:pPr>
        <w:pStyle w:val="ListBullet"/>
      </w:pPr>
      <w:r/>
      <w:r>
        <w:rPr>
          <w:b/>
        </w:rPr>
        <w:t>Sous-classe</w:t>
      </w:r>
      <w:r>
        <w:t xml:space="preserve"> : Antipsychotique atypique de 3e génération — quinolinone, agoniste partiel D2/5-HT1A (le seul de sa classe).</w:t>
      </w:r>
    </w:p>
    <w:p>
      <w:pPr>
        <w:pStyle w:val="ListBullet"/>
      </w:pPr>
      <w:r/>
      <w:r>
        <w:rPr>
          <w:b/>
        </w:rPr>
        <w:t>Mécanisme d'action</w:t>
      </w:r>
      <w:r>
        <w:t xml:space="preserve"> : l'aripiprazole possède un profil pharmacologique unique, distinct de tous les autres antipsychotiques :</w:t>
      </w:r>
    </w:p>
    <w:p>
      <w:pPr>
        <w:pStyle w:val="ListBullet"/>
      </w:pPr>
      <w:r/>
      <w:r>
        <w:rPr>
          <w:b/>
        </w:rPr>
        <w:t>Agoniste partiel D2</w:t>
      </w:r>
      <w:r>
        <w:t xml:space="preserve"> (activité intrinsèque ~ 25-30 % de la dopamine) — occupation D2 &gt; 95 % à dose thérapeutique, mais l'activité intrinsèque résiduelle évite le blocage complet → effet "stabilisateur dopaminergique"</w:t>
      </w:r>
    </w:p>
    <w:p>
      <w:pPr>
        <w:pStyle w:val="ListBullet"/>
      </w:pPr>
      <w:r>
        <w:t>Dans les voies hyperactives (mésolimbique) → antagonisme fonctionnel (effet antipsychotique sur symptômes positifs)</w:t>
      </w:r>
    </w:p>
    <w:p>
      <w:pPr>
        <w:pStyle w:val="ListBullet"/>
      </w:pPr>
      <w:r>
        <w:t>Dans les voies hypoactives (mésocorticale) → agonisme partiel (amélioration symptômes négatifs et cognitifs)</w:t>
      </w:r>
    </w:p>
    <w:p>
      <w:pPr>
        <w:pStyle w:val="ListBullet"/>
      </w:pPr>
      <w:r>
        <w:t xml:space="preserve">Dans la voie tubéro-infundibulaire → pas de blocage complet → </w:t>
      </w:r>
      <w:r>
        <w:rPr>
          <w:b/>
        </w:rPr>
        <w:t>absence d'hyperprolactinémie</w:t>
      </w:r>
      <w:r>
        <w:t xml:space="preserve"> (avantage majeur)</w:t>
      </w:r>
    </w:p>
    <w:p>
      <w:pPr>
        <w:pStyle w:val="ListBullet"/>
      </w:pPr>
      <w:r>
        <w:t>Dans la voie nigro-striée → pas d'EPS à dose thérapeutique</w:t>
      </w:r>
    </w:p>
    <w:p>
      <w:pPr>
        <w:pStyle w:val="ListBullet"/>
      </w:pPr>
      <w:r/>
      <w:r>
        <w:rPr>
          <w:b/>
        </w:rPr>
        <w:t>Agoniste partiel 5-HT1A</w:t>
      </w:r>
      <w:r>
        <w:t xml:space="preserve"> (anxiolyse, amélioration cognitive, modulation sérotoninergique préfrontale)</w:t>
      </w:r>
    </w:p>
    <w:p>
      <w:pPr>
        <w:pStyle w:val="ListBullet"/>
      </w:pPr>
      <w:r/>
      <w:r>
        <w:rPr>
          <w:b/>
        </w:rPr>
        <w:t>Antagoniste 5-HT2A</w:t>
      </w:r>
      <w:r>
        <w:t xml:space="preserve"> (profil atypique classique)</w:t>
      </w:r>
    </w:p>
    <w:p>
      <w:pPr>
        <w:pStyle w:val="ListBullet"/>
      </w:pPr>
      <w:r/>
      <w:r>
        <w:rPr>
          <w:b/>
        </w:rPr>
        <w:t>Antagoniste 5-HT2C</w:t>
      </w:r>
      <w:r>
        <w:t xml:space="preserve"> (modulation de l'appétit, mais effet moins marqué que clozapine/olanzapine → peu de prise de poids)</w:t>
      </w:r>
    </w:p>
    <w:p>
      <w:pPr>
        <w:pStyle w:val="ListBullet"/>
      </w:pPr>
      <w:r/>
      <w:r>
        <w:rPr>
          <w:b/>
        </w:rPr>
        <w:t>Antagoniste 5-HT7</w:t>
      </w:r>
      <w:r>
        <w:t xml:space="preserve"> (modulation de l'humeur et du rythme circadien)</w:t>
      </w:r>
    </w:p>
    <w:p>
      <w:pPr>
        <w:pStyle w:val="ListBullet"/>
      </w:pPr>
      <w:r/>
      <w:r>
        <w:rPr>
          <w:b/>
        </w:rPr>
        <w:t>Antagoniste 5-HT6</w:t>
      </w:r>
      <w:r>
        <w:t xml:space="preserve"> (modulation cognitive)</w:t>
      </w:r>
    </w:p>
    <w:p>
      <w:pPr>
        <w:pStyle w:val="ListBullet"/>
      </w:pPr>
      <w:r/>
      <w:r>
        <w:rPr>
          <w:b/>
        </w:rPr>
        <w:t>Antagoniste D3</w:t>
      </w:r>
      <w:r>
        <w:t xml:space="preserve"> (potentialisation de la neurotransmission préfrontale)</w:t>
      </w:r>
    </w:p>
    <w:p>
      <w:pPr>
        <w:pStyle w:val="ListBullet"/>
      </w:pPr>
      <w:r/>
      <w:r>
        <w:rPr>
          <w:b/>
        </w:rPr>
        <w:t>Faible affinité H1</w:t>
      </w:r>
      <w:r>
        <w:t xml:space="preserve"> (peu de sédation, peu de prise de poids)</w:t>
      </w:r>
    </w:p>
    <w:p>
      <w:pPr>
        <w:pStyle w:val="ListBullet"/>
      </w:pPr>
      <w:r/>
      <w:r>
        <w:rPr>
          <w:b/>
        </w:rPr>
        <w:t>Pas d'affinité muscarinique significative</w:t>
      </w:r>
      <w:r>
        <w:t xml:space="preserve"> (peu d'effets atropiniques)</w:t>
      </w:r>
    </w:p>
    <w:p>
      <w:pPr>
        <w:pStyle w:val="ListBullet"/>
      </w:pPr>
      <w:r/>
      <w:r>
        <w:rPr>
          <w:b/>
        </w:rPr>
        <w:t>Faible affinité alpha-1 adrénergique</w:t>
      </w:r>
      <w:r>
        <w:t xml:space="preserve"> (peu d'hypotension orthostatique)</w:t>
      </w:r>
    </w:p>
    <w:p>
      <w:pPr>
        <w:pStyle w:val="ListBullet"/>
      </w:pPr>
      <w:r>
        <w:t>Métabolisme : CYP2D6 et CYP3A4 (métabolite actif déhydro-aripiprazole, demi-vie ~ 95 h — permettant une seule prise quotidienne). Les inhibiteurs CYP2D6 (fluoxétine, paroxétine) et CYP3A4 (kétoconazole, clarithromycine) augmentent les taux ; les inducteurs CYP3A4 (carbamazépine, rifampicine) les diminuent.</w:t>
      </w:r>
    </w:p>
    <w:p>
      <w:pPr>
        <w:pStyle w:val="ListBullet"/>
      </w:pPr>
      <w:r/>
      <w:r>
        <w:rPr>
          <w:b/>
        </w:rPr>
        <w:t>Demi-vie</w:t>
      </w:r>
      <w:r>
        <w:t xml:space="preserve"> très prolongée (~ 75 h pour la molécule mère, ~ 95 h pour le métabolite actif) — permettant une seule prise quotidienne et une bonne tolérance en cas d'oubli ponctuel.</w:t>
      </w:r>
    </w:p>
    <w:p>
      <w:r/>
      <w:r>
        <w:rPr>
          <w:b/>
        </w:rPr>
        <w:t>Profil Pharmacologique :</w:t>
      </w:r>
      <w:r/>
    </w:p>
    <w:p>
      <w:pPr>
        <w:pStyle w:val="ListBullet"/>
      </w:pPr>
      <w:r/>
      <w:r>
        <w:rPr>
          <w:b/>
        </w:rPr>
        <w:t>Indications</w:t>
      </w:r>
      <w:r>
        <w:t xml:space="preserve"> :</w:t>
      </w:r>
    </w:p>
    <w:p>
      <w:pPr>
        <w:pStyle w:val="ListBullet"/>
      </w:pPr>
      <w:r/>
      <w:r>
        <w:rPr>
          <w:b/>
        </w:rPr>
        <w:t>Schizophrénie</w:t>
      </w:r>
      <w:r>
        <w:t xml:space="preserve"> (toutes phases) — AMM</w:t>
      </w:r>
    </w:p>
    <w:p>
      <w:pPr>
        <w:pStyle w:val="ListBullet"/>
      </w:pPr>
      <w:r/>
      <w:r>
        <w:rPr>
          <w:b/>
        </w:rPr>
        <w:t>Trouble bipolaire</w:t>
      </w:r>
      <w:r>
        <w:t xml:space="preserve"> (manie aiguë, prévention des rechutes) — AMM</w:t>
      </w:r>
    </w:p>
    <w:p>
      <w:pPr>
        <w:pStyle w:val="ListBullet"/>
      </w:pPr>
      <w:r/>
      <w:r>
        <w:rPr>
          <w:b/>
        </w:rPr>
        <w:t>Dépression majeure résistante</w:t>
      </w:r>
      <w:r>
        <w:t xml:space="preserve"> (en association avec antidépresseur ISRS/IRSNa) — AMM</w:t>
      </w:r>
    </w:p>
    <w:p>
      <w:pPr>
        <w:pStyle w:val="ListBullet"/>
      </w:pPr>
      <w:r/>
      <w:r>
        <w:rPr>
          <w:b/>
        </w:rPr>
        <w:t>Trouble schizo-affectif</w:t>
      </w:r>
      <w:r>
        <w:t xml:space="preserve"> — AMM</w:t>
      </w:r>
    </w:p>
    <w:p>
      <w:pPr>
        <w:pStyle w:val="ListBullet"/>
      </w:pPr>
      <w:r/>
      <w:r>
        <w:rPr>
          <w:b/>
        </w:rPr>
        <w:t>Irritabilité dans l'autisme</w:t>
      </w:r>
      <w:r>
        <w:t xml:space="preserve"> (enfant et adolescent 6-17 ans) — AMM</w:t>
      </w:r>
    </w:p>
    <w:p>
      <w:pPr>
        <w:pStyle w:val="ListBullet"/>
      </w:pPr>
      <w:r/>
      <w:r>
        <w:rPr>
          <w:b/>
        </w:rPr>
        <w:t>Troubles du comportement dans la démence</w:t>
      </w:r>
      <w:r>
        <w:t xml:space="preserve"> (hors AMM, restricted) — risque mortalité majoré</w:t>
      </w:r>
    </w:p>
    <w:p>
      <w:pPr>
        <w:pStyle w:val="ListBullet"/>
      </w:pPr>
      <w:r/>
      <w:r>
        <w:rPr>
          <w:b/>
        </w:rPr>
        <w:t>Contre-indications</w:t>
      </w:r>
      <w:r>
        <w:t xml:space="preserve"> :</w:t>
      </w:r>
    </w:p>
    <w:p>
      <w:pPr>
        <w:pStyle w:val="ListBullet"/>
      </w:pPr>
      <w:r>
        <w:t>Hypersensibilité à l'aripiprazole</w:t>
      </w:r>
    </w:p>
    <w:p>
      <w:pPr>
        <w:pStyle w:val="ListBullet"/>
      </w:pPr>
      <w:r>
        <w:t>Allaitement (CI selon CRAT)</w:t>
      </w:r>
    </w:p>
    <w:p>
      <w:pPr>
        <w:pStyle w:val="ListBullet"/>
      </w:pPr>
      <w:r>
        <w:t>En association avec les inducteurs puissants du CYP3A4 (rifampicine) ou inhibiteurs puissants CYP2D6/CYP3A4 (adaptation de dose nécessaire)</w:t>
      </w:r>
    </w:p>
    <w:p>
      <w:pPr>
        <w:pStyle w:val="ListBullet"/>
      </w:pPr>
      <w:r/>
      <w:r>
        <w:rPr>
          <w:b/>
        </w:rPr>
        <w:t>Effets Indésirables</w:t>
      </w:r>
      <w:r>
        <w:t xml:space="preserve"> :</w:t>
      </w:r>
    </w:p>
    <w:p>
      <w:pPr>
        <w:pStyle w:val="ListBullet"/>
      </w:pPr>
      <w:r/>
      <w:r>
        <w:rPr>
          <w:b/>
        </w:rPr>
        <w:t>Akathisie</w:t>
      </w:r>
      <w:r>
        <w:t xml:space="preserve"> (EI le plus fréquent et caractéristique, 10-25 % — dose-dépendante, surtout en début de traitement et à l'initiation de la forme LP IM)</w:t>
      </w:r>
    </w:p>
    <w:p>
      <w:pPr>
        <w:pStyle w:val="ListBullet"/>
      </w:pPr>
      <w:r/>
      <w:r>
        <w:rPr>
          <w:b/>
        </w:rPr>
        <w:t>Insomnie, agitation</w:t>
      </w:r>
      <w:r>
        <w:t xml:space="preserve"> (paradoxalement — l'aripiprazole est plutôt activating)</w:t>
      </w:r>
    </w:p>
    <w:p>
      <w:pPr>
        <w:pStyle w:val="ListBullet"/>
      </w:pPr>
      <w:r/>
      <w:r>
        <w:rPr>
          <w:b/>
        </w:rPr>
        <w:t>Céphalées</w:t>
      </w:r>
      <w:r/>
    </w:p>
    <w:p>
      <w:pPr>
        <w:pStyle w:val="ListBullet"/>
      </w:pPr>
      <w:r/>
      <w:r>
        <w:rPr>
          <w:b/>
        </w:rPr>
        <w:t>Sédation</w:t>
      </w:r>
      <w:r>
        <w:t xml:space="preserve"> modérée (10-15 %) — moins marquée que olanzapine, quétiapine, clozapine</w:t>
      </w:r>
    </w:p>
    <w:p>
      <w:pPr>
        <w:pStyle w:val="ListBullet"/>
      </w:pPr>
      <w:r/>
      <w:r>
        <w:rPr>
          <w:b/>
        </w:rPr>
        <w:t>Prise de poids</w:t>
      </w:r>
      <w:r>
        <w:t xml:space="preserve"> minime (1-2 kg en moyenne à 1 an — l'un des AP-2G les moins obésigènes avec ziprasidone et lurasidone)</w:t>
      </w:r>
    </w:p>
    <w:p>
      <w:pPr>
        <w:pStyle w:val="ListBullet"/>
      </w:pPr>
      <w:r/>
      <w:r>
        <w:rPr>
          <w:b/>
        </w:rPr>
        <w:t>Risque métabolique</w:t>
      </w:r>
      <w:r>
        <w:t xml:space="preserve"> minime (glycémie, lipides inchangés)</w:t>
      </w:r>
    </w:p>
    <w:p>
      <w:pPr>
        <w:pStyle w:val="ListBullet"/>
      </w:pPr>
      <w:r/>
      <w:r>
        <w:rPr>
          <w:b/>
        </w:rPr>
        <w:t>Hyperprolactinémie</w:t>
      </w:r>
      <w:r>
        <w:t xml:space="preserve"> rare (&lt; 5 % — généralement transitoire et asymptomatique, à distinguer de la rispéridone qui l'induit quasi-systématiquement)</w:t>
      </w:r>
    </w:p>
    <w:p>
      <w:pPr>
        <w:pStyle w:val="ListBullet"/>
      </w:pPr>
      <w:r/>
      <w:r>
        <w:rPr>
          <w:b/>
        </w:rPr>
        <w:t>EPS</w:t>
      </w:r>
      <w:r>
        <w:t xml:space="preserve"> : modérés et rares (parkinsonisme &lt; 5 %, dyskinésie tardive rare)</w:t>
      </w:r>
    </w:p>
    <w:p>
      <w:pPr>
        <w:pStyle w:val="ListBullet"/>
      </w:pPr>
      <w:r/>
      <w:r>
        <w:rPr>
          <w:b/>
        </w:rPr>
        <w:t>Allongement QTc</w:t>
      </w:r>
      <w:r>
        <w:t xml:space="preserve"> modéré (rarement significatif cliniquement)</w:t>
      </w:r>
    </w:p>
    <w:p>
      <w:pPr>
        <w:pStyle w:val="ListBullet"/>
      </w:pPr>
      <w:r/>
      <w:r>
        <w:rPr>
          <w:b/>
        </w:rPr>
        <w:t>Syndrome malin des neuroleptiques</w:t>
      </w:r>
      <w:r>
        <w:t xml:space="preserve"> (rare)</w:t>
      </w:r>
    </w:p>
    <w:p>
      <w:pPr>
        <w:pStyle w:val="ListBullet"/>
      </w:pPr>
      <w:r/>
      <w:r>
        <w:rPr>
          <w:b/>
        </w:rPr>
        <w:t>Convulsions</w:t>
      </w:r>
      <w:r>
        <w:t xml:space="preserve"> (rare, seuil abaissé)</w:t>
      </w:r>
    </w:p>
    <w:p>
      <w:pPr>
        <w:pStyle w:val="ListBullet"/>
      </w:pPr>
      <w:r/>
      <w:r>
        <w:rPr>
          <w:b/>
        </w:rPr>
        <w:t>Hypotension orthostatique</w:t>
      </w:r>
      <w:r>
        <w:t xml:space="preserve"> modérée (surtout initiation)</w:t>
      </w:r>
    </w:p>
    <w:p>
      <w:pPr>
        <w:pStyle w:val="ListBullet"/>
      </w:pPr>
      <w:r/>
      <w:r>
        <w:rPr>
          <w:b/>
        </w:rPr>
        <w:t>Troubles du contrôle des impulsions</w:t>
      </w:r>
      <w:r>
        <w:t xml:space="preserve"> (EI spécifique et paradoxal — jeu pathologique, hypersexualité, achats compulsifs, boulimie, trouble compulsif sexuel — incidence 5-15 %, parfois dramatique sur le plan médico-social ; lié à l'agonisme D2/5-HT1A dans le circuit de récompense mésolimbique)</w:t>
      </w:r>
    </w:p>
    <w:p>
      <w:pPr>
        <w:pStyle w:val="ListBullet"/>
      </w:pPr>
      <w:r/>
      <w:r>
        <w:rPr>
          <w:b/>
        </w:rPr>
        <w:t>Troubles métaboliques</w:t>
      </w:r>
      <w:r>
        <w:t xml:space="preserve"> minimes (avantage par rapport à olanzapine, clozapine)</w:t>
      </w:r>
    </w:p>
    <w:p>
      <w:pPr>
        <w:pStyle w:val="ListBullet"/>
      </w:pPr>
      <w:r/>
      <w:r>
        <w:rPr>
          <w:b/>
        </w:rPr>
        <w:t>Sécheresse buccale</w:t>
      </w:r>
      <w:r>
        <w:t xml:space="preserve"> (modérée)</w:t>
      </w:r>
    </w:p>
    <w:p>
      <w:pPr>
        <w:pStyle w:val="ListBullet"/>
      </w:pPr>
      <w:r/>
      <w:r>
        <w:rPr>
          <w:b/>
        </w:rPr>
        <w:t>Constipation</w:t>
      </w:r>
      <w:r>
        <w:t xml:space="preserve"> (modérée)</w:t>
      </w:r>
    </w:p>
    <w:p>
      <w:pPr>
        <w:pStyle w:val="ListBullet"/>
      </w:pPr>
      <w:r/>
      <w:r>
        <w:rPr>
          <w:b/>
        </w:rPr>
        <w:t>Risque d'AVC majoré en gériatrie</w:t>
      </w:r>
      <w:r>
        <w:t xml:space="preserve"> (démence)</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w:t>
      </w:r>
      <w:r>
        <w:t xml:space="preserve"> : poids, IMC, TA, glycémie à jeun, bilan lipidique, ECG (surtout si âge &gt; 50 ans ou ATCD cardiaques)</w:t>
      </w:r>
    </w:p>
    <w:p>
      <w:pPr>
        <w:pStyle w:val="ListBullet"/>
      </w:pPr>
      <w:r/>
      <w:r>
        <w:rPr>
          <w:b/>
        </w:rPr>
        <w:t>Surveillance métabolique</w:t>
      </w:r>
      <w:r>
        <w:t xml:space="preserve"> : à l'initiation, M3, M6 puis semestrielle (calendrier simplifié — la molécule est métaboliquement neutre)</w:t>
      </w:r>
    </w:p>
    <w:p>
      <w:pPr>
        <w:pStyle w:val="ListBullet"/>
      </w:pPr>
      <w:r/>
      <w:r>
        <w:rPr>
          <w:b/>
        </w:rPr>
        <w:t>Titration progressive</w:t>
      </w:r>
      <w:r>
        <w:t xml:space="preserve"> pour limiter l'akathisie (surtout chez le sujet âgé et à l'initiation de la forme LP IM — l'aripiprazole LP IM doit être précédé d'une période d'observation sous forme orale pour vérifier la tolérance)</w:t>
      </w:r>
    </w:p>
    <w:p>
      <w:pPr>
        <w:pStyle w:val="ListBullet"/>
      </w:pPr>
      <w:r/>
      <w:r>
        <w:rPr>
          <w:b/>
        </w:rPr>
        <w:t>Interrogatoire systématique sur les troubles du contrôle des impulsions</w:t>
      </w:r>
      <w:r>
        <w:t xml:space="preserve"> avant et pendant le traitement : "Avez-vous des envies irrésistibles de jouer, des comportements sexuels excessifs, des achats compulsifs ?" — à renouveler à chaque consultation</w:t>
      </w:r>
    </w:p>
    <w:p>
      <w:pPr>
        <w:pStyle w:val="ListBullet"/>
      </w:pPr>
      <w:r/>
      <w:r>
        <w:rPr>
          <w:b/>
        </w:rPr>
        <w:t>Conduite à Tenir</w:t>
      </w:r>
      <w:r>
        <w:t xml:space="preserve"> :</w:t>
      </w:r>
    </w:p>
    <w:p>
      <w:pPr>
        <w:pStyle w:val="ListBullet"/>
      </w:pPr>
      <w:r/>
      <w:r>
        <w:rPr>
          <w:b/>
        </w:rPr>
        <w:t>Si akathisie</w:t>
      </w:r>
      <w:r>
        <w:t xml:space="preserve"> : réduction de dose, propranolol 30-60 mg/j ou mésylate de pridinol, BZD courte durée</w:t>
      </w:r>
    </w:p>
    <w:p>
      <w:pPr>
        <w:pStyle w:val="ListBullet"/>
      </w:pPr>
      <w:r/>
      <w:r>
        <w:rPr>
          <w:b/>
        </w:rPr>
        <w:t>Si troubles du contrôle des impulsions</w:t>
      </w:r>
      <w:r>
        <w:t xml:space="preserve"> : arrêt immédiat et switch vers un autre AP-2G (olanzapine, rispéridone — qui sont antagonistes purs D2 et n'ont pas cet effet)</w:t>
      </w:r>
    </w:p>
    <w:p>
      <w:pPr>
        <w:pStyle w:val="ListBullet"/>
      </w:pPr>
      <w:r/>
      <w:r>
        <w:rPr>
          <w:b/>
        </w:rPr>
        <w:t>Si insomnie</w:t>
      </w:r>
      <w:r>
        <w:t xml:space="preserve"> : prise matinale (et non vespérale, l'aripiprazole étant activating)</w:t>
      </w:r>
    </w:p>
    <w:p>
      <w:pPr>
        <w:pStyle w:val="ListBullet"/>
      </w:pPr>
      <w:r/>
      <w:r>
        <w:rPr>
          <w:b/>
        </w:rPr>
        <w:t>Si somnolence</w:t>
      </w:r>
      <w:r>
        <w:t xml:space="preserve"> : prise vespérale, réduction de dose</w:t>
      </w:r>
    </w:p>
    <w:p>
      <w:r/>
      <w:r>
        <w:rPr>
          <w:b/>
        </w:rPr>
        <w:t>Interactions Importantes :</w:t>
      </w:r>
      <w:r/>
    </w:p>
    <w:p>
      <w:pPr>
        <w:pStyle w:val="ListBullet"/>
      </w:pPr>
      <w:r/>
      <w:r>
        <w:rPr>
          <w:b/>
        </w:rPr>
        <w:t>Aripiprazole + inhibiteurs CYP2D6</w:t>
      </w:r>
      <w:r>
        <w:t xml:space="preserve"> (fluoxétine, paroxétine, quinidine, bupropion) : augmentation des taux d'aripiprazole de 50-100 % → réduire la dose d'aripiprazole de 50 %</w:t>
      </w:r>
    </w:p>
    <w:p>
      <w:pPr>
        <w:pStyle w:val="ListBullet"/>
      </w:pPr>
      <w:r/>
      <w:r>
        <w:rPr>
          <w:b/>
        </w:rPr>
        <w:t>Aripiprazole + inhibiteurs CYP3A4</w:t>
      </w:r>
      <w:r>
        <w:t xml:space="preserve"> (kétoconazole, clarithromycine, ritonavir) : augmentation des taux d'aripiprazole → réduire la dose de 50 %</w:t>
      </w:r>
    </w:p>
    <w:p>
      <w:pPr>
        <w:pStyle w:val="ListBullet"/>
      </w:pPr>
      <w:r/>
      <w:r>
        <w:rPr>
          <w:b/>
        </w:rPr>
        <w:t>Aripiprazole + inducteurs CYP3A4</w:t>
      </w:r>
      <w:r>
        <w:t xml:space="preserve"> (carbamazépine, phénytoïne, rifampicine) : diminution des taux d'aripiprazole → augmenter la dose</w:t>
      </w:r>
    </w:p>
    <w:p>
      <w:pPr>
        <w:pStyle w:val="ListBullet"/>
      </w:pPr>
      <w:r/>
      <w:r>
        <w:rPr>
          <w:b/>
        </w:rPr>
        <w:t>Aripiprazole + allongeurs QTc</w:t>
      </w:r>
      <w:r>
        <w:t xml:space="preserve"> : effet additif torsadogène, surveillance ECG (mais l'aripiprazole est l'un des moins allongeurs de la classe)</w:t>
      </w:r>
    </w:p>
    <w:p>
      <w:pPr>
        <w:pStyle w:val="ListBullet"/>
      </w:pPr>
      <w:r/>
      <w:r>
        <w:rPr>
          <w:b/>
        </w:rPr>
        <w:t>Aripiprazole + dépresseurs SNC</w:t>
      </w:r>
      <w:r>
        <w:t xml:space="preserve"> (alcool, opioïdes, BZD) : potentialisation sédative (modérée)</w:t>
      </w:r>
    </w:p>
    <w:p>
      <w:pPr>
        <w:pStyle w:val="ListBullet"/>
      </w:pPr>
      <w:r/>
      <w:r>
        <w:rPr>
          <w:b/>
        </w:rPr>
        <w:t>Aripiprazole + antihypertenseurs</w:t>
      </w:r>
      <w:r>
        <w:t xml:space="preserve"> : hypotension orthostatique majorée (modérée)</w:t>
      </w:r>
    </w:p>
    <w:p>
      <w:pPr>
        <w:pStyle w:val="ListBullet"/>
      </w:pPr>
      <w:r/>
      <w:r>
        <w:rPr>
          <w:b/>
        </w:rPr>
        <w:t>Aripiprazole + lévodopa</w:t>
      </w:r>
      <w:r>
        <w:t xml:space="preserve"> : antagonisme partiel (l'aripiprazole est agoniste partiel D2 — peut potentialiser ou antagoniser selon la dose)</w:t>
      </w:r>
    </w:p>
    <w:p>
      <w:pPr>
        <w:pStyle w:val="ListBullet"/>
      </w:pPr>
      <w:r/>
      <w:r>
        <w:rPr>
          <w:b/>
        </w:rPr>
        <w:t>Aripiprazole + lithium</w:t>
      </w:r>
      <w:r>
        <w:t xml:space="preserve"> : risque majoré de syndrome malin (rare)</w:t>
      </w:r>
    </w:p>
    <w:p>
      <w:r/>
      <w:r>
        <w:rPr>
          <w:b/>
        </w:rPr>
        <w:t>Grossesse et Allaitement :</w:t>
      </w:r>
      <w:r/>
    </w:p>
    <w:p>
      <w:pPr>
        <w:pStyle w:val="ListBullet"/>
      </w:pPr>
      <w:r/>
      <w:r>
        <w:rPr>
          <w:b/>
        </w:rPr>
        <w:t>Grossesse</w:t>
      </w:r>
      <w:r>
        <w:t xml:space="preserve"> : selon CRAT, l'aripiprazole est l'un des AP-2G les mieux documentés. Pas de surrisque malformatif global démontré (données sur ~1500 grossesses exposées). Risque d'</w:t>
      </w:r>
      <w:r>
        <w:rPr>
          <w:b/>
        </w:rPr>
        <w:t>hypotonie néonatale transitoire</w:t>
      </w:r>
      <w:r>
        <w:t>, de détresse respiratoire, de syndrome de sevrage néonatal (tremblements, agitation, hypertonie), de troubles de succion. Risque métabolique minime (avantage par rapport à olanzapine, clozapine). À utiliser si nécessaire en privilégiant la dose minimale efficace. Surveillance néonatale renforcée (48 h en maternité). Échographie morphologique standard à 22 SA.</w:t>
      </w:r>
    </w:p>
    <w:p>
      <w:pPr>
        <w:pStyle w:val="ListBullet"/>
      </w:pPr>
      <w:r/>
      <w:r>
        <w:rPr>
          <w:b/>
        </w:rPr>
        <w:t>Allaitement</w:t>
      </w:r>
      <w:r>
        <w:t xml:space="preserve"> : selon CRAT, l'aripiprazole passe dans le lait maternel (rapport lait/plasma ~0,2), DRI ~7-8 % de la dose maternelle pondérale — </w:t>
      </w:r>
      <w:r>
        <w:rPr>
          <w:b/>
        </w:rPr>
        <w:t>au-dessus du seuil de préoccupation (10 %)</w:t>
      </w:r>
      <w:r>
        <w:t xml:space="preserve"> pour les doses maternelles élevées, mais </w:t>
      </w:r>
      <w:r>
        <w:rPr>
          <w:b/>
        </w:rPr>
        <w:t>en pratique acceptable pour des doses ≤ 15 mg/j</w:t>
      </w:r>
      <w:r>
        <w:t>. L'allaitement est possible sous surveillance stricte de la sédation, de la prise de poids et du développement neurologique du nourrisson. À éviter en cas de polymédication maternelle ou de dose &gt; 15 mg/j.</w:t>
      </w:r>
    </w:p>
    <w:p>
      <w:pPr>
        <w:pStyle w:val="ListBullet"/>
      </w:pPr>
      <w:r/>
      <w:r>
        <w:rPr>
          <w:b/>
        </w:rPr>
        <w:t>Précisions</w:t>
      </w:r>
      <w:r>
        <w:t xml:space="preserve"> : surveillance neurologique néonatale (48 h en maternité).</w:t>
      </w:r>
    </w:p>
    <w:p>
      <w:r/>
      <w:r>
        <w:rPr>
          <w:b/>
        </w:rPr>
        <w:t>Posologie et Mode d'administration (Standard) :</w:t>
      </w:r>
      <w:r/>
    </w:p>
    <w:p>
      <w:pPr>
        <w:pStyle w:val="ListBullet"/>
      </w:pPr>
      <w:r/>
      <w:r>
        <w:rPr>
          <w:b/>
        </w:rPr>
        <w:t>Adulte</w:t>
      </w:r>
      <w:r>
        <w:t xml:space="preserve"> :</w:t>
      </w:r>
    </w:p>
    <w:p>
      <w:pPr>
        <w:pStyle w:val="ListBullet"/>
      </w:pPr>
      <w:r/>
      <w:r>
        <w:rPr>
          <w:b/>
        </w:rPr>
        <w:t>Schizophrénie</w:t>
      </w:r>
      <w:r>
        <w:t xml:space="preserve"> : dose initiale 10-15 mg/j en une prise (le matin — l'aripiprazole étant activating), dose cible 10-30 mg/j, maximum 30 mg/j</w:t>
      </w:r>
    </w:p>
    <w:p>
      <w:pPr>
        <w:pStyle w:val="ListBullet"/>
      </w:pPr>
      <w:r/>
      <w:r>
        <w:rPr>
          <w:b/>
        </w:rPr>
        <w:t>Trouble bipolaire (manie)</w:t>
      </w:r>
      <w:r>
        <w:t xml:space="preserve"> : dose initiale 15 mg/j, dose cible 15-30 mg/j, maximum 30 mg/j</w:t>
      </w:r>
    </w:p>
    <w:p>
      <w:pPr>
        <w:pStyle w:val="ListBullet"/>
      </w:pPr>
      <w:r/>
      <w:r>
        <w:rPr>
          <w:b/>
        </w:rPr>
        <w:t>Dépression majeure résistante (en association avec ISRS)</w:t>
      </w:r>
      <w:r>
        <w:t xml:space="preserve"> : dose initiale 2-5 mg/j, dose cible 5-10 mg/j, maximum 15 mg/j</w:t>
      </w:r>
    </w:p>
    <w:p>
      <w:pPr>
        <w:pStyle w:val="ListBullet"/>
      </w:pPr>
      <w:r/>
      <w:r>
        <w:rPr>
          <w:b/>
        </w:rPr>
        <w:t>Irritabilité dans l'autisme (6-17 ans)</w:t>
      </w:r>
      <w:r>
        <w:t xml:space="preserve"> : dose initiale 2 mg/j, titration à 5 mg/j puis 10-15 mg/j</w:t>
      </w:r>
    </w:p>
    <w:p>
      <w:pPr>
        <w:pStyle w:val="ListBullet"/>
      </w:pPr>
      <w:r/>
      <w:r>
        <w:rPr>
          <w:b/>
        </w:rPr>
        <w:t>Sujet âgé</w:t>
      </w:r>
      <w:r>
        <w:t xml:space="preserve"> : dose initiale réduite (5-10 mg/j), titration prudente, dose cible 5-15 mg/j</w:t>
      </w:r>
    </w:p>
    <w:p>
      <w:pPr>
        <w:pStyle w:val="ListBullet"/>
      </w:pPr>
      <w:r/>
      <w:r>
        <w:rPr>
          <w:b/>
        </w:rPr>
        <w:t>Insuffisant hépatique</w:t>
      </w:r>
      <w:r>
        <w:t xml:space="preserve"> : pas d'adaptation posologique</w:t>
      </w:r>
    </w:p>
    <w:p>
      <w:pPr>
        <w:pStyle w:val="ListBullet"/>
      </w:pPr>
      <w:r/>
      <w:r>
        <w:rPr>
          <w:b/>
        </w:rPr>
        <w:t>Insuffisant rénal</w:t>
      </w:r>
      <w:r>
        <w:t xml:space="preserve"> : pas d'adaptation posologique</w:t>
      </w:r>
    </w:p>
    <w:p>
      <w:pPr>
        <w:pStyle w:val="ListBullet"/>
      </w:pPr>
      <w:r/>
      <w:r>
        <w:rPr>
          <w:b/>
        </w:rPr>
        <w:t>Fumeur</w:t>
      </w:r>
      <w:r>
        <w:t xml:space="preserve"> : pas d'adaptation (le tabac n'induit pas le CYP3A4 pour l'aripiprazole de manière significative)</w:t>
      </w:r>
    </w:p>
    <w:p>
      <w:pPr>
        <w:pStyle w:val="ListBullet"/>
      </w:pPr>
      <w:r/>
      <w:r>
        <w:rPr>
          <w:b/>
        </w:rPr>
        <w:t>Inhibiteurs CYP2D6/CYP3A4 associés</w:t>
      </w:r>
      <w:r>
        <w:t xml:space="preserve"> : réduire la dose d'aripiprazole de 50 %</w:t>
      </w:r>
    </w:p>
    <w:p>
      <w:pPr>
        <w:pStyle w:val="ListBullet"/>
      </w:pPr>
      <w:r/>
      <w:r>
        <w:rPr>
          <w:b/>
        </w:rPr>
        <w:t>Inducteurs CYP3A4 associés</w:t>
      </w:r>
      <w:r>
        <w:t xml:space="preserve"> : augmenter la dose d'aripiprazole (jusqu'à doubler)</w:t>
      </w:r>
    </w:p>
    <w:p>
      <w:pPr>
        <w:pStyle w:val="ListBullet"/>
      </w:pPr>
      <w:r/>
      <w:r>
        <w:rPr>
          <w:b/>
        </w:rPr>
        <w:t>Forme injectable LP mensuelle (Abilify Maintena)</w:t>
      </w:r>
      <w:r>
        <w:t xml:space="preserve"> : 400 mg IM 1×/mois après stabilisation sous forme orale. Réduction à 300 mg si association avec inhibiteurs CYP2D6/CYP3A4.</w:t>
      </w:r>
    </w:p>
    <w:p>
      <w:pPr>
        <w:pStyle w:val="ListBullet"/>
      </w:pPr>
      <w:r/>
      <w:r>
        <w:rPr>
          <w:b/>
        </w:rPr>
        <w:t>Durée</w:t>
      </w:r>
      <w:r>
        <w:t xml:space="preserve"> : au long cours (années) ; évaluation annuelle du bien-fondé</w:t>
      </w:r>
    </w:p>
    <w:p>
      <w:pPr>
        <w:pStyle w:val="ListBullet"/>
      </w:pPr>
      <w:r/>
      <w:r>
        <w:rPr>
          <w:b/>
        </w:rPr>
        <w:t>Moment de la prise</w:t>
      </w:r>
      <w:r>
        <w:t xml:space="preserve"> : en une prise le matin (l'aripiprazole est activating, à éviter le soir si insomnie), pendant ou après repas</w:t>
      </w:r>
    </w:p>
    <w:p>
      <w:r/>
      <w:r>
        <w:rPr>
          <w:b/>
        </w:rPr>
        <w:t>Arbitrage et Bénéfices des Formes Galéniques :</w:t>
      </w:r>
      <w:r/>
    </w:p>
    <w:p>
      <w:pPr>
        <w:pStyle w:val="ListBullet"/>
      </w:pPr>
      <w:r/>
      <w:r>
        <w:rPr>
          <w:b/>
        </w:rPr>
        <w:t>Comprimés 10, 15, 20 mg</w:t>
      </w:r>
      <w:r>
        <w:t xml:space="preserve"> : forme de référence pour la schizophrénie et le trouble bipolaire adulte. Le panel de dosages permet une titration fine.</w:t>
      </w:r>
    </w:p>
    <w:p>
      <w:pPr>
        <w:pStyle w:val="ListBullet"/>
      </w:pPr>
      <w:r/>
      <w:r>
        <w:rPr>
          <w:b/>
        </w:rPr>
        <w:t>Comprimés orodispersibles (ABDIFLY OD, ARIPIPRAZOLE BEKER ORO)</w:t>
      </w:r>
      <w:r>
        <w:t xml:space="preserve"> : indiqués pour patients dysphagiques, gériatrie, refus de traitement. Se dissolvent en quelques secondes, goût masqué.</w:t>
      </w:r>
    </w:p>
    <w:p>
      <w:pPr>
        <w:pStyle w:val="ListBullet"/>
      </w:pPr>
      <w:r/>
      <w:r>
        <w:rPr>
          <w:b/>
        </w:rPr>
        <w:t>Solution buvable 1 mg/mL (ABILIZOLE, ZOLIFY)</w:t>
      </w:r>
      <w:r>
        <w:t xml:space="preserve"> : indiquée pour la pédiatrie (autisme), la gériatrie, l'adaptation posologique fine (faibles doses), les patients incapables d'avaler des comprimés.</w:t>
      </w:r>
    </w:p>
    <w:p>
      <w:pPr>
        <w:pStyle w:val="ListBullet"/>
      </w:pPr>
      <w:r/>
      <w:r>
        <w:rPr>
          <w:b/>
        </w:rPr>
        <w:t>Forme injectable LP mensuelle (ABILIFY MAINTENA 400 mg)</w:t>
      </w:r>
      <w:r>
        <w:t xml:space="preserve"> : indiquée pour l'entretien à long terme chez les patients stabilisés sous forme orale, observance problématique. Injection IM fessière mensuelle. Permet une couverture continue, une stabilité des taux plasmatiques, et une réduction des rechutes. Nécessite une période de transition (3-4 semaines de chevauchement avec la forme orale à l'initiation).</w:t>
      </w:r>
    </w:p>
    <w:p>
      <w:r/>
      <w:r>
        <w:rPr>
          <w:b/>
        </w:rPr>
        <w:t>Instructions et Conseils au Patient :</w:t>
      </w:r>
      <w:r/>
    </w:p>
    <w:p>
      <w:pPr>
        <w:pStyle w:val="ListBullet"/>
      </w:pPr>
      <w:r/>
      <w:r>
        <w:rPr>
          <w:b/>
        </w:rPr>
        <w:t>Communication au comptoir</w:t>
      </w:r>
      <w:r>
        <w:t xml:space="preserve"> :</w:t>
      </w:r>
    </w:p>
    <w:p>
      <w:pPr>
        <w:pStyle w:val="ListBullet"/>
      </w:pPr>
      <w:r>
        <w:t>Prévenir l'</w:t>
      </w:r>
      <w:r>
        <w:rPr>
          <w:b/>
        </w:rPr>
        <w:t>akathisie</w:t>
      </w:r>
      <w:r>
        <w:t xml:space="preserve"> en début de traitement : si agitation motrice, incapacité à rester assis, signaler au médecin</w:t>
      </w:r>
    </w:p>
    <w:p>
      <w:pPr>
        <w:pStyle w:val="ListBullet"/>
      </w:pPr>
      <w:r>
        <w:t xml:space="preserve">Prévenir les </w:t>
      </w:r>
      <w:r>
        <w:rPr>
          <w:b/>
        </w:rPr>
        <w:t>troubles du contrôle des impulsions</w:t>
      </w:r>
      <w:r>
        <w:t xml:space="preserve"> : interrogation systématique — "Avez-vous des envies irrésistibles de jouer, des comportements sexuels excessifs, des achats compulsifs ? Si oui, contactez immédiatement votre médecin"</w:t>
      </w:r>
    </w:p>
    <w:p>
      <w:pPr>
        <w:pStyle w:val="ListBullet"/>
      </w:pPr>
      <w:r/>
      <w:r>
        <w:rPr>
          <w:b/>
        </w:rPr>
        <w:t>Prise matinale</w:t>
      </w:r>
      <w:r>
        <w:t xml:space="preserve"> (et non vespérale) en raison de l'effet activating</w:t>
      </w:r>
    </w:p>
    <w:p>
      <w:pPr>
        <w:pStyle w:val="ListBullet"/>
      </w:pPr>
      <w:r>
        <w:t>Ne pas arrêter brutalement</w:t>
      </w:r>
    </w:p>
    <w:p>
      <w:pPr>
        <w:pStyle w:val="ListBullet"/>
      </w:pPr>
      <w:r/>
      <w:r>
        <w:rPr>
          <w:b/>
        </w:rPr>
        <w:t>Alcool à proscrire</w:t>
      </w:r>
      <w:r/>
    </w:p>
    <w:p>
      <w:pPr>
        <w:pStyle w:val="ListBullet"/>
      </w:pPr>
      <w:r>
        <w:t xml:space="preserve">Prévenir les </w:t>
      </w:r>
      <w:r>
        <w:rPr>
          <w:b/>
        </w:rPr>
        <w:t>interactions</w:t>
      </w:r>
      <w:r>
        <w:t xml:space="preserve"> : signaler tout autre médicament au médecin</w:t>
      </w:r>
    </w:p>
    <w:p>
      <w:pPr>
        <w:pStyle w:val="ListBullet"/>
      </w:pPr>
      <w:r/>
      <w:r>
        <w:rPr>
          <w:b/>
        </w:rPr>
        <w:t>Mode d'utilisation pratique</w:t>
      </w:r>
      <w:r>
        <w:t xml:space="preserve"> :</w:t>
      </w:r>
    </w:p>
    <w:p>
      <w:pPr>
        <w:pStyle w:val="ListBullet"/>
      </w:pPr>
      <w:r>
        <w:t>Prise unique le matin avec ou sans repas</w:t>
      </w:r>
    </w:p>
    <w:p>
      <w:pPr>
        <w:pStyle w:val="ListBullet"/>
      </w:pPr>
      <w:r>
        <w:t>En cas d'oubli : prendre si &lt; 24 h, sinon ignorer (demi-vie longue)</w:t>
      </w:r>
    </w:p>
    <w:p>
      <w:pPr>
        <w:pStyle w:val="ListBullet"/>
      </w:pPr>
      <w:r>
        <w:t>Solution buvable : bien agiter avant emploi, utiliser la seringue/pipette graduée</w:t>
      </w:r>
    </w:p>
    <w:p>
      <w:pPr>
        <w:pStyle w:val="ListBullet"/>
      </w:pPr>
      <w:r>
        <w:t>Comprimé orodispersible : placer sur la langue, laisser fondre</w:t>
      </w:r>
    </w:p>
    <w:p>
      <w:pPr>
        <w:pStyle w:val="ListBullet"/>
      </w:pPr>
      <w:r>
        <w:t>Forme LP IM : injection mensuelle par personnel soignant qualifié</w:t>
      </w:r>
    </w:p>
    <w:p>
      <w:r/>
      <w:r>
        <w:rPr>
          <w:b/>
        </w:rPr>
        <w:t>Données Pharmacocinétiques détaillées :</w:t>
      </w:r>
      <w:r/>
    </w:p>
    <w:p>
      <w:pPr>
        <w:pStyle w:val="ListBullet"/>
      </w:pPr>
      <w:r/>
      <w:r>
        <w:rPr>
          <w:b/>
        </w:rPr>
        <w:t>Absorption</w:t>
      </w:r>
      <w:r>
        <w:t xml:space="preserve"> : l'aripiprazole est bien absorbé par voie orale (biodisponibilité ~ 87 %). Le pic plasmatique est atteint en 3-5 h. La prise alimentaire n'influence pas l'absorption (avantage pratique), mais la formulation orodispersible a une biodisponibilité équivalente à la forme orale solide.</w:t>
      </w:r>
    </w:p>
    <w:p>
      <w:pPr>
        <w:pStyle w:val="ListBullet"/>
      </w:pPr>
      <w:r/>
      <w:r>
        <w:rPr>
          <w:b/>
        </w:rPr>
        <w:t>Distribution</w:t>
      </w:r>
      <w:r>
        <w:t xml:space="preserve"> : liaison aux protéines plasmatiques ~ 99 % (principalement albumine et alpha-1-glycoprotéine acide). Volume de distribution élevé (4-5 L/kg).</w:t>
      </w:r>
    </w:p>
    <w:p>
      <w:pPr>
        <w:pStyle w:val="ListBullet"/>
      </w:pPr>
      <w:r/>
      <w:r>
        <w:rPr>
          <w:b/>
        </w:rPr>
        <w:t>Métabolisme</w:t>
      </w:r>
      <w:r>
        <w:t xml:space="preserve"> : hépatique, principalement via CYP2D6 et CYP3A4. Le métabolite principal est le </w:t>
      </w:r>
      <w:r>
        <w:rPr>
          <w:b/>
        </w:rPr>
        <w:t>déhydro-aripiprazole</w:t>
      </w:r>
      <w:r>
        <w:t xml:space="preserve"> (DARI), qui possède une activité pharmacologique équivalente à la molécule mère (affinité D2 identique) et contribue pour ~ 40 % de l'effet antipsychotique total. La demi-vie du DARI est prolongée (~ 95 h), ce qui explique la longue demi-vie d'action de l'aripiprazole.</w:t>
      </w:r>
    </w:p>
    <w:p>
      <w:pPr>
        <w:pStyle w:val="ListBullet"/>
      </w:pPr>
      <w:r/>
      <w:r>
        <w:rPr>
          <w:b/>
        </w:rPr>
        <w:t>Demi-vie d'élimination</w:t>
      </w:r>
      <w:r>
        <w:t xml:space="preserve"> : ~ 75 h pour l'aripiprazole et ~ 95 h pour le déhydro-aripiprazole — permet une seule prise quotidienne et une tolérance en cas d'oubli ponctuel. La forme LP IM mensuelle (Abilify Maintena) exploite cette longue demi-vé.</w:t>
      </w:r>
    </w:p>
    <w:p>
      <w:pPr>
        <w:pStyle w:val="ListBullet"/>
      </w:pPr>
      <w:r/>
      <w:r>
        <w:rPr>
          <w:b/>
        </w:rPr>
        <w:t>Élimination</w:t>
      </w:r>
      <w:r>
        <w:t xml:space="preserve"> : ~ 27 % urinaire (principalement en métabolites), ~ 60 % fécale. Moins de 1 % inchangé.</w:t>
      </w:r>
    </w:p>
    <w:p>
      <w:pPr>
        <w:pStyle w:val="ListBullet"/>
      </w:pPr>
      <w:r/>
      <w:r>
        <w:rPr>
          <w:b/>
        </w:rPr>
        <w:t>Insuffisance rénale</w:t>
      </w:r>
      <w:r>
        <w:t xml:space="preserve"> : pas d'adaptation posologique.</w:t>
      </w:r>
    </w:p>
    <w:p>
      <w:pPr>
        <w:pStyle w:val="ListBullet"/>
      </w:pPr>
      <w:r/>
      <w:r>
        <w:rPr>
          <w:b/>
        </w:rPr>
        <w:t>Insuffisance hépatique</w:t>
      </w:r>
      <w:r>
        <w:t xml:space="preserve"> : pas d'adaptation stricte en cas d'insuffisance modérée ; pas de données en cas d'insuffisance sévère.</w:t>
      </w:r>
    </w:p>
    <w:p>
      <w:pPr>
        <w:pStyle w:val="ListBullet"/>
      </w:pPr>
      <w:r/>
      <w:r>
        <w:rPr>
          <w:b/>
        </w:rPr>
        <w:t>Sujet âgé</w:t>
      </w:r>
      <w:r>
        <w:t xml:space="preserve"> : clearance réduite de 20 %, dose initiale réduite.</w:t>
      </w:r>
    </w:p>
    <w:p>
      <w:pPr>
        <w:pStyle w:val="ListBullet"/>
      </w:pPr>
      <w:r/>
      <w:r>
        <w:rPr>
          <w:b/>
        </w:rPr>
        <w:t>Polymorphisme CYP2D6</w:t>
      </w:r>
      <w:r>
        <w:t xml:space="preserve"> : les métaboliseurs lents CYP2D6 présentent des concentrations d'aripiprazole ~ 80 % plus élevées — risque de surdosage. Réduction de dose de 50 % recommandée chez les métaboliseurs lents identifiés.</w:t>
      </w:r>
    </w:p>
    <w:p>
      <w:pPr>
        <w:pStyle w:val="ListBullet"/>
      </w:pPr>
      <w:r/>
      <w:r>
        <w:rPr>
          <w:b/>
        </w:rPr>
        <w:t>Tabac</w:t>
      </w:r>
      <w:r>
        <w:t xml:space="preserve"> : n'induit pas le CYP3A4 de manière significative pour l'aripiprazole (contrairement à la clozapine et l'olanzapine) — pas d'adaptation posologique chez le fumeur.</w:t>
      </w:r>
    </w:p>
    <w:p>
      <w:r/>
      <w:r>
        <w:rPr>
          <w:b/>
        </w:rPr>
        <w:t>Notes, Règles d'Or &amp; Pièges au Comptoir :</w:t>
      </w:r>
      <w:r/>
    </w:p>
    <w:p>
      <w:pPr>
        <w:pStyle w:val="ListBullet"/>
      </w:pPr>
      <w:r/>
      <w:r>
        <w:rPr>
          <w:b/>
        </w:rPr>
        <w:t>Piège classique — Troubles du contrôle des impulsions</w:t>
      </w:r>
      <w:r>
        <w:t xml:space="preserve"> : EI spécifique de l'aripiprazole (et plus rarement d'autres agonistes partiels), potentiellement dramatique sur le plan médico-social (ruine financière, rupture familiale, problèmes juridiques). Toujours interroger le patient à chaque dispensation. En cas de révélation, arrêt immédiat et switch vers un antagoniste pur D2 (olanzapine, rispéridone).</w:t>
      </w:r>
    </w:p>
    <w:p>
      <w:pPr>
        <w:pStyle w:val="ListBullet"/>
      </w:pPr>
      <w:r/>
      <w:r>
        <w:rPr>
          <w:b/>
        </w:rPr>
        <w:t>Piège classique — Akathisie</w:t>
      </w:r>
      <w:r>
        <w:t xml:space="preserve"> : EI le plus fréquent et le plus sous-diagnostiqué. Toujours interroger le patient sur une sensation d'agitation motrice, d'incapacité à rester immobile, en début de traitement et à chaque augmentation de dose.</w:t>
      </w:r>
    </w:p>
    <w:p>
      <w:pPr>
        <w:pStyle w:val="ListBullet"/>
      </w:pPr>
      <w:r/>
      <w:r>
        <w:rPr>
          <w:b/>
        </w:rPr>
        <w:t>Piège classique — Insomnie</w:t>
      </w:r>
      <w:r>
        <w:t xml:space="preserve"> : l'aripiprazole étant activating, il peut induire ou aggraver une insomnie. Toujours prescrire en prise matinale.</w:t>
      </w:r>
    </w:p>
    <w:p>
      <w:pPr>
        <w:pStyle w:val="ListBullet"/>
      </w:pPr>
      <w:r/>
      <w:r>
        <w:rPr>
          <w:b/>
        </w:rPr>
        <w:t>Piège classique — Allongement QT — mais moins que les autres AP-2G</w:t>
      </w:r>
      <w:r>
        <w:t xml:space="preserve"> : l'aripiprazole est l'un des moins allongeurs de la classe, ce qui en fait un bon choix chez les patients à risque cardiaque.</w:t>
      </w:r>
    </w:p>
    <w:p>
      <w:pPr>
        <w:pStyle w:val="ListBullet"/>
      </w:pPr>
      <w:r/>
      <w:r>
        <w:rPr>
          <w:b/>
        </w:rPr>
        <w:t>Règle de prise</w:t>
      </w:r>
      <w:r>
        <w:t xml:space="preserve"> : titration progressive obligatoire en début de traitement (surtout sujet âgé) pour limiter l'akathisie.</w:t>
      </w:r>
    </w:p>
    <w:p>
      <w:pPr>
        <w:pStyle w:val="ListBullet"/>
      </w:pPr>
      <w:r/>
      <w:r>
        <w:rPr>
          <w:b/>
        </w:rPr>
        <w:t>Préparation et Conservation</w:t>
      </w:r>
      <w:r>
        <w:t xml:space="preserve"> : conservation à température &lt; 25 °C, à l'abri de l'humidité. Solution buvable à conserver après ouverture maximum 6 mois, à l'abri de la lumière. Comprimés orodispersibles dans leur emballage d'origine.</w:t>
      </w:r>
    </w:p>
    <w:p>
      <w:pPr>
        <w:pStyle w:val="ListBullet"/>
      </w:pPr>
      <w:r/>
      <w:r>
        <w:rPr>
          <w:b/>
        </w:rPr>
        <w:t>Piège du surdosage / Substitution</w:t>
      </w:r>
      <w:r>
        <w:t xml:space="preserve"> :</w:t>
      </w:r>
    </w:p>
    <w:p>
      <w:pPr>
        <w:pStyle w:val="ListBullet"/>
      </w:pPr>
      <w:r>
        <w:t>Surdosage : akathisie sévère, somnolence, hypotension, allongement QTc modéré, EPS — réanimation symptomatique</w:t>
      </w:r>
    </w:p>
    <w:p>
      <w:pPr>
        <w:pStyle w:val="ListBullet"/>
      </w:pPr>
      <w:r/>
      <w:r>
        <w:rPr>
          <w:b/>
        </w:rPr>
        <w:t>Substitution</w:t>
      </w:r>
      <w:r>
        <w:t xml:space="preserve"> : switch possible depuis n'importe quel AP-2G vers l'aripiprazole (en cross-taper sur 2-4 semaines pour limiter le risque de rechute et d'akathisie). Le switch depuis rispéridone doit être particulièrement prudent (rebond possible de la psychose pendant la période de transition). Le switch depuis olanzapine/clozapine peut s'accompagner d'une perte de poids bénéfique mais aussi d'un rebond de symptômes psychotiques en l'absence de chevauchement suffisant.</w:t>
      </w:r>
    </w:p>
    <w:p>
      <w:pPr>
        <w:pStyle w:val="ListBullet"/>
      </w:pPr>
      <w:r>
        <w:t>Attention à ne pas confondre l'</w:t>
      </w:r>
      <w:r>
        <w:rPr>
          <w:b/>
        </w:rPr>
        <w:t>aripiprazole</w:t>
      </w:r>
      <w:r>
        <w:t xml:space="preserve"> avec l'</w:t>
      </w:r>
      <w:r>
        <w:rPr>
          <w:b/>
        </w:rPr>
        <w:t>aripax</w:t>
      </w:r>
      <w:r>
        <w:t xml:space="preserve"> (n'existe pas) ou l'</w:t>
      </w:r>
      <w:r>
        <w:rPr>
          <w:b/>
        </w:rPr>
        <w:t>aripiprazole</w:t>
      </w:r>
      <w:r>
        <w:t xml:space="preserve"> avec l'</w:t>
      </w:r>
      <w:r>
        <w:rPr>
          <w:b/>
        </w:rPr>
        <w:t xml:space="preserve"> amisulpride</w:t>
      </w:r>
      <w:r>
        <w:t xml:space="preserve"> (typique/2G atypique différent)</w:t>
      </w:r>
    </w:p>
    <w:p>
      <w:pPr>
        <w:pStyle w:val="Heading2"/>
      </w:pPr>
      <w:r>
        <w:t>84.3 — Sous-classe : Antipsychotiques - Atypiques (métabolite rispéridone)</w:t>
      </w:r>
    </w:p>
    <w:p>
      <w:pPr>
        <w:pStyle w:val="Heading3"/>
      </w:pPr>
      <w:r>
        <w:t>Introduction à la sous-classe</w:t>
      </w:r>
    </w:p>
    <w:p>
      <w:r>
        <w:t xml:space="preserve">La </w:t>
      </w:r>
      <w:r>
        <w:rPr>
          <w:b/>
        </w:rPr>
        <w:t>palipéridone</w:t>
      </w:r>
      <w:r>
        <w:t xml:space="preserve"> (9-hydroxyrispéridone) est le </w:t>
      </w:r>
      <w:r>
        <w:rPr>
          <w:b/>
        </w:rPr>
        <w:t>métabolite actif principal de la rispéridone</w:t>
      </w:r>
      <w:r>
        <w:t>, produit par hydroxylation hépatique via le cytochrome CYP2D6. Identifiée dès le développement de la rispéridone dans les années 1990, elle a été commercialisée séparément par Janssen à partir de 2006 (marque Invega), avec l'idée d'offrir une alternative pharmacocinétiquement plus stable à la rispéridone, notamment dans des formulations à libération prolongée permettant des intervalles d'administration exceptionnellement longs.</w:t>
      </w:r>
    </w:p>
    <w:p>
      <w:r/>
      <w:r>
        <w:rPr>
          <w:b/>
        </w:rPr>
        <w:t>Intérêt pharmacologique du métabolite :</w:t>
      </w:r>
      <w:r/>
    </w:p>
    <w:p>
      <w:pPr>
        <w:pStyle w:val="ListBullet"/>
      </w:pPr>
      <w:r>
        <w:t xml:space="preserve">La palipéridone possède une activité pharmacologique </w:t>
      </w:r>
      <w:r>
        <w:rPr>
          <w:b/>
        </w:rPr>
        <w:t>équivalente à celle de la rispéridone</w:t>
      </w:r>
      <w:r>
        <w:t xml:space="preserve"> (profil D2/5-HT2A/alpha-1/H1 identique) — elle n'est donc pas supérieure en termes d'efficacité ou de tolérance à la rispéridone elle-même.</w:t>
      </w:r>
    </w:p>
    <w:p>
      <w:pPr>
        <w:pStyle w:val="ListBullet"/>
      </w:pPr>
      <w:r>
        <w:t xml:space="preserve">L'avantage de la palipéridone réside dans sa </w:t>
      </w:r>
      <w:r>
        <w:rPr>
          <w:b/>
        </w:rPr>
        <w:t>cinétique</w:t>
      </w:r>
      <w:r>
        <w:t xml:space="preserve"> : elle n'est pas métabolisée par le CYP2D6 (déjà hydroxylée), ce qui supprime la variabilité inter-individuelle liée au polymorphisme CYP2D6 (métaboliseurs lents vs rapides). Les concentrations plasmatiques sont donc plus prévisibles.</w:t>
      </w:r>
    </w:p>
    <w:p>
      <w:pPr>
        <w:pStyle w:val="ListBullet"/>
      </w:pPr>
      <w:r>
        <w:t>La palipéridone est principalement éliminée par voie rénale (80 % sous forme inchangée), ce qui impose une adaptation posologique en cas d'insuffisance rénale.</w:t>
      </w:r>
    </w:p>
    <w:p>
      <w:pPr>
        <w:pStyle w:val="ListBullet"/>
      </w:pPr>
      <w:r>
        <w:t xml:space="preserve">La palipéridone se prête particulièrement bien aux </w:t>
      </w:r>
      <w:r>
        <w:rPr>
          <w:b/>
        </w:rPr>
        <w:t>formulations à libération prolongée</w:t>
      </w:r>
      <w:r>
        <w:t xml:space="preserve"> grâce à sa demi-vie plasmatique (23 h en forme orale LP) et à la technologie des microsphères polymeriques permettant des intervalles d'administration exceptionnels : </w:t>
      </w:r>
      <w:r>
        <w:rPr>
          <w:b/>
        </w:rPr>
        <w:t>mensuel</w:t>
      </w:r>
      <w:r>
        <w:t xml:space="preserve"> (Xeplion/Trevicta) voire </w:t>
      </w:r>
      <w:r>
        <w:rPr>
          <w:b/>
        </w:rPr>
        <w:t>trimestriel</w:t>
      </w:r>
      <w:r>
        <w:t xml:space="preserve"> (Trevicta — 3 mois).</w:t>
      </w:r>
    </w:p>
    <w:p>
      <w:r/>
      <w:r>
        <w:rPr>
          <w:b/>
        </w:rPr>
        <w:t>Positionnement thérapeutique :</w:t>
      </w:r>
      <w:r/>
    </w:p>
    <w:p>
      <w:pPr>
        <w:pStyle w:val="ListBullet"/>
      </w:pPr>
      <w:r/>
      <w:r>
        <w:rPr>
          <w:b/>
        </w:rPr>
        <w:t>AP-2G de 2e intention</w:t>
      </w:r>
      <w:r>
        <w:t xml:space="preserve"> chez les patients observants sous forme orale et nécessitant un relais par forme dépôt (observance problématique, antécédents de rechutes par arrêt de traitement)</w:t>
      </w:r>
    </w:p>
    <w:p>
      <w:pPr>
        <w:pStyle w:val="ListBullet"/>
      </w:pPr>
      <w:r/>
      <w:r>
        <w:rPr>
          <w:b/>
        </w:rPr>
        <w:t>AP-2G de choix pour les formes dépôt LP à très longue durée d'action</w:t>
      </w:r>
      <w:r>
        <w:t xml:space="preserve"> (mensuelle ou trimestrielle), supérieures à la rispéridone LP IM (Risperdal Consta, qui nécessite une injection toutes les 2 semaines et un chevauchement oral de 3 semaines)</w:t>
      </w:r>
    </w:p>
    <w:p>
      <w:pPr>
        <w:pStyle w:val="ListBullet"/>
      </w:pPr>
      <w:r/>
      <w:r>
        <w:rPr>
          <w:b/>
        </w:rPr>
        <w:t>Profil d'efficacité et de tolérance identique à la rispéridone</w:t>
      </w:r>
      <w:r>
        <w:t xml:space="preserve"> : hyperprolactinémie quasi-systématique (même métabolite, même effet), EPS dose-dépendants, prise de poids modérée, risque métabolique intermédiaire</w:t>
      </w:r>
    </w:p>
    <w:p>
      <w:pPr>
        <w:pStyle w:val="ListBullet"/>
      </w:pPr>
      <w:r/>
      <w:r>
        <w:rPr>
          <w:b/>
        </w:rPr>
        <w:t>Indications</w:t>
      </w:r>
      <w:r>
        <w:t xml:space="preserve"> : schizophrénie (forme orale LP et formes injectables LP), trouble schizo-affectif (forme injectable LP)</w:t>
      </w:r>
    </w:p>
    <w:p>
      <w:r>
        <w:t xml:space="preserve">Le marché algérien propose uniquement les </w:t>
      </w:r>
      <w:r>
        <w:rPr>
          <w:b/>
        </w:rPr>
        <w:t>formes injectables LP</w:t>
      </w:r>
      <w:r>
        <w:t xml:space="preserve"> de palipéridone (Xeplion mensuel, Trevicta trimestriel), commercialisées par Janssen — les formes orales LP (Invega) n'étant pas disponibles en Algérie.</w:t>
      </w:r>
    </w:p>
    <w:p>
      <w:pPr>
        <w:pStyle w:val="Heading3"/>
      </w:pPr>
      <w:r>
        <w:t>8. DCI : Palipéridone (Seule)</w:t>
      </w:r>
    </w:p>
    <w:p>
      <w:r>
        <w:t xml:space="preserve">La palipéridone est le métabolite actif principal de la rispéridone (9-hydroxyrispéridone), commercialisé séparément par Janssen sous le nom de marque Invega (forme orale LP) et Xeplion/Trevicta (formes injectables LP). Son intérêt réside dans sa </w:t>
      </w:r>
      <w:r>
        <w:rPr>
          <w:b/>
        </w:rPr>
        <w:t>cinétique stable</w:t>
      </w:r>
      <w:r>
        <w:t xml:space="preserve"> (indépendante du CYP2D6) et sa </w:t>
      </w:r>
      <w:r>
        <w:rPr>
          <w:b/>
        </w:rPr>
        <w:t>disponibilité en formulations dépôt à très longue durée d'action</w:t>
      </w:r>
      <w:r>
        <w:t xml:space="preserve"> (mensuelle et trimestrielle), qui en font l'AP-2G de choix pour l'observance au long cours dans la schizophrénie. Son profil d'efficacité et de tolérance est </w:t>
      </w:r>
      <w:r>
        <w:rPr>
          <w:b/>
        </w:rPr>
        <w:t>équivalent à celui de la rispéridone</w:t>
      </w:r>
      <w:r>
        <w:t xml:space="preserve"> (hyperprolactinémie quasi-systématique, EPS dose-dépendants, prise de poids modérée). Le marché algérien propose uniquement les formes injectables LP (Xeplion mensuel 25-150 mg, Trevicta trimestriel 175-525 mg), commercialisées par Janssen.</w:t>
      </w:r>
    </w:p>
    <w:p>
      <w:r/>
      <w:r>
        <w:rPr>
          <w:b/>
        </w:rPr>
        <w:t>Médicaments disponibles en Algérie (Marques, Laboratoires, Formes et Dosages) :</w:t>
      </w:r>
      <w:r/>
    </w:p>
    <w:p>
      <w:pPr>
        <w:pStyle w:val="ListBullet"/>
      </w:pPr>
      <w:r/>
      <w:r>
        <w:rPr>
          <w:b/>
        </w:rPr>
        <w:t>XEPLION</w:t>
      </w:r>
      <w:r>
        <w:t xml:space="preserve"> (JANSSEN CILAG INTERNATIONAL N.V.) — forme injectable LP mensuelle</w:t>
      </w:r>
    </w:p>
    <w:p>
      <w:pPr>
        <w:pStyle w:val="ListBullet"/>
      </w:pPr>
      <w:r>
        <w:t>Formes et Dosages : Suspension injectable LP 100 mg/mL en seringue pré-remplie</w:t>
      </w:r>
    </w:p>
    <w:p>
      <w:pPr>
        <w:pStyle w:val="ListBullet"/>
      </w:pPr>
      <w:r>
        <w:t>50 mg/0,5 mL (seringue pré-remplie + 2 aiguilles)</w:t>
      </w:r>
    </w:p>
    <w:p>
      <w:pPr>
        <w:pStyle w:val="ListBullet"/>
      </w:pPr>
      <w:r>
        <w:t>75 mg/0,75 mL (seringue pré-remplie + 2 aiguilles)</w:t>
      </w:r>
    </w:p>
    <w:p>
      <w:pPr>
        <w:pStyle w:val="ListBullet"/>
      </w:pPr>
      <w:r>
        <w:t>100 mg/1 mL (seringue pré-remplie + 2 aiguilles)</w:t>
      </w:r>
    </w:p>
    <w:p>
      <w:pPr>
        <w:pStyle w:val="ListBullet"/>
      </w:pPr>
      <w:r>
        <w:t>150 mg/1,5 mL (seringue pré-remplie + 2 aiguilles)</w:t>
      </w:r>
    </w:p>
    <w:p>
      <w:pPr>
        <w:pStyle w:val="ListBullet"/>
      </w:pPr>
      <w:r>
        <w:t>Statut : Actif</w:t>
      </w:r>
    </w:p>
    <w:p>
      <w:pPr>
        <w:pStyle w:val="ListBullet"/>
      </w:pPr>
      <w:r/>
      <w:r>
        <w:rPr>
          <w:b/>
        </w:rPr>
        <w:t>TREVICTA</w:t>
      </w:r>
      <w:r>
        <w:t xml:space="preserve"> (JANSSEN CILAG INTERNATIONAL N.V.) — forme injectable LP trimestrielle (3 mois)</w:t>
      </w:r>
    </w:p>
    <w:p>
      <w:pPr>
        <w:pStyle w:val="ListBullet"/>
      </w:pPr>
      <w:r>
        <w:t>Formes et Dosages : Suspension injectable LP 312 mg/mL en seringue pré-remplie + 2 aiguilles (dosages disponibles : 273 mg, 410 mg, 546 mg, 819 mg correspondant respectivement à 1 injection tous les 3 mois)</w:t>
      </w:r>
    </w:p>
    <w:p>
      <w:pPr>
        <w:pStyle w:val="ListBullet"/>
      </w:pPr>
      <w:r>
        <w:t>Statut : Actif</w:t>
      </w:r>
    </w:p>
    <w:p>
      <w:r/>
      <w:r>
        <w:rPr>
          <w:b/>
        </w:rPr>
        <w:t>Sous-classe et Mécanisme d'action :</w:t>
      </w:r>
      <w:r/>
    </w:p>
    <w:p>
      <w:pPr>
        <w:pStyle w:val="ListBullet"/>
      </w:pPr>
      <w:r/>
      <w:r>
        <w:rPr>
          <w:b/>
        </w:rPr>
        <w:t>Sous-classe</w:t>
      </w:r>
      <w:r>
        <w:t xml:space="preserve"> : Antipsychotique atypique de 2e génération — métabolite actif de la rispéridone (9-hydroxyrispéridone), benzisoxazole, AP-2G de 2e intention.</w:t>
      </w:r>
    </w:p>
    <w:p>
      <w:pPr>
        <w:pStyle w:val="ListBullet"/>
      </w:pPr>
      <w:r/>
      <w:r>
        <w:rPr>
          <w:b/>
        </w:rPr>
        <w:t>Mécanisme d'action</w:t>
      </w:r>
      <w:r>
        <w:t xml:space="preserve"> : identique à celui de la rispéridone (la palipéridone est le métabolite actif de la rispéridone) :</w:t>
      </w:r>
    </w:p>
    <w:p>
      <w:pPr>
        <w:pStyle w:val="ListBullet"/>
      </w:pPr>
      <w:r/>
      <w:r>
        <w:rPr>
          <w:b/>
        </w:rPr>
        <w:t>Antagonisme D2</w:t>
      </w:r>
      <w:r>
        <w:t xml:space="preserve"> (occupation ~ 50-80 % à dose thérapeutique — dose-dépendant)</w:t>
      </w:r>
    </w:p>
    <w:p>
      <w:pPr>
        <w:pStyle w:val="ListBullet"/>
      </w:pPr>
      <w:r/>
      <w:r>
        <w:rPr>
          <w:b/>
        </w:rPr>
        <w:t>Antagonisme 5-HT2A</w:t>
      </w:r>
      <w:r>
        <w:t xml:space="preserve"> marqué (ratio 5-HT2A/D2 élevé, profil atypique)</w:t>
      </w:r>
    </w:p>
    <w:p>
      <w:pPr>
        <w:pStyle w:val="ListBullet"/>
      </w:pPr>
      <w:r/>
      <w:r>
        <w:rPr>
          <w:b/>
        </w:rPr>
        <w:t>Affinité alpha-1 adrénergique</w:t>
      </w:r>
      <w:r>
        <w:t xml:space="preserve"> (hypotension orthostatique, sédation modérée)</w:t>
      </w:r>
    </w:p>
    <w:p>
      <w:pPr>
        <w:pStyle w:val="ListBullet"/>
      </w:pPr>
      <w:r/>
      <w:r>
        <w:rPr>
          <w:b/>
        </w:rPr>
        <w:t>Affinité H1</w:t>
      </w:r>
      <w:r>
        <w:t xml:space="preserve"> modérée (prise de poids modérée, sédation)</w:t>
      </w:r>
    </w:p>
    <w:p>
      <w:pPr>
        <w:pStyle w:val="ListBullet"/>
      </w:pPr>
      <w:r/>
      <w:r>
        <w:rPr>
          <w:b/>
        </w:rPr>
        <w:t>Pas d'affinité muscarinique significative</w:t>
      </w:r>
      <w:r>
        <w:t xml:space="preserve"> (peu d'effets atropiniques)</w:t>
      </w:r>
    </w:p>
    <w:p>
      <w:pPr>
        <w:pStyle w:val="ListBullet"/>
      </w:pPr>
      <w:r>
        <w:t>Métabolisme : la palipéridone n'est pas métabolisée de manière significative (déjà hydroxylée) — elle est éliminée par voie rénale à 80 % sous forme inchangée. Demi-vie plasmatique 23 h (forme orale LP), permettant des formulations dépôt LP à très longue durée d'action.</w:t>
      </w:r>
    </w:p>
    <w:p>
      <w:pPr>
        <w:pStyle w:val="ListBullet"/>
      </w:pPr>
      <w:r>
        <w:t>L'</w:t>
      </w:r>
      <w:r>
        <w:rPr>
          <w:b/>
        </w:rPr>
        <w:t>hyperprolactinémie</w:t>
      </w:r>
      <w:r>
        <w:t xml:space="preserve"> est quasi-systématique (comme avec la rispéridone), même à faible dose — c'est l'EI le plus spécifique et le plus sous-diagnostiqué.</w:t>
      </w:r>
    </w:p>
    <w:p>
      <w:r/>
      <w:r>
        <w:rPr>
          <w:b/>
        </w:rPr>
        <w:t>Profil Pharmacologique :</w:t>
      </w:r>
      <w:r/>
    </w:p>
    <w:p>
      <w:pPr>
        <w:pStyle w:val="ListBullet"/>
      </w:pPr>
      <w:r/>
      <w:r>
        <w:rPr>
          <w:b/>
        </w:rPr>
        <w:t>Indications</w:t>
      </w:r>
      <w:r>
        <w:t xml:space="preserve"> :</w:t>
      </w:r>
    </w:p>
    <w:p>
      <w:pPr>
        <w:pStyle w:val="ListBullet"/>
      </w:pPr>
      <w:r/>
      <w:r>
        <w:rPr>
          <w:b/>
        </w:rPr>
        <w:t>Schizophrénie</w:t>
      </w:r>
      <w:r>
        <w:t xml:space="preserve"> (toutes phases, traitement d'entretien) — AMM pour la forme orale LP et les formes injectables LP (Xeplion mensuel, Trevicta trimestriel)</w:t>
      </w:r>
    </w:p>
    <w:p>
      <w:pPr>
        <w:pStyle w:val="ListBullet"/>
      </w:pPr>
      <w:r/>
      <w:r>
        <w:rPr>
          <w:b/>
        </w:rPr>
        <w:t>Trouble schizo-affectif</w:t>
      </w:r>
      <w:r>
        <w:t xml:space="preserve"> (forme injectable LP) — AMM</w:t>
      </w:r>
    </w:p>
    <w:p>
      <w:pPr>
        <w:pStyle w:val="ListBullet"/>
      </w:pPr>
      <w:r/>
      <w:r>
        <w:rPr>
          <w:b/>
        </w:rPr>
        <w:t>Contre-indications</w:t>
      </w:r>
      <w:r>
        <w:t xml:space="preserve"> :</w:t>
      </w:r>
    </w:p>
    <w:p>
      <w:pPr>
        <w:pStyle w:val="ListBullet"/>
      </w:pPr>
      <w:r>
        <w:t>Hypersensibilité à la palipéridone ou à la rispéridone</w:t>
      </w:r>
    </w:p>
    <w:p>
      <w:pPr>
        <w:pStyle w:val="ListBullet"/>
      </w:pPr>
      <w:r>
        <w:t>Allaitement (CI selon CRAT)</w:t>
      </w:r>
    </w:p>
    <w:p>
      <w:pPr>
        <w:pStyle w:val="ListBullet"/>
      </w:pPr>
      <w:r>
        <w:t>Insuffisance rénale sévère (clairance créatinine &lt; 10 mL/min) — adaptation posologique obligatoire</w:t>
      </w:r>
    </w:p>
    <w:p>
      <w:pPr>
        <w:pStyle w:val="ListBullet"/>
      </w:pPr>
      <w:r>
        <w:t>Phéochromocytome</w:t>
      </w:r>
    </w:p>
    <w:p>
      <w:pPr>
        <w:pStyle w:val="ListBullet"/>
      </w:pPr>
      <w:r>
        <w:t>En association avec les allongeurs QT à doses supra-thérapeutiques</w:t>
      </w:r>
    </w:p>
    <w:p>
      <w:pPr>
        <w:pStyle w:val="ListBullet"/>
      </w:pPr>
      <w:r/>
      <w:r>
        <w:rPr>
          <w:b/>
        </w:rPr>
        <w:t>Effets Indésirables</w:t>
      </w:r>
      <w:r>
        <w:t xml:space="preserve"> (identiques à la rispéridone, mais profil pharmacocinétique plus stable) :</w:t>
      </w:r>
    </w:p>
    <w:p>
      <w:pPr>
        <w:pStyle w:val="ListBullet"/>
      </w:pPr>
      <w:r/>
      <w:r>
        <w:rPr>
          <w:b/>
        </w:rPr>
        <w:t>Hyperprolactinémie</w:t>
      </w:r>
      <w:r>
        <w:t xml:space="preserve"> quasi-systématique (effet spécifique — galactorrhée, aménorrhée, troubles du cycle, baisse de libido, dysfonction érectile, gynécomastie, ostéopénie à long terme) — réversible à l'arrêt</w:t>
      </w:r>
    </w:p>
    <w:p>
      <w:pPr>
        <w:pStyle w:val="ListBullet"/>
      </w:pPr>
      <w:r/>
      <w:r>
        <w:rPr>
          <w:b/>
        </w:rPr>
        <w:t>EPS dose-dépendants</w:t>
      </w:r>
      <w:r>
        <w:t xml:space="preserve"> : parkinsonisme (15-20 % à &gt; 6 mg/j équivalent oral), akathisie (10-15 %), dystonie aiguë (rare), dyskinésie tardive (&lt; 1 %/an)</w:t>
      </w:r>
    </w:p>
    <w:p>
      <w:pPr>
        <w:pStyle w:val="ListBullet"/>
      </w:pPr>
      <w:r/>
      <w:r>
        <w:rPr>
          <w:b/>
        </w:rPr>
        <w:t>Réactions aux sites d'injection</w:t>
      </w:r>
      <w:r>
        <w:t xml:space="preserve"> (pour les formes LP IM) : douleur, induration, nodule, abcès stérile — surveillance du site d'injection</w:t>
      </w:r>
    </w:p>
    <w:p>
      <w:pPr>
        <w:pStyle w:val="ListBullet"/>
      </w:pPr>
      <w:r/>
      <w:r>
        <w:rPr>
          <w:b/>
        </w:rPr>
        <w:t>Sédation</w:t>
      </w:r>
      <w:r>
        <w:t xml:space="preserve"> modérée (10-20 %)</w:t>
      </w:r>
    </w:p>
    <w:p>
      <w:pPr>
        <w:pStyle w:val="ListBullet"/>
      </w:pPr>
      <w:r/>
      <w:r>
        <w:rPr>
          <w:b/>
        </w:rPr>
        <w:t>Hypotension orthostatique</w:t>
      </w:r>
      <w:r>
        <w:t xml:space="preserve"> (surtout initiation, sujet âgé)</w:t>
      </w:r>
    </w:p>
    <w:p>
      <w:pPr>
        <w:pStyle w:val="ListBullet"/>
      </w:pPr>
      <w:r/>
      <w:r>
        <w:rPr>
          <w:b/>
        </w:rPr>
        <w:t>Prise de poids</w:t>
      </w:r>
      <w:r>
        <w:t xml:space="preserve"> modérée (1-3 kg en moyenne, moins marquée que olanzapine/clozapine)</w:t>
      </w:r>
    </w:p>
    <w:p>
      <w:pPr>
        <w:pStyle w:val="ListBullet"/>
      </w:pPr>
      <w:r/>
      <w:r>
        <w:rPr>
          <w:b/>
        </w:rPr>
        <w:t>Risque métabolique</w:t>
      </w:r>
      <w:r>
        <w:t xml:space="preserve"> intermédiaire : diabète, dyslipidémie (moins que olanzapine, plus que aripiprazole/ziprasidone)</w:t>
      </w:r>
    </w:p>
    <w:p>
      <w:pPr>
        <w:pStyle w:val="ListBullet"/>
      </w:pPr>
      <w:r/>
      <w:r>
        <w:rPr>
          <w:b/>
        </w:rPr>
        <w:t>Allongement QTc</w:t>
      </w:r>
      <w:r>
        <w:t xml:space="preserve"> modéré, rarement torsadogène isolé</w:t>
      </w:r>
    </w:p>
    <w:p>
      <w:pPr>
        <w:pStyle w:val="ListBullet"/>
      </w:pPr>
      <w:r/>
      <w:r>
        <w:rPr>
          <w:b/>
        </w:rPr>
        <w:t>Syndrome malin des neuroleptiques</w:t>
      </w:r>
      <w:r>
        <w:t xml:space="preserve"> (rare mais possible)</w:t>
      </w:r>
    </w:p>
    <w:p>
      <w:pPr>
        <w:pStyle w:val="ListBullet"/>
      </w:pPr>
      <w:r/>
      <w:r>
        <w:rPr>
          <w:b/>
        </w:rPr>
        <w:t>Convulsions</w:t>
      </w:r>
      <w:r>
        <w:t xml:space="preserve"> (rare, seuil abaissé)</w:t>
      </w:r>
    </w:p>
    <w:p>
      <w:pPr>
        <w:pStyle w:val="ListBullet"/>
      </w:pPr>
      <w:r/>
      <w:r>
        <w:rPr>
          <w:b/>
        </w:rPr>
        <w:t>Risque d'AVC majoré en gériatrie</w:t>
      </w:r>
      <w:r>
        <w:t xml:space="preserve"> (démence)</w:t>
      </w:r>
    </w:p>
    <w:p>
      <w:pPr>
        <w:pStyle w:val="ListBullet"/>
      </w:pPr>
      <w:r/>
      <w:r>
        <w:rPr>
          <w:b/>
        </w:rPr>
        <w:t>Priapisme</w:t>
      </w:r>
      <w:r>
        <w:t xml:space="preserve"> (rare)</w:t>
      </w:r>
    </w:p>
    <w:p>
      <w:pPr>
        <w:pStyle w:val="ListBullet"/>
      </w:pPr>
      <w:r/>
      <w:r>
        <w:rPr>
          <w:b/>
        </w:rPr>
        <w:t>Dyspepsie, nausées, constipation</w:t>
      </w:r>
      <w:r/>
    </w:p>
    <w:p>
      <w:pPr>
        <w:pStyle w:val="ListBullet"/>
      </w:pPr>
      <w:r/>
      <w:r>
        <w:rPr>
          <w:b/>
        </w:rPr>
        <w:t>Céphalées</w:t>
      </w:r>
      <w:r/>
    </w:p>
    <w:p>
      <w:pPr>
        <w:pStyle w:val="ListBullet"/>
      </w:pPr>
      <w:r/>
      <w:r>
        <w:rPr>
          <w:b/>
        </w:rPr>
        <w:t>Particularité des formes LP IM</w:t>
      </w:r>
      <w:r>
        <w:t xml:space="preserve"> :</w:t>
      </w:r>
    </w:p>
    <w:p>
      <w:pPr>
        <w:pStyle w:val="ListBullet"/>
      </w:pPr>
      <w:r/>
      <w:r>
        <w:rPr>
          <w:b/>
        </w:rPr>
        <w:t>Syndrome de surdosage post-injection</w:t>
      </w:r>
      <w:r>
        <w:t xml:space="preserve"> (rare mais décrit) : hypotension sévère, sédation profonde dans les 1-3 h suivant l'injection — nécessite une surveillance post-injection de 3 h en milieu médicalisé (particulièrement pour Trevicta à forte dose)</w:t>
      </w:r>
    </w:p>
    <w:p>
      <w:pPr>
        <w:pStyle w:val="ListBullet"/>
      </w:pPr>
      <w:r/>
      <w:r>
        <w:rPr>
          <w:b/>
        </w:rPr>
        <w:t>Réactions au site d'injection</w:t>
      </w:r>
      <w:r>
        <w:t xml:space="preserve"> plus fréquentes qu'avec Risperdal Consta</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w:t>
      </w:r>
      <w:r>
        <w:t xml:space="preserve"> : poids, taille, IMC, tour de taille, TA, glycémie à jeun, HbA1c, bilan lipidique, ECG, prolactinémie de base, créatininémie (adaptation posologique si insuffisance rénale)</w:t>
      </w:r>
    </w:p>
    <w:p>
      <w:pPr>
        <w:pStyle w:val="ListBullet"/>
      </w:pPr>
      <w:r/>
      <w:r>
        <w:rPr>
          <w:b/>
        </w:rPr>
        <w:t>Surveillance métabolique</w:t>
      </w:r>
      <w:r>
        <w:t xml:space="preserve"> : à l'initiation, M1, M3, M6 puis semestrielle</w:t>
      </w:r>
    </w:p>
    <w:p>
      <w:pPr>
        <w:pStyle w:val="ListBullet"/>
      </w:pPr>
      <w:r/>
      <w:r>
        <w:rPr>
          <w:b/>
        </w:rPr>
        <w:t>Surveillance prolactinémie</w:t>
      </w:r>
      <w:r>
        <w:t xml:space="preserve"> : à l'initiation puis si symptomatologie clinique</w:t>
      </w:r>
    </w:p>
    <w:p>
      <w:pPr>
        <w:pStyle w:val="ListBullet"/>
      </w:pPr>
      <w:r/>
      <w:r>
        <w:rPr>
          <w:b/>
        </w:rPr>
        <w:t>Surveillance site d'injection</w:t>
      </w:r>
      <w:r>
        <w:t xml:space="preserve"> : rotation des sites, surveillance 24-48 h post-injection</w:t>
      </w:r>
    </w:p>
    <w:p>
      <w:pPr>
        <w:pStyle w:val="ListBullet"/>
      </w:pPr>
      <w:r/>
      <w:r>
        <w:rPr>
          <w:b/>
        </w:rPr>
        <w:t>Surveillance post-injection de 3 h</w:t>
      </w:r>
      <w:r>
        <w:t xml:space="preserve"> pour Trevicta (risque de syndrome de surdosage)</w:t>
      </w:r>
    </w:p>
    <w:p>
      <w:pPr>
        <w:pStyle w:val="ListBullet"/>
      </w:pPr>
      <w:r/>
      <w:r>
        <w:rPr>
          <w:b/>
        </w:rPr>
        <w:t>Conduite à Tenir</w:t>
      </w:r>
      <w:r>
        <w:t xml:space="preserve"> :</w:t>
      </w:r>
    </w:p>
    <w:p>
      <w:pPr>
        <w:pStyle w:val="ListBullet"/>
      </w:pPr>
      <w:r/>
      <w:r>
        <w:rPr>
          <w:b/>
        </w:rPr>
        <w:t>Si hyperprolactinémie symptomatique</w:t>
      </w:r>
      <w:r>
        <w:t xml:space="preserve"> : réduire la dose si possible, sinon switch vers aripiprazole (qui normalise la prolactinémie)</w:t>
      </w:r>
    </w:p>
    <w:p>
      <w:pPr>
        <w:pStyle w:val="ListBullet"/>
      </w:pPr>
      <w:r/>
      <w:r>
        <w:rPr>
          <w:b/>
        </w:rPr>
        <w:t>Si akathisie sévère</w:t>
      </w:r>
      <w:r>
        <w:t xml:space="preserve"> : réduction de dose, propranolol</w:t>
      </w:r>
    </w:p>
    <w:p>
      <w:pPr>
        <w:pStyle w:val="ListBullet"/>
      </w:pPr>
      <w:r/>
      <w:r>
        <w:rPr>
          <w:b/>
        </w:rPr>
        <w:t>Si réaction au site d'injection</w:t>
      </w:r>
      <w:r>
        <w:t xml:space="preserve"> : changement de site, surveillance, traitement local (chaleur), voire chirurgie si abcès</w:t>
      </w:r>
    </w:p>
    <w:p>
      <w:pPr>
        <w:pStyle w:val="ListBullet"/>
      </w:pPr>
      <w:r/>
      <w:r>
        <w:rPr>
          <w:b/>
        </w:rPr>
        <w:t>Si syndrome de surdosage post-injection</w:t>
      </w:r>
      <w:r>
        <w:t xml:space="preserve"> : surveillance en milieu médicalisé, traitement symptomatique (remplissage vasculaire, atropine si bradycardie)</w:t>
      </w:r>
    </w:p>
    <w:p>
      <w:r/>
      <w:r>
        <w:rPr>
          <w:b/>
        </w:rPr>
        <w:t>Interactions Importantes :</w:t>
      </w:r>
      <w:r/>
    </w:p>
    <w:p>
      <w:pPr>
        <w:pStyle w:val="ListBullet"/>
      </w:pPr>
      <w:r/>
      <w:r>
        <w:rPr>
          <w:b/>
        </w:rPr>
        <w:t>Palipéridone + carbamazépine</w:t>
      </w:r>
      <w:r>
        <w:t xml:space="preserve"> : induction enzymatique (CYP3A4) → diminution des taux de palipéridone → inefficacité ; surveiller et adapter</w:t>
      </w:r>
    </w:p>
    <w:p>
      <w:pPr>
        <w:pStyle w:val="ListBullet"/>
      </w:pPr>
      <w:r/>
      <w:r>
        <w:rPr>
          <w:b/>
        </w:rPr>
        <w:t>Palipéridone + allongeurs QTc</w:t>
      </w:r>
      <w:r>
        <w:t xml:space="preserve"> : effet additif torsadogène, surveillance ECG</w:t>
      </w:r>
    </w:p>
    <w:p>
      <w:pPr>
        <w:pStyle w:val="ListBullet"/>
      </w:pPr>
      <w:r/>
      <w:r>
        <w:rPr>
          <w:b/>
        </w:rPr>
        <w:t>Palipéridone + dépresseurs SNC</w:t>
      </w:r>
      <w:r>
        <w:t xml:space="preserve"> (alcool, opioïdes, BZD) : potentialisation sédative et risque dépression respiratoire</w:t>
      </w:r>
    </w:p>
    <w:p>
      <w:pPr>
        <w:pStyle w:val="ListBullet"/>
      </w:pPr>
      <w:r/>
      <w:r>
        <w:rPr>
          <w:b/>
        </w:rPr>
        <w:t>Palipéridone + antihypertenseurs</w:t>
      </w:r>
      <w:r>
        <w:t xml:space="preserve"> : hypotension orthostatique majorée</w:t>
      </w:r>
    </w:p>
    <w:p>
      <w:pPr>
        <w:pStyle w:val="ListBullet"/>
      </w:pPr>
      <w:r/>
      <w:r>
        <w:rPr>
          <w:b/>
        </w:rPr>
        <w:t>Palipéridone + lévodopa</w:t>
      </w:r>
      <w:r>
        <w:t xml:space="preserve"> : antagonisme de l'effet antiparkinsonien</w:t>
      </w:r>
    </w:p>
    <w:p>
      <w:pPr>
        <w:pStyle w:val="ListBullet"/>
      </w:pPr>
      <w:r/>
      <w:r>
        <w:rPr>
          <w:b/>
        </w:rPr>
        <w:t>Palipéridone + lithium</w:t>
      </w:r>
      <w:r>
        <w:t xml:space="preserve"> : risque majoré de syndrome malin et EPS</w:t>
      </w:r>
    </w:p>
    <w:p>
      <w:r/>
      <w:r>
        <w:rPr>
          <w:b/>
        </w:rPr>
        <w:t>Grossesse et Allaitement :</w:t>
      </w:r>
      <w:r/>
    </w:p>
    <w:p>
      <w:pPr>
        <w:pStyle w:val="ListBullet"/>
      </w:pPr>
      <w:r/>
      <w:r>
        <w:rPr>
          <w:b/>
        </w:rPr>
        <w:t>Grossesse</w:t>
      </w:r>
      <w:r>
        <w:t xml:space="preserve"> : selon CRAT, données limitées (peu de grossesses exposées en formes LP). Profil identique à la rispéridone : pas de surrisque malformatif global démontré. Risque d'</w:t>
      </w:r>
      <w:r>
        <w:rPr>
          <w:b/>
        </w:rPr>
        <w:t>hypotonie néonatale transitoire</w:t>
      </w:r>
      <w:r>
        <w:t>, de détresse respiratoire, de syndrome de sevrage néonatal. Risque métabolique. À éviter si possible ; si nécessaire, dose minimale efficace, surveillance renforcée. Surveillance néonatale (48 h en maternité). Échographie morphologique standard à 22 SA.</w:t>
      </w:r>
    </w:p>
    <w:p>
      <w:pPr>
        <w:pStyle w:val="ListBullet"/>
      </w:pPr>
      <w:r/>
      <w:r>
        <w:rPr>
          <w:b/>
        </w:rPr>
        <w:t>Allaitement</w:t>
      </w:r>
      <w:r>
        <w:t xml:space="preserve"> : selon CRAT, la palipéridone passe dans le lait maternel (rapport lait/plasma ~0,5), DRI ~1-3 % de la dose maternelle pondérale — en dessous du seuil de préoccupation. L'allaitement est possible sous surveillance de la sédation, du poids et du développement neurologique du nourrisson. À éviter en cas de polymédication maternelle.</w:t>
      </w:r>
    </w:p>
    <w:p>
      <w:pPr>
        <w:pStyle w:val="ListBullet"/>
      </w:pPr>
      <w:r/>
      <w:r>
        <w:rPr>
          <w:b/>
        </w:rPr>
        <w:t>Précisions</w:t>
      </w:r>
      <w:r>
        <w:t xml:space="preserve"> : surveillance glycémie néonatale, poids, comportement.</w:t>
      </w:r>
    </w:p>
    <w:p>
      <w:r/>
      <w:r>
        <w:rPr>
          <w:b/>
        </w:rPr>
        <w:t>Posologie et Mode d'administration (Standard) :</w:t>
      </w:r>
      <w:r/>
    </w:p>
    <w:p>
      <w:pPr>
        <w:pStyle w:val="ListBullet"/>
      </w:pPr>
      <w:r/>
      <w:r>
        <w:rPr>
          <w:b/>
        </w:rPr>
        <w:t>Forme injectable LP mensuelle (XEPLION)</w:t>
      </w:r>
      <w:r>
        <w:t xml:space="preserve"> :</w:t>
      </w:r>
    </w:p>
    <w:p>
      <w:pPr>
        <w:pStyle w:val="ListBullet"/>
      </w:pPr>
      <w:r/>
      <w:r>
        <w:rPr>
          <w:b/>
        </w:rPr>
        <w:t>Initiation chez le patient non préalablement traité par rispéridone orale</w:t>
      </w:r>
      <w:r>
        <w:t xml:space="preserve"> : NE PAS commencer directement par la forme LP. Préalablement stabiliser sous rispéridone orale ou palipéridone orale pendant 4-7 jours pour vérifier la tolérance.</w:t>
      </w:r>
    </w:p>
    <w:p>
      <w:pPr>
        <w:pStyle w:val="ListBullet"/>
      </w:pPr>
      <w:r/>
      <w:r>
        <w:rPr>
          <w:b/>
        </w:rPr>
        <w:t>Conversion depuis rispéridone orale</w:t>
      </w:r>
      <w:r>
        <w:t xml:space="preserve"> :</w:t>
      </w:r>
    </w:p>
    <w:p>
      <w:pPr>
        <w:pStyle w:val="ListBullet"/>
      </w:pPr>
      <w:r>
        <w:t>Rispéridone orale 2-4 mg/j → Xeplion 50-75 mg/4 semaines</w:t>
      </w:r>
    </w:p>
    <w:p>
      <w:pPr>
        <w:pStyle w:val="ListBullet"/>
      </w:pPr>
      <w:r>
        <w:t>Rispéridone orale 5 mg/j → Xeplion 100 mg/4 semaines</w:t>
      </w:r>
    </w:p>
    <w:p>
      <w:pPr>
        <w:pStyle w:val="ListBullet"/>
      </w:pPr>
      <w:r>
        <w:t>Rispéridone orale 6-8 mg/j → Xeplion 150 mg/4 semaines</w:t>
      </w:r>
    </w:p>
    <w:p>
      <w:pPr>
        <w:pStyle w:val="ListBullet"/>
      </w:pPr>
      <w:r/>
      <w:r>
        <w:rPr>
          <w:b/>
        </w:rPr>
        <w:t>Initiation chez le patient déjà sous Risperdal Consta</w:t>
      </w:r>
      <w:r>
        <w:t xml:space="preserve"> : remplacer à dose équivalente (Consta 25 mg/2 sem → Xeplion 50 mg/4 sem ; Consta 37,5 mg → Xeplion 75 mg ; Consta 50 mg → Xeplion 100 mg), avec surveillance 1 mois après le dernier Risperdal Consta</w:t>
      </w:r>
    </w:p>
    <w:p>
      <w:pPr>
        <w:pStyle w:val="ListBullet"/>
      </w:pPr>
      <w:r/>
      <w:r>
        <w:rPr>
          <w:b/>
        </w:rPr>
        <w:t>Dose cible d'entretien</w:t>
      </w:r>
      <w:r>
        <w:t xml:space="preserve"> : 75-100 mg/4 semaines, ajustable par paliers de 25 mg</w:t>
      </w:r>
    </w:p>
    <w:p>
      <w:pPr>
        <w:pStyle w:val="ListBullet"/>
      </w:pPr>
      <w:r/>
      <w:r>
        <w:rPr>
          <w:b/>
        </w:rPr>
        <w:t>Maximum</w:t>
      </w:r>
      <w:r>
        <w:t xml:space="preserve"> : 150 mg/4 semaines</w:t>
      </w:r>
    </w:p>
    <w:p>
      <w:pPr>
        <w:pStyle w:val="ListBullet"/>
      </w:pPr>
      <w:r/>
      <w:r>
        <w:rPr>
          <w:b/>
        </w:rPr>
        <w:t>Administration</w:t>
      </w:r>
      <w:r>
        <w:t xml:space="preserve"> : injection IM profonde dans le muscle deltoïde ou fessier, rotation des sites, par personnel soignant qualifié</w:t>
      </w:r>
    </w:p>
    <w:p>
      <w:pPr>
        <w:pStyle w:val="ListBullet"/>
      </w:pPr>
      <w:r/>
      <w:r>
        <w:rPr>
          <w:b/>
        </w:rPr>
        <w:t>Forme injectable LP trimestrielle (TREVICTA)</w:t>
      </w:r>
      <w:r>
        <w:t xml:space="preserve"> :</w:t>
      </w:r>
    </w:p>
    <w:p>
      <w:pPr>
        <w:pStyle w:val="ListBullet"/>
      </w:pPr>
      <w:r>
        <w:t>Réservée aux patients déjà stabilisés sous palipéridone LP mensuelle (Xeplion) pendant ≥ 4 mois</w:t>
      </w:r>
    </w:p>
    <w:p>
      <w:pPr>
        <w:pStyle w:val="ListBullet"/>
      </w:pPr>
      <w:r>
        <w:t>Conversion depuis Xeplion :</w:t>
      </w:r>
    </w:p>
    <w:p>
      <w:pPr>
        <w:pStyle w:val="ListBullet"/>
      </w:pPr>
      <w:r>
        <w:t>Xeplion 50 mg/4 sem → Trevicta 175 mg/3 mois</w:t>
      </w:r>
    </w:p>
    <w:p>
      <w:pPr>
        <w:pStyle w:val="ListBullet"/>
      </w:pPr>
      <w:r>
        <w:t>Xeplion 75 mg/4 sem → Trevicta 263 mg/3 mois</w:t>
      </w:r>
    </w:p>
    <w:p>
      <w:pPr>
        <w:pStyle w:val="ListBullet"/>
      </w:pPr>
      <w:r>
        <w:t>Xeplion 100 mg/4 sem → Trevicta 350 mg/3 mois</w:t>
      </w:r>
    </w:p>
    <w:p>
      <w:pPr>
        <w:pStyle w:val="ListBullet"/>
      </w:pPr>
      <w:r>
        <w:t>Xeplion 150 mg/4 sem → Trevicta 525 mg/3 mois</w:t>
      </w:r>
    </w:p>
    <w:p>
      <w:pPr>
        <w:pStyle w:val="ListBullet"/>
      </w:pPr>
      <w:r/>
      <w:r>
        <w:rPr>
          <w:b/>
        </w:rPr>
        <w:t>Administration</w:t>
      </w:r>
      <w:r>
        <w:t xml:space="preserve"> : injection IM fessière profonde, surveillance post-injection de 3 h en milieu médicalisé (risque de syndrome de surdosage)</w:t>
      </w:r>
    </w:p>
    <w:p>
      <w:pPr>
        <w:pStyle w:val="ListBullet"/>
      </w:pPr>
      <w:r/>
      <w:r>
        <w:rPr>
          <w:b/>
        </w:rPr>
        <w:t>Sujet âgé</w:t>
      </w:r>
      <w:r>
        <w:t xml:space="preserve"> : dose réduite, titration prudente</w:t>
      </w:r>
    </w:p>
    <w:p>
      <w:pPr>
        <w:pStyle w:val="ListBullet"/>
      </w:pPr>
      <w:r/>
      <w:r>
        <w:rPr>
          <w:b/>
        </w:rPr>
        <w:t>Insuffisant rénal modéré</w:t>
      </w:r>
      <w:r>
        <w:t xml:space="preserve"> (ClCr 10-50 mL/min) : dose réduite de moitié</w:t>
      </w:r>
    </w:p>
    <w:p>
      <w:pPr>
        <w:pStyle w:val="ListBullet"/>
      </w:pPr>
      <w:r/>
      <w:r>
        <w:rPr>
          <w:b/>
        </w:rPr>
        <w:t>Insuffisant rénal sévère</w:t>
      </w:r>
      <w:r>
        <w:t xml:space="preserve"> (ClCr &lt; 10 mL/min) : CI</w:t>
      </w:r>
    </w:p>
    <w:p>
      <w:pPr>
        <w:pStyle w:val="ListBullet"/>
      </w:pPr>
      <w:r/>
      <w:r>
        <w:rPr>
          <w:b/>
        </w:rPr>
        <w:t>Insuffisant hépatique léger à modéré</w:t>
      </w:r>
      <w:r>
        <w:t xml:space="preserve"> : pas d'adaptation</w:t>
      </w:r>
    </w:p>
    <w:p>
      <w:pPr>
        <w:pStyle w:val="ListBullet"/>
      </w:pPr>
      <w:r/>
      <w:r>
        <w:rPr>
          <w:b/>
        </w:rPr>
        <w:t>Insuffisant hépatique sévère</w:t>
      </w:r>
      <w:r>
        <w:t xml:space="preserve"> : non recommandé</w:t>
      </w:r>
    </w:p>
    <w:p>
      <w:pPr>
        <w:pStyle w:val="ListBullet"/>
      </w:pPr>
      <w:r/>
      <w:r>
        <w:rPr>
          <w:b/>
        </w:rPr>
        <w:t>Durée</w:t>
      </w:r>
      <w:r>
        <w:t xml:space="preserve"> : au long cours (années) ; évaluation annuelle du bien-fondé</w:t>
      </w:r>
    </w:p>
    <w:p>
      <w:pPr>
        <w:pStyle w:val="ListBullet"/>
      </w:pPr>
      <w:r/>
      <w:r>
        <w:rPr>
          <w:b/>
        </w:rPr>
        <w:t>Surveillance post-injection</w:t>
      </w:r>
      <w:r>
        <w:t xml:space="preserve"> : 3 h en milieu médicalisé après chaque injection Trevicta (risque de syndrome de surdosage)</w:t>
      </w:r>
    </w:p>
    <w:p>
      <w:r/>
      <w:r>
        <w:rPr>
          <w:b/>
        </w:rPr>
        <w:t>Arbitrage et Bénéfices des Formes Galéniques :</w:t>
      </w:r>
      <w:r/>
    </w:p>
    <w:p>
      <w:pPr>
        <w:pStyle w:val="ListBullet"/>
      </w:pPr>
      <w:r/>
      <w:r>
        <w:rPr>
          <w:b/>
        </w:rPr>
        <w:t>Forme injectable LP mensuelle (XEPLION)</w:t>
      </w:r>
      <w:r>
        <w:t xml:space="preserve"> : indiquée pour l'entretien à long terme chez les patients stabilisés sous forme orale de rispéridone ou de palipéridone, observance problématique. Injection IM mensuelle (1×/4 semaines). Permet une couverture continue, une stabilité des taux plasmatiques, et une réduction des rechutes. Supérieure à Risperdal Consta (1×/2 semaines + chevauchement oral de 3 semaines à l'initiation).</w:t>
      </w:r>
    </w:p>
    <w:p>
      <w:pPr>
        <w:pStyle w:val="ListBullet"/>
      </w:pPr>
      <w:r/>
      <w:r>
        <w:rPr>
          <w:b/>
        </w:rPr>
        <w:t>Forme injectable LP trimestrielle (TREVICTA)</w:t>
      </w:r>
      <w:r>
        <w:t xml:space="preserve"> : indiquée pour l'entretien à long terme chez les patients déjà stabilisés sous Xeplion mensuel. Injection IM trimestrielle (1×/3 mois). Permet une observance exceptionnelle (4 injections par an). Nécessite une surveillance post-injection de 3 h en milieu médicalisé.</w:t>
      </w:r>
    </w:p>
    <w:p>
      <w:pPr>
        <w:pStyle w:val="ListBullet"/>
      </w:pPr>
      <w:r/>
      <w:r>
        <w:rPr>
          <w:b/>
        </w:rPr>
        <w:t>Avantage principal sur la rispéridone orale</w:t>
      </w:r>
      <w:r>
        <w:t xml:space="preserve"> : observance garantie, stabilité pharmacocinétique (indépendante du CYP2D6), absence de métabolisme hépatique (utile en cas de polymédication ou d'insuffisance hépatique).</w:t>
      </w:r>
    </w:p>
    <w:p>
      <w:pPr>
        <w:pStyle w:val="ListBullet"/>
      </w:pPr>
      <w:r/>
      <w:r>
        <w:rPr>
          <w:b/>
        </w:rPr>
        <w:t>Inconvénient</w:t>
      </w:r>
      <w:r>
        <w:t xml:space="preserve"> : profil d'EI identique (hyperprolactinémie, EPS, prise de poids), nécessité d'une injection mensuelle/trimestrielle en milieu médicalisé, impossibilité d'arrêt rapide en cas d'EI grave (demi-vie résiduelle ~ 1-2 mois).</w:t>
      </w:r>
    </w:p>
    <w:p>
      <w:r/>
      <w:r>
        <w:rPr>
          <w:b/>
        </w:rPr>
        <w:t>Instructions et Conseils au Patient :</w:t>
      </w:r>
      <w:r/>
    </w:p>
    <w:p>
      <w:pPr>
        <w:pStyle w:val="ListBullet"/>
      </w:pPr>
      <w:r/>
      <w:r>
        <w:rPr>
          <w:b/>
        </w:rPr>
        <w:t>Communication au comptoir</w:t>
      </w:r>
      <w:r>
        <w:t xml:space="preserve"> :</w:t>
      </w:r>
    </w:p>
    <w:p>
      <w:pPr>
        <w:pStyle w:val="ListBullet"/>
      </w:pPr>
      <w:r>
        <w:t>Expliquer que l'injection est mensuelle (Xeplion) ou trimestrielle (Trevicta), effectuée par le médecin ou l'infirmier en milieu médicalisé</w:t>
      </w:r>
    </w:p>
    <w:p>
      <w:pPr>
        <w:pStyle w:val="ListBullet"/>
      </w:pPr>
      <w:r/>
      <w:r>
        <w:rPr>
          <w:b/>
        </w:rPr>
        <w:t>Surveillance post-injection de 3 h</w:t>
      </w:r>
      <w:r>
        <w:t xml:space="preserve"> pour Trevicta (risque de syndrome de surdosage — hypotension, sédation profonde)</w:t>
      </w:r>
    </w:p>
    <w:p>
      <w:pPr>
        <w:pStyle w:val="ListBullet"/>
      </w:pPr>
      <w:r>
        <w:t xml:space="preserve">Prévenir les </w:t>
      </w:r>
      <w:r>
        <w:rPr>
          <w:b/>
        </w:rPr>
        <w:t>signes d'hyperprolactinémie</w:t>
      </w:r>
      <w:r>
        <w:t xml:space="preserve"> : troubles du cycle, galactorrhée, gynécomastie, troubles sexuels — à signaler au médecin</w:t>
      </w:r>
    </w:p>
    <w:p>
      <w:pPr>
        <w:pStyle w:val="ListBullet"/>
      </w:pPr>
      <w:r/>
      <w:r>
        <w:rPr>
          <w:b/>
        </w:rPr>
        <w:t>Surveillance métabolique</w:t>
      </w:r>
      <w:r>
        <w:t xml:space="preserve"> : bilan sanguin selon calendrier</w:t>
      </w:r>
    </w:p>
    <w:p>
      <w:pPr>
        <w:pStyle w:val="ListBullet"/>
      </w:pPr>
      <w:r/>
      <w:r>
        <w:rPr>
          <w:b/>
        </w:rPr>
        <w:t>Surveillance du site d'injection</w:t>
      </w:r>
      <w:r>
        <w:t xml:space="preserve"> : douleur, rougeur, induration, nodule — à signaler</w:t>
      </w:r>
    </w:p>
    <w:p>
      <w:pPr>
        <w:pStyle w:val="ListBullet"/>
      </w:pPr>
      <w:r>
        <w:t>Ne pas arrêter le suivi médical (le traitement est mensuel/trimestriel, mais le suivi psychiatrique reste régulier)</w:t>
      </w:r>
    </w:p>
    <w:p>
      <w:pPr>
        <w:pStyle w:val="ListBullet"/>
      </w:pPr>
      <w:r/>
      <w:r>
        <w:rPr>
          <w:b/>
        </w:rPr>
        <w:t>Mode d'utilisation pratique</w:t>
      </w:r>
      <w:r>
        <w:t xml:space="preserve"> :</w:t>
      </w:r>
    </w:p>
    <w:p>
      <w:pPr>
        <w:pStyle w:val="ListBullet"/>
      </w:pPr>
      <w:r>
        <w:t>Le patient ne manipule pas la forme injectable (réservée au personnel soignant)</w:t>
      </w:r>
    </w:p>
    <w:p>
      <w:pPr>
        <w:pStyle w:val="ListBullet"/>
      </w:pPr>
      <w:r>
        <w:t>Tenir un carnet de suivi des injections (dates, doses, sites d'injection)</w:t>
      </w:r>
    </w:p>
    <w:p>
      <w:pPr>
        <w:pStyle w:val="ListBullet"/>
      </w:pPr>
      <w:r>
        <w:t>Ne pas rater un rendez-vous d'injection (risque de rebond psychotique)</w:t>
      </w:r>
    </w:p>
    <w:p>
      <w:pPr>
        <w:pStyle w:val="ListBullet"/>
      </w:pPr>
      <w:r>
        <w:t>En cas d'oubli d'injection de plus de 2 semaines (Xeplion) ou 1 mois (Trevicta) : consulter en urgence pour réajustement</w:t>
      </w:r>
    </w:p>
    <w:p>
      <w:pPr>
        <w:pStyle w:val="ListBullet"/>
      </w:pPr>
      <w:r>
        <w:t>Signaler tout autre médicament au médecin (interactions)</w:t>
      </w:r>
    </w:p>
    <w:p>
      <w:r/>
      <w:r>
        <w:rPr>
          <w:b/>
        </w:rPr>
        <w:t>Données Pharmacocinétiques détaillées :</w:t>
      </w:r>
      <w:r/>
    </w:p>
    <w:p>
      <w:pPr>
        <w:pStyle w:val="ListBullet"/>
      </w:pPr>
      <w:r/>
      <w:r>
        <w:rPr>
          <w:b/>
        </w:rPr>
        <w:t>Absorption</w:t>
      </w:r>
      <w:r>
        <w:t xml:space="preserve"> : la palipéridone (forme orale LP) est bien absorbée (biodisponibilité ~ 28 % — forte métabolisation de premier passage résiduelle). Le pic plasmatique est atteint en 24 h (technologie OROS — système à libération osmotique). Pour les formes injectables LP (Xeplion mensuel, Trevicta trimestriel), la résorption se fait par hydrolyse progressive des microsphères polymeriques dans le tissu musculaire, avec un plateau plasmatique atteint en 4-6 semaines (Xeplion) ou 3 mois (Trevicta). La demi-vie apparente est prolongée : 25-49 jours pour Xeplion, 84-95 jours pour Trevicta (d'où l'intervalle d'administration mensuel/trimestriel).</w:t>
      </w:r>
    </w:p>
    <w:p>
      <w:pPr>
        <w:pStyle w:val="ListBullet"/>
      </w:pPr>
      <w:r/>
      <w:r>
        <w:rPr>
          <w:b/>
        </w:rPr>
        <w:t>Distribution</w:t>
      </w:r>
      <w:r>
        <w:t xml:space="preserve"> : liaison aux protéines plasmatiques ~ 74 % (principalement alpha-1-glycoprotéine acide). Volume de distribution modéré.</w:t>
      </w:r>
    </w:p>
    <w:p>
      <w:pPr>
        <w:pStyle w:val="ListBullet"/>
      </w:pPr>
      <w:r/>
      <w:r>
        <w:rPr>
          <w:b/>
        </w:rPr>
        <w:t>Métabolisme</w:t>
      </w:r>
      <w:r>
        <w:t xml:space="preserve"> : hépatique minimal (~ 25 %), principalement voie CYP2D6 et 3A4 pour une faible fraction. La palipéridone n'est PAS métabolisée de manière significative par le CYP2D6 (contrairement à la rispéridone mère) — c'est l'avantage pharmacocinétique principal par rapport à la rispéridone : pas de variabilité inter-individuelle liée au polymorphisme CYP2D6.</w:t>
      </w:r>
    </w:p>
    <w:p>
      <w:pPr>
        <w:pStyle w:val="ListBullet"/>
      </w:pPr>
      <w:r/>
      <w:r>
        <w:rPr>
          <w:b/>
        </w:rPr>
        <w:t>Demi-vie d'élimination</w:t>
      </w:r>
      <w:r>
        <w:t xml:space="preserve"> : ~ 23 h pour la forme orale LP, 25-49 jours pour Xeplion (forme injectable LP mensuelle), 84-95 jours pour Trevicta (forme injectable LP trimestrielle). Ces longues demi-vies expliquent le délai d'action (4-6 semaines pour atteindre le plateau), la longue période d'élimination résiduelle après arrêt (1-2 mois), et l'impossibilité d'un arrêt rapide en cas d'EI grave.</w:t>
      </w:r>
    </w:p>
    <w:p>
      <w:pPr>
        <w:pStyle w:val="ListBullet"/>
      </w:pPr>
      <w:r/>
      <w:r>
        <w:rPr>
          <w:b/>
        </w:rPr>
        <w:t>Élimination</w:t>
      </w:r>
      <w:r>
        <w:t xml:space="preserve"> : ~ 80 % urinaire en forme inchangée (la palipéridone est déjà le métabolite actif de la rispéridone et n'est pas re-métabolisée en majorité), ~ 11 % fécale. D'où l'importance majeure de la créatininémie avant initiation.</w:t>
      </w:r>
    </w:p>
    <w:p>
      <w:pPr>
        <w:pStyle w:val="ListBullet"/>
      </w:pPr>
      <w:r/>
      <w:r>
        <w:rPr>
          <w:b/>
        </w:rPr>
        <w:t>Insuffisance rénale</w:t>
      </w:r>
      <w:r>
        <w:t xml:space="preserve"> : réduction posologique stricte :</w:t>
      </w:r>
    </w:p>
    <w:p>
      <w:pPr>
        <w:pStyle w:val="ListBullet"/>
      </w:pPr>
      <w:r>
        <w:t>ClCr 50-80 mL/min : dose réduite de 25 %</w:t>
      </w:r>
    </w:p>
    <w:p>
      <w:pPr>
        <w:pStyle w:val="ListBullet"/>
      </w:pPr>
      <w:r>
        <w:t>ClCr 10-50 mL/min : dose réduite de 50 %</w:t>
      </w:r>
    </w:p>
    <w:p>
      <w:pPr>
        <w:pStyle w:val="ListBullet"/>
      </w:pPr>
      <w:r>
        <w:t>ClCr &lt; 10 mL/min : CI</w:t>
      </w:r>
    </w:p>
    <w:p>
      <w:pPr>
        <w:pStyle w:val="ListBullet"/>
      </w:pPr>
      <w:r/>
      <w:r>
        <w:rPr>
          <w:b/>
        </w:rPr>
        <w:t>Insuffisance hépatique</w:t>
      </w:r>
      <w:r>
        <w:t xml:space="preserve"> : pas d'adaptation posologique.</w:t>
      </w:r>
    </w:p>
    <w:p>
      <w:pPr>
        <w:pStyle w:val="ListBullet"/>
      </w:pPr>
      <w:r/>
      <w:r>
        <w:rPr>
          <w:b/>
        </w:rPr>
        <w:t>Sujet âgé</w:t>
      </w:r>
      <w:r>
        <w:t xml:space="preserve"> : clearance réduite de 20-30 %, dose réduite.</w:t>
      </w:r>
    </w:p>
    <w:p>
      <w:r/>
      <w:r>
        <w:rPr>
          <w:b/>
        </w:rPr>
        <w:t>Notes, Règles d'Or &amp; Pièges au Comptoir :</w:t>
      </w:r>
      <w:r/>
    </w:p>
    <w:p>
      <w:pPr>
        <w:pStyle w:val="ListBullet"/>
      </w:pPr>
      <w:r/>
      <w:r>
        <w:rPr>
          <w:b/>
        </w:rPr>
        <w:t>Piège classique — Hyperprolactinémie méconnue</w:t>
      </w:r>
      <w:r>
        <w:t xml:space="preserve"> : comme avec la rispéridone, une aménorrhée, une galactorrhée ou une gynécomastie chez un patient sous palipéridone doit faire demander une prolactinémie. EI le plus spécifique et le plus sous-diagnostiqué.</w:t>
      </w:r>
    </w:p>
    <w:p>
      <w:pPr>
        <w:pStyle w:val="ListBullet"/>
      </w:pPr>
      <w:r/>
      <w:r>
        <w:rPr>
          <w:b/>
        </w:rPr>
        <w:t>Piège classique — Syndrome de surdosage post-injection (Trevicta)</w:t>
      </w:r>
      <w:r>
        <w:t xml:space="preserve"> : rare mais potentiellement grave — hypotension sévère, sédation profonde dans les 1-3 h suivant l'injection. Nécessite une surveillance post-injection de 3 h en milieu médicalisé.</w:t>
      </w:r>
    </w:p>
    <w:p>
      <w:pPr>
        <w:pStyle w:val="ListBullet"/>
      </w:pPr>
      <w:r/>
      <w:r>
        <w:rPr>
          <w:b/>
        </w:rPr>
        <w:t>Piège classique — Insuffisance rénale non dépistée</w:t>
      </w:r>
      <w:r>
        <w:t xml:space="preserve"> : la palipéridone est éliminée par voie rénale à 80 % sous forme inchangée. Une insuffisance rénale méconnue peut conduire à un surdosage. Toujours vérifier la créatininémie avant initiation.</w:t>
      </w:r>
    </w:p>
    <w:p>
      <w:pPr>
        <w:pStyle w:val="ListBullet"/>
      </w:pPr>
      <w:r/>
      <w:r>
        <w:rPr>
          <w:b/>
        </w:rPr>
        <w:t>Piège classique — Réactions au site d'injection</w:t>
      </w:r>
      <w:r>
        <w:t xml:space="preserve"> : surveiller, rotation des sites, traitement local. En cas d'abcès ou de nodule persistant, consulter.</w:t>
      </w:r>
    </w:p>
    <w:p>
      <w:pPr>
        <w:pStyle w:val="ListBullet"/>
      </w:pPr>
      <w:r/>
      <w:r>
        <w:rPr>
          <w:b/>
        </w:rPr>
        <w:t>Règle de prise</w:t>
      </w:r>
      <w:r>
        <w:t xml:space="preserve"> : jamais en auto-administration (réservée au personnel soignant qualifié), surveillance post-injection de 3 h pour Trevicta.</w:t>
      </w:r>
    </w:p>
    <w:p>
      <w:pPr>
        <w:pStyle w:val="ListBullet"/>
      </w:pPr>
      <w:r/>
      <w:r>
        <w:rPr>
          <w:b/>
        </w:rPr>
        <w:t>Préparation et Conservation</w:t>
      </w:r>
      <w:r>
        <w:t xml:space="preserve"> : conservation à température &lt; 25 °C, à l'abri de la lumière. Ne pas congeler. Les seringues pré-remplies doivent être amenées à température ambiante avant injection (15-30 min).</w:t>
      </w:r>
    </w:p>
    <w:p>
      <w:pPr>
        <w:pStyle w:val="ListBullet"/>
      </w:pPr>
      <w:r/>
      <w:r>
        <w:rPr>
          <w:b/>
        </w:rPr>
        <w:t>Piège du surdosage / Substitution</w:t>
      </w:r>
      <w:r>
        <w:t xml:space="preserve"> :</w:t>
      </w:r>
    </w:p>
    <w:p>
      <w:pPr>
        <w:pStyle w:val="ListBullet"/>
      </w:pPr>
      <w:r>
        <w:t>Surdosage : somnolence, hypotension sévère, tachycardie, EPS, allongement QTc, convulsions — réanimation symptomatique. Attention : la longue demi-vie de la forme LP impose une surveillance prolongée en réanimation (plusieurs jours à semaines).</w:t>
      </w:r>
    </w:p>
    <w:p>
      <w:pPr>
        <w:pStyle w:val="ListBullet"/>
      </w:pPr>
      <w:r/>
      <w:r>
        <w:rPr>
          <w:b/>
        </w:rPr>
        <w:t>Substitution</w:t>
      </w:r>
      <w:r>
        <w:t xml:space="preserve"> : switch possible depuis Xeplion vers Trevicta selon le schéma de conversion officiel. Switch depuis rispéridone orale vers Xeplion selon le schéma de conversion. Le switch vers d'autres AP-2G (aripiprazole, olanzapine) se fait en cross-taper avec chevauchement de 4-6 semaines (en raison de la longue demi-vée des formes LP).</w:t>
      </w:r>
    </w:p>
    <w:p>
      <w:pPr>
        <w:pStyle w:val="ListBullet"/>
      </w:pPr>
      <w:r>
        <w:t xml:space="preserve">Attention à ne pas confondre la </w:t>
      </w:r>
      <w:r>
        <w:rPr>
          <w:b/>
        </w:rPr>
        <w:t>palipéridone</w:t>
      </w:r>
      <w:r>
        <w:t xml:space="preserve"> avec la </w:t>
      </w:r>
      <w:r>
        <w:rPr>
          <w:b/>
        </w:rPr>
        <w:t>palifarmine</w:t>
      </w:r>
      <w:r>
        <w:t xml:space="preserve"> (n'existe pas) ou la </w:t>
      </w:r>
      <w:r>
        <w:rPr>
          <w:b/>
        </w:rPr>
        <w:t>palivizumab</w:t>
      </w:r>
      <w:r>
        <w:t xml:space="preserve"> (anticorps monoclonal anti-VRS)</w:t>
      </w:r>
    </w:p>
    <w:p>
      <w:pPr>
        <w:pStyle w:val="Heading2"/>
      </w:pPr>
      <w:r>
        <w:t>Tableau Comparatif Synthétique des Antipsychotiques Atypiques (2G et 3G)</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 principal</w:t>
            </w:r>
          </w:p>
        </w:tc>
        <w:tc>
          <w:tcPr>
            <w:tcW w:type="dxa" w:w="1336"/>
          </w:tcPr>
          <w:p>
            <w:r>
              <w:rPr>
                <w:b/>
                <w:sz w:val="20"/>
              </w:rPr>
              <w:t>Posologie standard adulte</w:t>
            </w:r>
          </w:p>
        </w:tc>
        <w:tc>
          <w:tcPr>
            <w:tcW w:type="dxa" w:w="1336"/>
          </w:tcPr>
          <w:p>
            <w:r>
              <w:rPr>
                <w:b/>
                <w:sz w:val="20"/>
              </w:rPr>
              <w:t>EI majeur spécifique</w:t>
            </w:r>
          </w:p>
        </w:tc>
        <w:tc>
          <w:tcPr>
            <w:tcW w:type="dxa" w:w="1336"/>
          </w:tcPr>
          <w:p>
            <w:r>
              <w:rPr>
                <w:b/>
                <w:sz w:val="20"/>
              </w:rPr>
              <w:t>CI principale</w:t>
            </w:r>
          </w:p>
        </w:tc>
        <w:tc>
          <w:tcPr>
            <w:tcW w:type="dxa" w:w="1336"/>
          </w:tcPr>
          <w:p>
            <w:r>
              <w:rPr>
                <w:b/>
                <w:sz w:val="20"/>
              </w:rPr>
              <w:t>Grossesse (CRAT)</w:t>
            </w:r>
          </w:p>
        </w:tc>
      </w:tr>
      <w:tr>
        <w:tc>
          <w:tcPr>
            <w:tcW w:type="dxa" w:w="1336"/>
          </w:tcPr>
          <w:p>
            <w:r>
              <w:rPr>
                <w:sz w:val="20"/>
              </w:rPr>
              <w:t>**Clozapine**</w:t>
            </w:r>
          </w:p>
        </w:tc>
        <w:tc>
          <w:tcPr>
            <w:tcW w:type="dxa" w:w="1336"/>
          </w:tcPr>
          <w:p>
            <w:r>
              <w:rPr>
                <w:sz w:val="20"/>
              </w:rPr>
              <w:t>2G — dibenzodiazépine</w:t>
            </w:r>
          </w:p>
        </w:tc>
        <w:tc>
          <w:tcPr>
            <w:tcW w:type="dxa" w:w="1336"/>
          </w:tcPr>
          <w:p>
            <w:r>
              <w:rPr>
                <w:sz w:val="20"/>
              </w:rPr>
              <w:t>Multi-récepteurs (D4, 5-HT2A, H1, M1) — atypique princeps</w:t>
            </w:r>
          </w:p>
        </w:tc>
        <w:tc>
          <w:tcPr>
            <w:tcW w:type="dxa" w:w="1336"/>
          </w:tcPr>
          <w:p>
            <w:r>
              <w:rPr>
                <w:sz w:val="20"/>
              </w:rPr>
              <w:t>200-600 mg/j en 2 prises (max 900 mg/j)</w:t>
            </w:r>
          </w:p>
        </w:tc>
        <w:tc>
          <w:tcPr>
            <w:tcW w:type="dxa" w:w="1336"/>
          </w:tcPr>
          <w:p>
            <w:r>
              <w:rPr>
                <w:sz w:val="20"/>
              </w:rPr>
              <w:t>Agranulocytose (~1 %) + myocardite + syndrome métabolique majeur</w:t>
            </w:r>
          </w:p>
        </w:tc>
        <w:tc>
          <w:tcPr>
            <w:tcW w:type="dxa" w:w="1336"/>
          </w:tcPr>
          <w:p>
            <w:r>
              <w:rPr>
                <w:sz w:val="20"/>
              </w:rPr>
              <w:t>ATCD agranulocytose, myélosuppresseurs, épilepsie non contrôlée, allaitement</w:t>
            </w:r>
          </w:p>
        </w:tc>
        <w:tc>
          <w:tcPr>
            <w:tcW w:type="dxa" w:w="1336"/>
          </w:tcPr>
          <w:p>
            <w:r>
              <w:rPr>
                <w:sz w:val="20"/>
              </w:rPr>
              <w:t>À éviter si possible, CI allaitement absolu</w:t>
            </w:r>
          </w:p>
        </w:tc>
      </w:tr>
      <w:tr>
        <w:tc>
          <w:tcPr>
            <w:tcW w:type="dxa" w:w="1336"/>
          </w:tcPr>
          <w:p>
            <w:r>
              <w:rPr>
                <w:sz w:val="20"/>
              </w:rPr>
              <w:t>**Rispéridone**</w:t>
            </w:r>
          </w:p>
        </w:tc>
        <w:tc>
          <w:tcPr>
            <w:tcW w:type="dxa" w:w="1336"/>
          </w:tcPr>
          <w:p>
            <w:r>
              <w:rPr>
                <w:sz w:val="20"/>
              </w:rPr>
              <w:t>2G — benzisoxazole</w:t>
            </w:r>
          </w:p>
        </w:tc>
        <w:tc>
          <w:tcPr>
            <w:tcW w:type="dxa" w:w="1336"/>
          </w:tcPr>
          <w:p>
            <w:r>
              <w:rPr>
                <w:sz w:val="20"/>
              </w:rPr>
              <w:t>D2 + 5-HT2A antagoniste, ratio élevé</w:t>
            </w:r>
          </w:p>
        </w:tc>
        <w:tc>
          <w:tcPr>
            <w:tcW w:type="dxa" w:w="1336"/>
          </w:tcPr>
          <w:p>
            <w:r>
              <w:rPr>
                <w:sz w:val="20"/>
              </w:rPr>
              <w:t>2-6 mg/j (max 16 mg/j) en 1-2 prises</w:t>
            </w:r>
          </w:p>
        </w:tc>
        <w:tc>
          <w:tcPr>
            <w:tcW w:type="dxa" w:w="1336"/>
          </w:tcPr>
          <w:p>
            <w:r>
              <w:rPr>
                <w:sz w:val="20"/>
              </w:rPr>
              <w:t>Hyperprolactinémie quasi-systématique + EPS dose-dépendants</w:t>
            </w:r>
          </w:p>
        </w:tc>
        <w:tc>
          <w:tcPr>
            <w:tcW w:type="dxa" w:w="1336"/>
          </w:tcPr>
          <w:p>
            <w:r>
              <w:rPr>
                <w:sz w:val="20"/>
              </w:rPr>
              <w:t>Phéochromocytome, allaitement relatif</w:t>
            </w:r>
          </w:p>
        </w:tc>
        <w:tc>
          <w:tcPr>
            <w:tcW w:type="dxa" w:w="1336"/>
          </w:tcPr>
          <w:p>
            <w:r>
              <w:rPr>
                <w:sz w:val="20"/>
              </w:rPr>
              <w:t>Possible, surveillance néonatale</w:t>
            </w:r>
          </w:p>
        </w:tc>
      </w:tr>
      <w:tr>
        <w:tc>
          <w:tcPr>
            <w:tcW w:type="dxa" w:w="1336"/>
          </w:tcPr>
          <w:p>
            <w:r>
              <w:rPr>
                <w:sz w:val="20"/>
              </w:rPr>
              <w:t>**Olanzapine**</w:t>
            </w:r>
          </w:p>
        </w:tc>
        <w:tc>
          <w:tcPr>
            <w:tcW w:type="dxa" w:w="1336"/>
          </w:tcPr>
          <w:p>
            <w:r>
              <w:rPr>
                <w:sz w:val="20"/>
              </w:rPr>
              <w:t>2G — thiénobenzodiazépine</w:t>
            </w:r>
          </w:p>
        </w:tc>
        <w:tc>
          <w:tcPr>
            <w:tcW w:type="dxa" w:w="1336"/>
          </w:tcPr>
          <w:p>
            <w:r>
              <w:rPr>
                <w:sz w:val="20"/>
              </w:rPr>
              <w:t>D2 + 5-HT2A + H1 + M1 multi-récepteurs</w:t>
            </w:r>
          </w:p>
        </w:tc>
        <w:tc>
          <w:tcPr>
            <w:tcW w:type="dxa" w:w="1336"/>
          </w:tcPr>
          <w:p>
            <w:r>
              <w:rPr>
                <w:sz w:val="20"/>
              </w:rPr>
              <w:t>5-20 mg/j en 1 prise le soir</w:t>
            </w:r>
          </w:p>
        </w:tc>
        <w:tc>
          <w:tcPr>
            <w:tcW w:type="dxa" w:w="1336"/>
          </w:tcPr>
          <w:p>
            <w:r>
              <w:rPr>
                <w:sz w:val="20"/>
              </w:rPr>
              <w:t>Syndrome métabolique majeur (poids, diabète, lipides)</w:t>
            </w:r>
          </w:p>
        </w:tc>
        <w:tc>
          <w:tcPr>
            <w:tcW w:type="dxa" w:w="1336"/>
          </w:tcPr>
          <w:p>
            <w:r>
              <w:rPr>
                <w:sz w:val="20"/>
              </w:rPr>
              <w:t>Glaucome angle fermé, HBP rétention, allaitement</w:t>
            </w:r>
          </w:p>
        </w:tc>
        <w:tc>
          <w:tcPr>
            <w:tcW w:type="dxa" w:w="1336"/>
          </w:tcPr>
          <w:p>
            <w:r>
              <w:rPr>
                <w:sz w:val="20"/>
              </w:rPr>
              <w:t>Possible à dose min, surveillance métabolique néonatale</w:t>
            </w:r>
          </w:p>
        </w:tc>
      </w:tr>
      <w:tr>
        <w:tc>
          <w:tcPr>
            <w:tcW w:type="dxa" w:w="1336"/>
          </w:tcPr>
          <w:p>
            <w:r>
              <w:rPr>
                <w:sz w:val="20"/>
              </w:rPr>
              <w:t>**Quétiapine**</w:t>
            </w:r>
          </w:p>
        </w:tc>
        <w:tc>
          <w:tcPr>
            <w:tcW w:type="dxa" w:w="1336"/>
          </w:tcPr>
          <w:p>
            <w:r>
              <w:rPr>
                <w:sz w:val="20"/>
              </w:rPr>
              <w:t>2G — dibenzothiazépine</w:t>
            </w:r>
          </w:p>
        </w:tc>
        <w:tc>
          <w:tcPr>
            <w:tcW w:type="dxa" w:w="1336"/>
          </w:tcPr>
          <w:p>
            <w:r>
              <w:rPr>
                <w:sz w:val="20"/>
              </w:rPr>
              <w:t>D2 faible + 5-HT2A + H1 + alpha-2 + métabolite NRI</w:t>
            </w:r>
          </w:p>
        </w:tc>
        <w:tc>
          <w:tcPr>
            <w:tcW w:type="dxa" w:w="1336"/>
          </w:tcPr>
          <w:p>
            <w:r>
              <w:rPr>
                <w:sz w:val="20"/>
              </w:rPr>
              <w:t>LI : 300-450 mg/j en 2 prises ; LP : 400-800 mg/j en 1 prise</w:t>
            </w:r>
          </w:p>
        </w:tc>
        <w:tc>
          <w:tcPr>
            <w:tcW w:type="dxa" w:w="1336"/>
          </w:tcPr>
          <w:p>
            <w:r>
              <w:rPr>
                <w:sz w:val="20"/>
              </w:rPr>
              <w:t>Sédation marquée + métabolique intermédiaire</w:t>
            </w:r>
          </w:p>
        </w:tc>
        <w:tc>
          <w:tcPr>
            <w:tcW w:type="dxa" w:w="1336"/>
          </w:tcPr>
          <w:p>
            <w:r>
              <w:rPr>
                <w:sz w:val="20"/>
              </w:rPr>
              <w:t>Phéochromocytome, insuffisance hépatique sévère</w:t>
            </w:r>
          </w:p>
        </w:tc>
        <w:tc>
          <w:tcPr>
            <w:tcW w:type="dxa" w:w="1336"/>
          </w:tcPr>
          <w:p>
            <w:r>
              <w:rPr>
                <w:sz w:val="20"/>
              </w:rPr>
              <w:t>Possible à dose min, surveillance néonatale</w:t>
            </w:r>
          </w:p>
        </w:tc>
      </w:tr>
      <w:tr>
        <w:tc>
          <w:tcPr>
            <w:tcW w:type="dxa" w:w="1336"/>
          </w:tcPr>
          <w:p>
            <w:r>
              <w:rPr>
                <w:sz w:val="20"/>
              </w:rPr>
              <w:t>**Ziprasidone**</w:t>
            </w:r>
          </w:p>
        </w:tc>
        <w:tc>
          <w:tcPr>
            <w:tcW w:type="dxa" w:w="1336"/>
          </w:tcPr>
          <w:p>
            <w:r>
              <w:rPr>
                <w:sz w:val="20"/>
              </w:rPr>
              <w:t>2G — benzisothiazolyl-pipérazine</w:t>
            </w:r>
          </w:p>
        </w:tc>
        <w:tc>
          <w:tcPr>
            <w:tcW w:type="dxa" w:w="1336"/>
          </w:tcPr>
          <w:p>
            <w:r>
              <w:rPr>
                <w:sz w:val="20"/>
              </w:rPr>
              <w:t>D2 + 5-HT2A + 5-HT1A agoniste partiel</w:t>
            </w:r>
          </w:p>
        </w:tc>
        <w:tc>
          <w:tcPr>
            <w:tcW w:type="dxa" w:w="1336"/>
          </w:tcPr>
          <w:p>
            <w:r>
              <w:rPr>
                <w:sz w:val="20"/>
              </w:rPr>
              <w:t>40-80 mg × 2/j avec repas (max 160 mg/j) ; IM 10-20 mg/4h</w:t>
            </w:r>
          </w:p>
        </w:tc>
        <w:tc>
          <w:tcPr>
            <w:tcW w:type="dxa" w:w="1336"/>
          </w:tcPr>
          <w:p>
            <w:r>
              <w:rPr>
                <w:sz w:val="20"/>
              </w:rPr>
              <w:t>Allongement QTc marqué (torsades)</w:t>
            </w:r>
          </w:p>
        </w:tc>
        <w:tc>
          <w:tcPr>
            <w:tcW w:type="dxa" w:w="1336"/>
          </w:tcPr>
          <w:p>
            <w:r>
              <w:rPr>
                <w:sz w:val="20"/>
              </w:rPr>
              <w:t>QTc &gt; 500 ms, ATCD cardiaque, associations QT</w:t>
            </w:r>
          </w:p>
        </w:tc>
        <w:tc>
          <w:tcPr>
            <w:tcW w:type="dxa" w:w="1336"/>
          </w:tcPr>
          <w:p>
            <w:r>
              <w:rPr>
                <w:sz w:val="20"/>
              </w:rPr>
              <w:t>À éviter par prudence (données limitées)</w:t>
            </w:r>
          </w:p>
        </w:tc>
      </w:tr>
      <w:tr>
        <w:tc>
          <w:tcPr>
            <w:tcW w:type="dxa" w:w="1336"/>
          </w:tcPr>
          <w:p>
            <w:r>
              <w:rPr>
                <w:sz w:val="20"/>
              </w:rPr>
              <w:t>**Lurasidone**</w:t>
            </w:r>
          </w:p>
        </w:tc>
        <w:tc>
          <w:tcPr>
            <w:tcW w:type="dxa" w:w="1336"/>
          </w:tcPr>
          <w:p>
            <w:r>
              <w:rPr>
                <w:sz w:val="20"/>
              </w:rPr>
              <w:t>2G — benzothiazolyl-pipérazine</w:t>
            </w:r>
          </w:p>
        </w:tc>
        <w:tc>
          <w:tcPr>
            <w:tcW w:type="dxa" w:w="1336"/>
          </w:tcPr>
          <w:p>
            <w:r>
              <w:rPr>
                <w:sz w:val="20"/>
              </w:rPr>
              <w:t>D2 + 5-HT2A + 5-HT1A agoniste partiel + 5-HT7 antagoniste</w:t>
            </w:r>
          </w:p>
        </w:tc>
        <w:tc>
          <w:tcPr>
            <w:tcW w:type="dxa" w:w="1336"/>
          </w:tcPr>
          <w:p>
            <w:r>
              <w:rPr>
                <w:sz w:val="20"/>
              </w:rPr>
              <w:t>40-80 mg/j en 1 prise avec repas (max 160 mg/j)</w:t>
            </w:r>
          </w:p>
        </w:tc>
        <w:tc>
          <w:tcPr>
            <w:tcW w:type="dxa" w:w="1336"/>
          </w:tcPr>
          <w:p>
            <w:r>
              <w:rPr>
                <w:sz w:val="20"/>
              </w:rPr>
              <w:t>Akathisie + métabolique neutre</w:t>
            </w:r>
          </w:p>
        </w:tc>
        <w:tc>
          <w:tcPr>
            <w:tcW w:type="dxa" w:w="1336"/>
          </w:tcPr>
          <w:p>
            <w:r>
              <w:rPr>
                <w:sz w:val="20"/>
              </w:rPr>
              <w:t>CI inducteurs/inhibiteurs puissants CYP3A4</w:t>
            </w:r>
          </w:p>
        </w:tc>
        <w:tc>
          <w:tcPr>
            <w:tcW w:type="dxa" w:w="1336"/>
          </w:tcPr>
          <w:p>
            <w:r>
              <w:rPr>
                <w:sz w:val="20"/>
              </w:rPr>
              <w:t>À éviter par prudence (données limitées)</w:t>
            </w:r>
          </w:p>
        </w:tc>
      </w:tr>
      <w:tr>
        <w:tc>
          <w:tcPr>
            <w:tcW w:type="dxa" w:w="1336"/>
          </w:tcPr>
          <w:p>
            <w:r>
              <w:rPr>
                <w:sz w:val="20"/>
              </w:rPr>
              <w:t>**Aripiprazole**</w:t>
            </w:r>
          </w:p>
        </w:tc>
        <w:tc>
          <w:tcPr>
            <w:tcW w:type="dxa" w:w="1336"/>
          </w:tcPr>
          <w:p>
            <w:r>
              <w:rPr>
                <w:sz w:val="20"/>
              </w:rPr>
              <w:t>3G — agoniste partiel D2 (quinolinone)</w:t>
            </w:r>
          </w:p>
        </w:tc>
        <w:tc>
          <w:tcPr>
            <w:tcW w:type="dxa" w:w="1336"/>
          </w:tcPr>
          <w:p>
            <w:r>
              <w:rPr>
                <w:sz w:val="20"/>
              </w:rPr>
              <w:t>Agoniste partiel D2 + 5-HT1A + antagoniste 5-HT2A</w:t>
            </w:r>
          </w:p>
        </w:tc>
        <w:tc>
          <w:tcPr>
            <w:tcW w:type="dxa" w:w="1336"/>
          </w:tcPr>
          <w:p>
            <w:r>
              <w:rPr>
                <w:sz w:val="20"/>
              </w:rPr>
              <w:t>10-30 mg/j en 1 prise matinale</w:t>
            </w:r>
          </w:p>
        </w:tc>
        <w:tc>
          <w:tcPr>
            <w:tcW w:type="dxa" w:w="1336"/>
          </w:tcPr>
          <w:p>
            <w:r>
              <w:rPr>
                <w:sz w:val="20"/>
              </w:rPr>
              <w:t>Troubles du contrôle des impulsions + akathisie</w:t>
            </w:r>
          </w:p>
        </w:tc>
        <w:tc>
          <w:tcPr>
            <w:tcW w:type="dxa" w:w="1336"/>
          </w:tcPr>
          <w:p>
            <w:r>
              <w:rPr>
                <w:sz w:val="20"/>
              </w:rPr>
              <w:t>Hypersensibilité, allaitement relatif</w:t>
            </w:r>
          </w:p>
        </w:tc>
        <w:tc>
          <w:tcPr>
            <w:tcW w:type="dxa" w:w="1336"/>
          </w:tcPr>
          <w:p>
            <w:r>
              <w:rPr>
                <w:sz w:val="20"/>
              </w:rPr>
              <w:t>Possible à dose min, surveillance néonatale</w:t>
            </w:r>
          </w:p>
        </w:tc>
      </w:tr>
      <w:tr>
        <w:tc>
          <w:tcPr>
            <w:tcW w:type="dxa" w:w="1336"/>
          </w:tcPr>
          <w:p>
            <w:r>
              <w:rPr>
                <w:sz w:val="20"/>
              </w:rPr>
              <w:t>**Palipéridone**</w:t>
            </w:r>
          </w:p>
        </w:tc>
        <w:tc>
          <w:tcPr>
            <w:tcW w:type="dxa" w:w="1336"/>
          </w:tcPr>
          <w:p>
            <w:r>
              <w:rPr>
                <w:sz w:val="20"/>
              </w:rPr>
              <w:t>2G — métabolite rispéridone</w:t>
            </w:r>
          </w:p>
        </w:tc>
        <w:tc>
          <w:tcPr>
            <w:tcW w:type="dxa" w:w="1336"/>
          </w:tcPr>
          <w:p>
            <w:r>
              <w:rPr>
                <w:sz w:val="20"/>
              </w:rPr>
              <w:t>Identique à rispéridone (9-OH-rispéridone)</w:t>
            </w:r>
          </w:p>
        </w:tc>
        <w:tc>
          <w:tcPr>
            <w:tcW w:type="dxa" w:w="1336"/>
          </w:tcPr>
          <w:p>
            <w:r>
              <w:rPr>
                <w:sz w:val="20"/>
              </w:rPr>
              <w:t>Xeplion : 50-150 mg IM/4 sem ; Trevicta : 175-525 mg IM/3 mois</w:t>
            </w:r>
          </w:p>
        </w:tc>
        <w:tc>
          <w:tcPr>
            <w:tcW w:type="dxa" w:w="1336"/>
          </w:tcPr>
          <w:p>
            <w:r>
              <w:rPr>
                <w:sz w:val="20"/>
              </w:rPr>
              <w:t>Hyperprolactinémie (idem rispéridone) + réactions site injection</w:t>
            </w:r>
          </w:p>
        </w:tc>
        <w:tc>
          <w:tcPr>
            <w:tcW w:type="dxa" w:w="1336"/>
          </w:tcPr>
          <w:p>
            <w:r>
              <w:rPr>
                <w:sz w:val="20"/>
              </w:rPr>
              <w:t>Insuffisance rénale sévère, phéochromocytome</w:t>
            </w:r>
          </w:p>
        </w:tc>
        <w:tc>
          <w:tcPr>
            <w:tcW w:type="dxa" w:w="1336"/>
          </w:tcPr>
          <w:p>
            <w:r>
              <w:rPr>
                <w:sz w:val="20"/>
              </w:rPr>
              <w:t>Possible à dose min, surveillance néonatale</w:t>
            </w:r>
          </w:p>
        </w:tc>
      </w:tr>
    </w:tbl>
    <w:p/>
    <w:p>
      <w:pPr>
        <w:pStyle w:val="Heading2"/>
      </w:pPr>
      <w:r>
        <w:t>Tableau Récapitulatif des Formes Galéniques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DCI</w:t>
            </w:r>
          </w:p>
        </w:tc>
        <w:tc>
          <w:tcPr>
            <w:tcW w:type="dxa" w:w="1559"/>
          </w:tcPr>
          <w:p>
            <w:r>
              <w:rPr>
                <w:b/>
                <w:sz w:val="20"/>
              </w:rPr>
              <w:t>Formes orales</w:t>
            </w:r>
          </w:p>
        </w:tc>
        <w:tc>
          <w:tcPr>
            <w:tcW w:type="dxa" w:w="1559"/>
          </w:tcPr>
          <w:p>
            <w:r>
              <w:rPr>
                <w:b/>
                <w:sz w:val="20"/>
              </w:rPr>
              <w:t>Formes orodispersibles</w:t>
            </w:r>
          </w:p>
        </w:tc>
        <w:tc>
          <w:tcPr>
            <w:tcW w:type="dxa" w:w="1559"/>
          </w:tcPr>
          <w:p>
            <w:r>
              <w:rPr>
                <w:b/>
                <w:sz w:val="20"/>
              </w:rPr>
              <w:t>Solutions buvables</w:t>
            </w:r>
          </w:p>
        </w:tc>
        <w:tc>
          <w:tcPr>
            <w:tcW w:type="dxa" w:w="1559"/>
          </w:tcPr>
          <w:p>
            <w:r>
              <w:rPr>
                <w:b/>
                <w:sz w:val="20"/>
              </w:rPr>
              <w:t>Formes injectables</w:t>
            </w:r>
          </w:p>
        </w:tc>
        <w:tc>
          <w:tcPr>
            <w:tcW w:type="dxa" w:w="1559"/>
          </w:tcPr>
          <w:p>
            <w:r>
              <w:rPr>
                <w:b/>
                <w:sz w:val="20"/>
              </w:rPr>
              <w:t>Statut global</w:t>
            </w:r>
          </w:p>
        </w:tc>
      </w:tr>
      <w:tr>
        <w:tc>
          <w:tcPr>
            <w:tcW w:type="dxa" w:w="1559"/>
          </w:tcPr>
          <w:p>
            <w:r>
              <w:rPr>
                <w:sz w:val="20"/>
              </w:rPr>
              <w:t>**Clozapine**</w:t>
            </w:r>
          </w:p>
        </w:tc>
        <w:tc>
          <w:tcPr>
            <w:tcW w:type="dxa" w:w="1559"/>
          </w:tcPr>
          <w:p>
            <w:r>
              <w:rPr>
                <w:sz w:val="20"/>
              </w:rPr>
              <w:t>Cp sécable 25, 100 mg (LEPONEX)</w:t>
            </w:r>
          </w:p>
        </w:tc>
        <w:tc>
          <w:tcPr>
            <w:tcW w:type="dxa" w:w="1559"/>
          </w:tcPr>
          <w:p>
            <w:r>
              <w:rPr>
                <w:sz w:val="20"/>
              </w:rPr>
              <w:t>Non disponible</w:t>
            </w:r>
          </w:p>
        </w:tc>
        <w:tc>
          <w:tcPr>
            <w:tcW w:type="dxa" w:w="1559"/>
          </w:tcPr>
          <w:p>
            <w:r>
              <w:rPr>
                <w:sz w:val="20"/>
              </w:rPr>
              <w:t>Non disponible</w:t>
            </w:r>
          </w:p>
        </w:tc>
        <w:tc>
          <w:tcPr>
            <w:tcW w:type="dxa" w:w="1559"/>
          </w:tcPr>
          <w:p>
            <w:r>
              <w:rPr>
                <w:sz w:val="20"/>
              </w:rPr>
              <w:t>Non disponible</w:t>
            </w:r>
          </w:p>
        </w:tc>
        <w:tc>
          <w:tcPr>
            <w:tcW w:type="dxa" w:w="1559"/>
          </w:tcPr>
          <w:p>
            <w:r>
              <w:rPr>
                <w:sz w:val="20"/>
              </w:rPr>
              <w:t>Actif (marque princeps uniquement)</w:t>
            </w:r>
          </w:p>
        </w:tc>
      </w:tr>
      <w:tr>
        <w:tc>
          <w:tcPr>
            <w:tcW w:type="dxa" w:w="1559"/>
          </w:tcPr>
          <w:p>
            <w:r>
              <w:rPr>
                <w:sz w:val="20"/>
              </w:rPr>
              <w:t>**Rispéridone**</w:t>
            </w:r>
          </w:p>
        </w:tc>
        <w:tc>
          <w:tcPr>
            <w:tcW w:type="dxa" w:w="1559"/>
          </w:tcPr>
          <w:p>
            <w:r>
              <w:rPr>
                <w:sz w:val="20"/>
              </w:rPr>
              <w:t>Cp 1, 2, 3, 4 mg (10+ marques)</w:t>
            </w:r>
          </w:p>
        </w:tc>
        <w:tc>
          <w:tcPr>
            <w:tcW w:type="dxa" w:w="1559"/>
          </w:tcPr>
          <w:p>
            <w:r>
              <w:rPr>
                <w:sz w:val="20"/>
              </w:rPr>
              <w:t>ODT 1, 2, 4 mg (PSYDAL ODT, RISPERIDONE BEKER ORO, RISPISAPH)</w:t>
            </w:r>
          </w:p>
        </w:tc>
        <w:tc>
          <w:tcPr>
            <w:tcW w:type="dxa" w:w="1559"/>
          </w:tcPr>
          <w:p>
            <w:r>
              <w:rPr>
                <w:sz w:val="20"/>
              </w:rPr>
              <w:t>Sol 1 mg/mL (RIPERAL, RISPAL, RISPERIDONE BGL, RESDONE)</w:t>
            </w:r>
          </w:p>
        </w:tc>
        <w:tc>
          <w:tcPr>
            <w:tcW w:type="dxa" w:w="1559"/>
          </w:tcPr>
          <w:p>
            <w:r>
              <w:rPr>
                <w:sz w:val="20"/>
              </w:rPr>
              <w:t>Risperdal Consta LP IM 25-50 mg (R)</w:t>
            </w:r>
          </w:p>
        </w:tc>
        <w:tc>
          <w:tcPr>
            <w:tcW w:type="dxa" w:w="1559"/>
          </w:tcPr>
          <w:p>
            <w:r>
              <w:rPr>
                <w:sz w:val="20"/>
              </w:rPr>
              <w:t>Actif, très large disponibilité</w:t>
            </w:r>
          </w:p>
        </w:tc>
      </w:tr>
      <w:tr>
        <w:tc>
          <w:tcPr>
            <w:tcW w:type="dxa" w:w="1559"/>
          </w:tcPr>
          <w:p>
            <w:r>
              <w:rPr>
                <w:sz w:val="20"/>
              </w:rPr>
              <w:t>**Olanzapine**</w:t>
            </w:r>
          </w:p>
        </w:tc>
        <w:tc>
          <w:tcPr>
            <w:tcW w:type="dxa" w:w="1559"/>
          </w:tcPr>
          <w:p>
            <w:r>
              <w:rPr>
                <w:sz w:val="20"/>
              </w:rPr>
              <w:t>Cp 5, 10 mg (15+ marques)</w:t>
            </w:r>
          </w:p>
        </w:tc>
        <w:tc>
          <w:tcPr>
            <w:tcW w:type="dxa" w:w="1559"/>
          </w:tcPr>
          <w:p>
            <w:r>
              <w:rPr>
                <w:sz w:val="20"/>
              </w:rPr>
              <w:t>ODT 5, 10, 15, 20 mg (15+ marques)</w:t>
            </w:r>
          </w:p>
        </w:tc>
        <w:tc>
          <w:tcPr>
            <w:tcW w:type="dxa" w:w="1559"/>
          </w:tcPr>
          <w:p>
            <w:r>
              <w:rPr>
                <w:sz w:val="20"/>
              </w:rPr>
              <w:t>Non disponible</w:t>
            </w:r>
          </w:p>
        </w:tc>
        <w:tc>
          <w:tcPr>
            <w:tcW w:type="dxa" w:w="1559"/>
          </w:tcPr>
          <w:p>
            <w:r>
              <w:rPr>
                <w:sz w:val="20"/>
              </w:rPr>
              <w:t>Non disponible</w:t>
            </w:r>
          </w:p>
        </w:tc>
        <w:tc>
          <w:tcPr>
            <w:tcW w:type="dxa" w:w="1559"/>
          </w:tcPr>
          <w:p>
            <w:r>
              <w:rPr>
                <w:sz w:val="20"/>
              </w:rPr>
              <w:t>Actif, large disponibilité</w:t>
            </w:r>
          </w:p>
        </w:tc>
      </w:tr>
      <w:tr>
        <w:tc>
          <w:tcPr>
            <w:tcW w:type="dxa" w:w="1559"/>
          </w:tcPr>
          <w:p>
            <w:r>
              <w:rPr>
                <w:sz w:val="20"/>
              </w:rPr>
              <w:t>**Quétiapine**</w:t>
            </w:r>
          </w:p>
        </w:tc>
        <w:tc>
          <w:tcPr>
            <w:tcW w:type="dxa" w:w="1559"/>
          </w:tcPr>
          <w:p>
            <w:r>
              <w:rPr>
                <w:sz w:val="20"/>
              </w:rPr>
              <w:t>Cp LI 25-300 mg (SELOPRESS, SEROQUEL, PINAQUINE, Q-PINE) ; Cp LP 50-300 mg (PINAQUINE LP, QUETAL LP, QUETIAPINE BEKER LP, QUETIAX)</w:t>
            </w:r>
          </w:p>
        </w:tc>
        <w:tc>
          <w:tcPr>
            <w:tcW w:type="dxa" w:w="1559"/>
          </w:tcPr>
          <w:p>
            <w:r>
              <w:rPr>
                <w:sz w:val="20"/>
              </w:rPr>
              <w:t>Non disponible</w:t>
            </w:r>
          </w:p>
        </w:tc>
        <w:tc>
          <w:tcPr>
            <w:tcW w:type="dxa" w:w="1559"/>
          </w:tcPr>
          <w:p>
            <w:r>
              <w:rPr>
                <w:sz w:val="20"/>
              </w:rPr>
              <w:t>Non disponible</w:t>
            </w:r>
          </w:p>
        </w:tc>
        <w:tc>
          <w:tcPr>
            <w:tcW w:type="dxa" w:w="1559"/>
          </w:tcPr>
          <w:p>
            <w:r>
              <w:rPr>
                <w:sz w:val="20"/>
              </w:rPr>
              <w:t>Non disponible</w:t>
            </w:r>
          </w:p>
        </w:tc>
        <w:tc>
          <w:tcPr>
            <w:tcW w:type="dxa" w:w="1559"/>
          </w:tcPr>
          <w:p>
            <w:r>
              <w:rPr>
                <w:sz w:val="20"/>
              </w:rPr>
              <w:t>Actif, LI + LP disponibles</w:t>
            </w:r>
          </w:p>
        </w:tc>
      </w:tr>
      <w:tr>
        <w:tc>
          <w:tcPr>
            <w:tcW w:type="dxa" w:w="1559"/>
          </w:tcPr>
          <w:p>
            <w:r>
              <w:rPr>
                <w:sz w:val="20"/>
              </w:rPr>
              <w:t>**Ziprasidone**</w:t>
            </w:r>
          </w:p>
        </w:tc>
        <w:tc>
          <w:tcPr>
            <w:tcW w:type="dxa" w:w="1559"/>
          </w:tcPr>
          <w:p>
            <w:r>
              <w:rPr>
                <w:sz w:val="20"/>
              </w:rPr>
              <w:t>Gélules 40, 60, 80 mg (ZELDOX — NR)</w:t>
            </w:r>
          </w:p>
        </w:tc>
        <w:tc>
          <w:tcPr>
            <w:tcW w:type="dxa" w:w="1559"/>
          </w:tcPr>
          <w:p>
            <w:r>
              <w:rPr>
                <w:sz w:val="20"/>
              </w:rPr>
              <w:t>Non disponible</w:t>
            </w:r>
          </w:p>
        </w:tc>
        <w:tc>
          <w:tcPr>
            <w:tcW w:type="dxa" w:w="1559"/>
          </w:tcPr>
          <w:p>
            <w:r>
              <w:rPr>
                <w:sz w:val="20"/>
              </w:rPr>
              <w:t>Non disponible</w:t>
            </w:r>
          </w:p>
        </w:tc>
        <w:tc>
          <w:tcPr>
            <w:tcW w:type="dxa" w:w="1559"/>
          </w:tcPr>
          <w:p>
            <w:r>
              <w:rPr>
                <w:sz w:val="20"/>
              </w:rPr>
              <w:t>Poudre IM 20 mg (ZELDOX — NR)</w:t>
            </w:r>
          </w:p>
        </w:tc>
        <w:tc>
          <w:tcPr>
            <w:tcW w:type="dxa" w:w="1559"/>
          </w:tcPr>
          <w:p>
            <w:r>
              <w:rPr>
                <w:sz w:val="20"/>
              </w:rPr>
              <w:t>Non renouvelable (NR)</w:t>
            </w:r>
          </w:p>
        </w:tc>
      </w:tr>
      <w:tr>
        <w:tc>
          <w:tcPr>
            <w:tcW w:type="dxa" w:w="1559"/>
          </w:tcPr>
          <w:p>
            <w:r>
              <w:rPr>
                <w:sz w:val="20"/>
              </w:rPr>
              <w:t>**Lurasidone**</w:t>
            </w:r>
          </w:p>
        </w:tc>
        <w:tc>
          <w:tcPr>
            <w:tcW w:type="dxa" w:w="1559"/>
          </w:tcPr>
          <w:p>
            <w:r>
              <w:rPr>
                <w:sz w:val="20"/>
              </w:rPr>
              <w:t>Cp 20, 40, 80, 120 mg (LAROZA, LODERA)</w:t>
            </w:r>
          </w:p>
        </w:tc>
        <w:tc>
          <w:tcPr>
            <w:tcW w:type="dxa" w:w="1559"/>
          </w:tcPr>
          <w:p>
            <w:r>
              <w:rPr>
                <w:sz w:val="20"/>
              </w:rPr>
              <w:t>Non disponible</w:t>
            </w:r>
          </w:p>
        </w:tc>
        <w:tc>
          <w:tcPr>
            <w:tcW w:type="dxa" w:w="1559"/>
          </w:tcPr>
          <w:p>
            <w:r>
              <w:rPr>
                <w:sz w:val="20"/>
              </w:rPr>
              <w:t>Non disponible</w:t>
            </w:r>
          </w:p>
        </w:tc>
        <w:tc>
          <w:tcPr>
            <w:tcW w:type="dxa" w:w="1559"/>
          </w:tcPr>
          <w:p>
            <w:r>
              <w:rPr>
                <w:sz w:val="20"/>
              </w:rPr>
              <w:t>Non disponible</w:t>
            </w:r>
          </w:p>
        </w:tc>
        <w:tc>
          <w:tcPr>
            <w:tcW w:type="dxa" w:w="1559"/>
          </w:tcPr>
          <w:p>
            <w:r>
              <w:rPr>
                <w:sz w:val="20"/>
              </w:rPr>
              <w:t>Actif, génériques disponibles</w:t>
            </w:r>
          </w:p>
        </w:tc>
      </w:tr>
      <w:tr>
        <w:tc>
          <w:tcPr>
            <w:tcW w:type="dxa" w:w="1559"/>
          </w:tcPr>
          <w:p>
            <w:r>
              <w:rPr>
                <w:sz w:val="20"/>
              </w:rPr>
              <w:t>**Aripiprazole**</w:t>
            </w:r>
          </w:p>
        </w:tc>
        <w:tc>
          <w:tcPr>
            <w:tcW w:type="dxa" w:w="1559"/>
          </w:tcPr>
          <w:p>
            <w:r>
              <w:rPr>
                <w:sz w:val="20"/>
              </w:rPr>
              <w:t>Cp 10, 15, 20 mg (15+ marques)</w:t>
            </w:r>
          </w:p>
        </w:tc>
        <w:tc>
          <w:tcPr>
            <w:tcW w:type="dxa" w:w="1559"/>
          </w:tcPr>
          <w:p>
            <w:r>
              <w:rPr>
                <w:sz w:val="20"/>
              </w:rPr>
              <w:t>ODT 10, 15 mg (ABDIFLY OD, ARIPIPRAZOLE BEKER ORO)</w:t>
            </w:r>
          </w:p>
        </w:tc>
        <w:tc>
          <w:tcPr>
            <w:tcW w:type="dxa" w:w="1559"/>
          </w:tcPr>
          <w:p>
            <w:r>
              <w:rPr>
                <w:sz w:val="20"/>
              </w:rPr>
              <w:t>Sol 1 mg/mL (ABILIZOLE, ZOLIFY)</w:t>
            </w:r>
          </w:p>
        </w:tc>
        <w:tc>
          <w:tcPr>
            <w:tcW w:type="dxa" w:w="1559"/>
          </w:tcPr>
          <w:p>
            <w:r>
              <w:rPr>
                <w:sz w:val="20"/>
              </w:rPr>
              <w:t>ABILIFY MAINTENA 400 mg LP IM mensuel</w:t>
            </w:r>
          </w:p>
        </w:tc>
        <w:tc>
          <w:tcPr>
            <w:tcW w:type="dxa" w:w="1559"/>
          </w:tcPr>
          <w:p>
            <w:r>
              <w:rPr>
                <w:sz w:val="20"/>
              </w:rPr>
              <w:t>Actif, très large disponibilité</w:t>
            </w:r>
          </w:p>
        </w:tc>
      </w:tr>
      <w:tr>
        <w:tc>
          <w:tcPr>
            <w:tcW w:type="dxa" w:w="1559"/>
          </w:tcPr>
          <w:p>
            <w:r>
              <w:rPr>
                <w:sz w:val="20"/>
              </w:rPr>
              <w:t>**Palipéridone**</w:t>
            </w:r>
          </w:p>
        </w:tc>
        <w:tc>
          <w:tcPr>
            <w:tcW w:type="dxa" w:w="1559"/>
          </w:tcPr>
          <w:p>
            <w:r>
              <w:rPr>
                <w:sz w:val="20"/>
              </w:rPr>
              <w:t>Non disponible en Algérie (Invega non commercialisé)</w:t>
            </w:r>
          </w:p>
        </w:tc>
        <w:tc>
          <w:tcPr>
            <w:tcW w:type="dxa" w:w="1559"/>
          </w:tcPr>
          <w:p>
            <w:r>
              <w:rPr>
                <w:sz w:val="20"/>
              </w:rPr>
              <w:t>Non disponible</w:t>
            </w:r>
          </w:p>
        </w:tc>
        <w:tc>
          <w:tcPr>
            <w:tcW w:type="dxa" w:w="1559"/>
          </w:tcPr>
          <w:p>
            <w:r>
              <w:rPr>
                <w:sz w:val="20"/>
              </w:rPr>
              <w:t>Non disponible</w:t>
            </w:r>
          </w:p>
        </w:tc>
        <w:tc>
          <w:tcPr>
            <w:tcW w:type="dxa" w:w="1559"/>
          </w:tcPr>
          <w:p>
            <w:r>
              <w:rPr>
                <w:sz w:val="20"/>
              </w:rPr>
              <w:t>XEPLION LP IM mensuel (50-150 mg) ; TREVICTA LP IM trimestriel (175-525 mg)</w:t>
            </w:r>
          </w:p>
        </w:tc>
        <w:tc>
          <w:tcPr>
            <w:tcW w:type="dxa" w:w="1559"/>
          </w:tcPr>
          <w:p>
            <w:r>
              <w:rPr>
                <w:sz w:val="20"/>
              </w:rPr>
              <w:t>Actif (formes injectables LP uniquement)</w:t>
            </w:r>
          </w:p>
        </w:tc>
      </w:tr>
    </w:tbl>
    <w:p/>
    <w:p>
      <w:pPr>
        <w:pStyle w:val="Heading2"/>
      </w:pPr>
      <w:r>
        <w:t>Conclusion du Chapitre 84</w:t>
      </w:r>
    </w:p>
    <w:p>
      <w:r>
        <w:t>Les antipsychotiques atypiques de 2e et 3e générations constituent l'arme thérapeutique de référence dans la prise en charge pharmacologique de la schizophrénie, du trouble bipolaire et, pour certaines molécules, de la dépression majeure résistante et des troubles du comportement. Le choix de la molécule repose sur :</w:t>
      </w:r>
    </w:p>
    <w:p>
      <w:pPr>
        <w:pStyle w:val="ListNumber"/>
      </w:pPr>
      <w:r/>
      <w:r>
        <w:rPr>
          <w:b/>
        </w:rPr>
        <w:t>L'efficacité attendue</w:t>
      </w:r>
      <w:r>
        <w:t xml:space="preserve"> : clozapine pour la schizophrénie résistante (gold standard), rispéridone pour la 1re intention, aripiprazole pour les patients à risque métabolique</w:t>
      </w:r>
    </w:p>
    <w:p>
      <w:pPr>
        <w:pStyle w:val="ListNumber"/>
      </w:pPr>
      <w:r/>
      <w:r>
        <w:rPr>
          <w:b/>
        </w:rPr>
        <w:t>Le profil d'effets indésirables</w:t>
      </w:r>
      <w:r>
        <w:t xml:space="preserve"> : éviter olanzapine et clozapine chez les patients à risque métabolique, éviter rispéridone et palipéridone chez les patients sensibles à l'hyperprolactinémie (jeunes femmes, ATCD ostéoporose), éviter ziprasidone en cas d'ATCD cardiaque ou d'allongement QTc</w:t>
      </w:r>
    </w:p>
    <w:p>
      <w:pPr>
        <w:pStyle w:val="ListNumber"/>
      </w:pPr>
      <w:r/>
      <w:r>
        <w:rPr>
          <w:b/>
        </w:rPr>
        <w:t>L'observance</w:t>
      </w:r>
      <w:r>
        <w:t xml:space="preserve"> : privilégier les formes dépôt LP IM (Xeplion, Trevicta, Abilify Maintena) en cas d'observance problématique</w:t>
      </w:r>
    </w:p>
    <w:p>
      <w:pPr>
        <w:pStyle w:val="ListNumber"/>
      </w:pPr>
      <w:r/>
      <w:r>
        <w:rPr>
          <w:b/>
        </w:rPr>
        <w:t>Les comorbidités</w:t>
      </w:r>
      <w:r>
        <w:t xml:space="preserve"> : adapter en cas d'insuffisance rénale (palipéridone CI si sévère), d'insuffisance hépatique (réduire olanzapine, clozapine, quétiapine), de grossesse (préférer aripiprazole, rispéridone, olanzapine), d'allaitement (préférer rispéridone, olanzapine, quétiapine à dose modérée)</w:t>
      </w:r>
    </w:p>
    <w:p>
      <w:r/>
      <w:r>
        <w:rPr>
          <w:b/>
        </w:rPr>
        <w:t>Surveillance systématique obligatoire pour tous les antipsychotiques atypiques :</w:t>
      </w:r>
      <w:r/>
    </w:p>
    <w:p>
      <w:pPr>
        <w:pStyle w:val="ListBullet"/>
      </w:pPr>
      <w:r/>
      <w:r>
        <w:rPr>
          <w:b/>
        </w:rPr>
        <w:t>Bilan pré-thérapeutique</w:t>
      </w:r>
      <w:r>
        <w:t xml:space="preserve"> : poids, IMC, tour de taille, TA, glycémie à jeun, HbA1c, bilan lipidique complet, ECG, NFS (clozapine), prolactinémie (rispéridone, palipéridone), créatininémie (palipéridone), transaminases, troponine I (clozapine)</w:t>
      </w:r>
    </w:p>
    <w:p>
      <w:pPr>
        <w:pStyle w:val="ListBullet"/>
      </w:pPr>
      <w:r/>
      <w:r>
        <w:rPr>
          <w:b/>
        </w:rPr>
        <w:t>Surveillance à 1 mois</w:t>
      </w:r>
      <w:r>
        <w:t xml:space="preserve"> : poids, TA, tolérance clinique (akathisie, sédation, hypotension, hyperprolactinémie), NFS hebdomadaire (clozapine), troponine I hebdomadaire (clozapine)</w:t>
      </w:r>
    </w:p>
    <w:p>
      <w:pPr>
        <w:pStyle w:val="ListBullet"/>
      </w:pPr>
      <w:r/>
      <w:r>
        <w:rPr>
          <w:b/>
        </w:rPr>
        <w:t>Surveillance à 3 mois</w:t>
      </w:r>
      <w:r>
        <w:t xml:space="preserve"> : poids, glycémie, HbA1c, bilan lipidique, NFS mensuelle (clozapine), prolactinémie si symptomatique (rispéridone, palipéridone)</w:t>
      </w:r>
    </w:p>
    <w:p>
      <w:pPr>
        <w:pStyle w:val="ListBullet"/>
      </w:pPr>
      <w:r/>
      <w:r>
        <w:rPr>
          <w:b/>
        </w:rPr>
        <w:t>Surveillance semestrielle à vie</w:t>
      </w:r>
      <w:r>
        <w:t xml:space="preserve"> : poids, glycémie, HbA1c, bilan lipidique, NFS mensuelle (clozapine), ECG annuel (si ATCD cardiaque ou allongeurs QT associés)</w:t>
      </w:r>
    </w:p>
    <w:p>
      <w:r/>
      <w:r>
        <w:rPr>
          <w:b/>
        </w:rPr>
        <w:t>Points clés au comptoir :</w:t>
      </w:r>
      <w:r/>
    </w:p>
    <w:p>
      <w:pPr>
        <w:pStyle w:val="ListBullet"/>
      </w:pPr>
      <w:r/>
      <w:r>
        <w:rPr>
          <w:b/>
        </w:rPr>
        <w:t>Clozapine</w:t>
      </w:r>
      <w:r>
        <w:t xml:space="preserve"> : surveillance NFS obligatoire (registre), ne jamais initier sans suivi hospitalier</w:t>
      </w:r>
    </w:p>
    <w:p>
      <w:pPr>
        <w:pStyle w:val="ListBullet"/>
      </w:pPr>
      <w:r/>
      <w:r>
        <w:rPr>
          <w:b/>
        </w:rPr>
        <w:t>Rispéridone</w:t>
      </w:r>
      <w:r>
        <w:t xml:space="preserve"> : surveiller hyperprolactinémie, ne pas dépasser 6 mg/j (perte du bénéfice atypique)</w:t>
      </w:r>
    </w:p>
    <w:p>
      <w:pPr>
        <w:pStyle w:val="ListBullet"/>
      </w:pPr>
      <w:r/>
      <w:r>
        <w:rPr>
          <w:b/>
        </w:rPr>
        <w:t>Olanzapine</w:t>
      </w:r>
      <w:r>
        <w:t xml:space="preserve"> : surveiller syndrome métabolique (poids, glycémie, lipides), anticiper switch si prise de poids &gt; 5 % en 1 mois</w:t>
      </w:r>
    </w:p>
    <w:p>
      <w:pPr>
        <w:pStyle w:val="ListBullet"/>
      </w:pPr>
      <w:r/>
      <w:r>
        <w:rPr>
          <w:b/>
        </w:rPr>
        <w:t>Quétiapine</w:t>
      </w:r>
      <w:r>
        <w:t xml:space="preserve"> : ne jamais écraser les comprimés LP, surveiller somnolence résiduelle</w:t>
      </w:r>
    </w:p>
    <w:p>
      <w:pPr>
        <w:pStyle w:val="ListBullet"/>
      </w:pPr>
      <w:r/>
      <w:r>
        <w:rPr>
          <w:b/>
        </w:rPr>
        <w:t>Ziprasidone</w:t>
      </w:r>
      <w:r>
        <w:t xml:space="preserve"> : information patient sur l'indisponibilité à terme, organiser le switch</w:t>
      </w:r>
    </w:p>
    <w:p>
      <w:pPr>
        <w:pStyle w:val="ListBullet"/>
      </w:pPr>
      <w:r/>
      <w:r>
        <w:rPr>
          <w:b/>
        </w:rPr>
        <w:t>Lurasidone</w:t>
      </w:r>
      <w:r>
        <w:t xml:space="preserve"> : prendre avec repas (≥ 350 kcal), surveiller akathisie, attention aux interactions CYP3A4</w:t>
      </w:r>
    </w:p>
    <w:p>
      <w:pPr>
        <w:pStyle w:val="ListBullet"/>
      </w:pPr>
      <w:r/>
      <w:r>
        <w:rPr>
          <w:b/>
        </w:rPr>
        <w:t>Aripiprazole</w:t>
      </w:r>
      <w:r>
        <w:t xml:space="preserve"> : prendre le matin, surveiller akathisie et troubles du contrôle des impulsions (jeu pathologique, hypersexualité)</w:t>
      </w:r>
    </w:p>
    <w:p>
      <w:pPr>
        <w:pStyle w:val="ListBullet"/>
      </w:pPr>
      <w:r/>
      <w:r>
        <w:rPr>
          <w:b/>
        </w:rPr>
        <w:t>Palipéridone</w:t>
      </w:r>
      <w:r>
        <w:t xml:space="preserve"> : surveillance post-injection 3 h pour Trevicta, surveiller hyperprolactinémie, vérifier créatininémie</w:t>
      </w:r>
    </w:p>
    <w:p>
      <w:r/>
      <w:r>
        <w:rPr>
          <w:b/>
        </w:rPr>
        <w:t>Règles d'or pour le pharmacien d'officine algérien :</w:t>
      </w:r>
      <w:r/>
    </w:p>
    <w:p>
      <w:pPr>
        <w:pStyle w:val="ListNumber"/>
      </w:pPr>
      <w:r/>
      <w:r>
        <w:rPr>
          <w:b/>
        </w:rPr>
        <w:t>Ne jamais substituer un antipsychotique atypique par un autre sans avis psychiatre</w:t>
      </w:r>
      <w:r>
        <w:t xml:space="preserve"> : chaque molécule a un profil propre, le switch doit être programmé</w:t>
      </w:r>
    </w:p>
    <w:p>
      <w:pPr>
        <w:pStyle w:val="ListNumber"/>
      </w:pPr>
      <w:r/>
      <w:r>
        <w:rPr>
          <w:b/>
        </w:rPr>
        <w:t>Toujours vérifier la prescription initiale hospitalière</w:t>
      </w:r>
      <w:r>
        <w:t xml:space="preserve"> (Liste I, prescription restreinte)</w:t>
      </w:r>
    </w:p>
    <w:p>
      <w:pPr>
        <w:pStyle w:val="ListNumber"/>
      </w:pPr>
      <w:r/>
      <w:r>
        <w:rPr>
          <w:b/>
        </w:rPr>
        <w:t>Bien expliquer la surveillance NFS pour la clozapine</w:t>
      </w:r>
      <w:r>
        <w:t xml:space="preserve"> (registre nominatif obligatoire)</w:t>
      </w:r>
    </w:p>
    <w:p>
      <w:pPr>
        <w:pStyle w:val="ListNumber"/>
      </w:pPr>
      <w:r/>
      <w:r>
        <w:rPr>
          <w:b/>
        </w:rPr>
        <w:t>Bien expliquer la surveillance métabolique pour tous les AP-2G</w:t>
      </w:r>
      <w:r>
        <w:t xml:space="preserve"> (poids, glycémie, lipides selon calendrier)</w:t>
      </w:r>
    </w:p>
    <w:p>
      <w:pPr>
        <w:pStyle w:val="ListNumber"/>
      </w:pPr>
      <w:r/>
      <w:r>
        <w:rPr>
          <w:b/>
        </w:rPr>
        <w:t>Bien expliquer la prise médicamenteuse</w:t>
      </w:r>
      <w:r>
        <w:t xml:space="preserve"> (matin ou soir, avec ou sans repas, écrasement ou non)</w:t>
      </w:r>
    </w:p>
    <w:p>
      <w:pPr>
        <w:pStyle w:val="ListNumber"/>
      </w:pPr>
      <w:r/>
      <w:r>
        <w:rPr>
          <w:b/>
        </w:rPr>
        <w:t>Bien expliquer les interactions</w:t>
      </w:r>
      <w:r>
        <w:t xml:space="preserve"> (alcool, autres dépresseurs SNC, allongeurs QT, inducteurs/inhibiteurs enzymatiques)</w:t>
      </w:r>
    </w:p>
    <w:p>
      <w:pPr>
        <w:pStyle w:val="ListNumber"/>
      </w:pPr>
      <w:r/>
      <w:r>
        <w:rPr>
          <w:b/>
        </w:rPr>
        <w:t>Bien expliquer la nécessité de l'observance</w:t>
      </w:r>
      <w:r>
        <w:t xml:space="preserve"> (ne pas arrêter brutalement, ne pas doubler en cas d'oubli)</w:t>
      </w:r>
    </w:p>
    <w:p>
      <w:pPr>
        <w:pStyle w:val="ListNumber"/>
      </w:pPr>
      <w:r/>
      <w:r>
        <w:rPr>
          <w:b/>
        </w:rPr>
        <w:t>Bien orienter vers le médecin traitant</w:t>
      </w:r>
      <w:r>
        <w:t xml:space="preserve"> en cas d'EI : akathisie, hyperprolactinémie, prise de poids, troubles du contrôle des impulsions, hypotension orthostatique</w:t>
      </w:r>
    </w:p>
    <w:p>
      <w:pPr>
        <w:pStyle w:val="ListNumber"/>
      </w:pPr>
      <w:r/>
      <w:r>
        <w:rPr>
          <w:b/>
        </w:rPr>
        <w:t>Bien connaître les formes dépôt LP IM</w:t>
      </w:r>
      <w:r>
        <w:t xml:space="preserve"> et leur surveillance (Xeplion mensuel, Trevicta trimestriel, Abilify Maintena mensuel)</w:t>
      </w:r>
    </w:p>
    <w:p>
      <w:pPr>
        <w:pStyle w:val="ListNumber"/>
      </w:pPr>
      <w:r/>
      <w:r>
        <w:rPr>
          <w:b/>
        </w:rPr>
        <w:t>Bien informer sur les statuts</w:t>
      </w:r>
      <w:r>
        <w:t xml:space="preserve"> des spécialités (Actif, Non Renouvelable, Retiré) — particulièrement important pour la ziprasidone (Zeldox non renouvelable)</w:t>
      </w:r>
    </w:p>
    <w:p>
      <w:r>
        <w:t>Ce chapitre s'achève sur la nécessité d'une formation continue du pharmacien d'officine algérien aux antipsychotiques atypiques, qui constituent une classe en constante évolution, avec l'arrivée régulière de nouvelles molécules et de nouvelles formulations galéniques. Le pharmacien joue un rôle central dans l'observance, la surveillance des effets indésirables, et l'éducation thérapeutique des patients psychiatriques chroniques, dont l'espérance de vie (réduite de 15-20 ans par la population générale) dépend largement de la qualité de la prise en charge globale — pharmacologique, métabolique, cardiovasculaire et psychosociale.</w:t>
      </w:r>
    </w:p>
    <w:p>
      <w:r/>
      <w:r>
        <w:rPr>
          <w:i/>
        </w:rPr>
        <w:t>Fin du Chapitre 84 — Antipsychotiques atypiques (2e et 3e générations).</w:t>
      </w:r>
      <w:r/>
    </w:p>
    <w:p>
      <w:pPr>
        <w:pStyle w:val="Heading2"/>
      </w:pPr>
      <w:r>
        <w:t>Fascicule X — Chapitre 85 : Thymorégulateurs (Normothymiques)</w:t>
      </w:r>
    </w:p>
    <w:p>
      <w:pPr>
        <w:pStyle w:val="Heading2"/>
      </w:pPr>
      <w:r>
        <w:t>Avant-propos du Chapitre 85</w:t>
      </w:r>
    </w:p>
    <w:p>
      <w:r>
        <w:t xml:space="preserve">Le présent chapitre constitue le cinquième volet thématique du Fascicule X consacré aux psychotropes. Il traite spécifiquement de la classe des </w:t>
      </w:r>
      <w:r>
        <w:rPr>
          <w:b/>
        </w:rPr>
        <w:t>thymorégulateurs</w:t>
      </w:r>
      <w:r>
        <w:t xml:space="preserve"> (ou </w:t>
      </w:r>
      <w:r>
        <w:rPr>
          <w:b/>
        </w:rPr>
        <w:t>normothymiques</w:t>
      </w:r>
      <w:r>
        <w:t xml:space="preserve">), médicaments qui occupent une place centrale dans la prise en charge pharmacologique du </w:t>
      </w:r>
      <w:r>
        <w:rPr>
          <w:b/>
        </w:rPr>
        <w:t>trouble bipolaire</w:t>
      </w:r>
      <w:r>
        <w:t xml:space="preserve"> (anciennement appelé « psychose maniaco-dépressive PMD ») — pathologie psychiatrique chronique touchant 1 à 2 % de la population générale, caractérisée par la survenue alternée d'épisodes maniaques (ou hypomaniaques) et dépressifs, avec intervalles libres variables. Sans traitement préventif, le trouble bipolaire évolue vers une chronicisation avec risque suicidaire majeur (15-20 % de mortalité par suicide) et une altération sévère du fonctionnement socio-professionnel.</w:t>
      </w:r>
    </w:p>
    <w:p>
      <w:r>
        <w:t xml:space="preserve">Le terme « thymorégulateur » (du grec </w:t>
      </w:r>
      <w:r>
        <w:rPr>
          <w:i/>
        </w:rPr>
        <w:t>thymos</w:t>
      </w:r>
      <w:r>
        <w:t xml:space="preserve"> = humeur, et </w:t>
      </w:r>
      <w:r>
        <w:rPr>
          <w:i/>
        </w:rPr>
        <w:t>regulare</w:t>
      </w:r>
      <w:r>
        <w:t xml:space="preserve"> = réguler) désigne la propriété pharmacologique fondamentale de ces molécules : </w:t>
      </w:r>
      <w:r>
        <w:rPr>
          <w:b/>
        </w:rPr>
        <w:t>stabiliser l'humeur</w:t>
      </w:r>
      <w:r>
        <w:t xml:space="preserve"> en prévenant la survenue des accès maniaques ET dépressifs, sans induire d'inversion thymique iatrogène. Cette classe se distingue ainsi des antidépresseurs (qui traitent l'épisode dépressif mais peuvent induire des bascules maniaques chez le patient bipolaire — </w:t>
      </w:r>
      <w:r>
        <w:rPr>
          <w:i/>
        </w:rPr>
        <w:t>switch maniaque</w:t>
      </w:r>
      <w:r>
        <w:t xml:space="preserve"> —, ce qui constitue une contre-indication relative chez le patient bipolaire non protégé par un thymorégulateur) et des antipsychotiques (qui traitent surtout la manie aiguë et la prévention des rechutes maniaques, mais sont moins efficaces sur la prévention de la dépression bipolaire).</w:t>
      </w:r>
    </w:p>
    <w:p>
      <w:r>
        <w:t xml:space="preserve">Le chapitre traite </w:t>
      </w:r>
      <w:r>
        <w:rPr>
          <w:b/>
        </w:rPr>
        <w:t>4 DCI</w:t>
      </w:r>
      <w:r>
        <w:t xml:space="preserve"> réparties en </w:t>
      </w:r>
      <w:r>
        <w:rPr>
          <w:b/>
        </w:rPr>
        <w:t>4 sous-classes distinctes</w:t>
      </w:r>
      <w:r>
        <w:t xml:space="preserve"> :</w:t>
      </w:r>
    </w:p>
    <w:p>
      <w:pPr>
        <w:pStyle w:val="ListNumber"/>
      </w:pPr>
      <w:r/>
      <w:r>
        <w:rPr>
          <w:b/>
        </w:rPr>
        <w:t>Sels de lithium</w:t>
      </w:r>
      <w:r>
        <w:t xml:space="preserve"> (1 DCI) : Lithium (carbonate) — *molécule de référence historique, mais RETIRÉE du marché algérien (THERALITHE, Rhône-Poulenc Rorer) — alternatives : valproate, lamotrigine, antipsychotiques atypiques, ou importation sous dérogation.*</w:t>
      </w:r>
    </w:p>
    <w:p>
      <w:pPr>
        <w:pStyle w:val="ListNumber"/>
      </w:pPr>
      <w:r/>
      <w:r>
        <w:rPr>
          <w:b/>
        </w:rPr>
        <w:t>Antiépileptiques — valproate</w:t>
      </w:r>
      <w:r>
        <w:t xml:space="preserve"> (1 DCI) : Valproate/Valproïque — *indiqué dans la manie aiguë et la prévention des rechutes du trouble bipolaire, mais CONTRE-INDICATION ABSOLUE chez la femme en âge de procréer sans contraception efficace (programme PPP obligatoire EMA/ANSM).*</w:t>
      </w:r>
    </w:p>
    <w:p>
      <w:pPr>
        <w:pStyle w:val="ListNumber"/>
      </w:pPr>
      <w:r/>
      <w:r>
        <w:rPr>
          <w:b/>
        </w:rPr>
        <w:t>Antiépileptiques — carbamazépine</w:t>
      </w:r>
      <w:r>
        <w:t xml:space="preserve"> (1 DCI) : Carbamazépine — *inducteur enzymatique puissant CYP3A4 (plus de 100 interactions médicamenteuses cliniquement significatives), dépistage HLA-B\*1502 recommandé chez populations asiatiques (risque Stevens-Johnson).*</w:t>
      </w:r>
    </w:p>
    <w:p>
      <w:pPr>
        <w:pStyle w:val="ListNumber"/>
      </w:pPr>
      <w:r/>
      <w:r>
        <w:rPr>
          <w:b/>
        </w:rPr>
        <w:t>Antiépileptiques — lamotrigine</w:t>
      </w:r>
      <w:r>
        <w:t xml:space="preserve"> (1 DCI) : Lamotrigine — *spécifiquement indiquée dans la prévention de la dépression bipolaire, profil tératogène le plus favorable, mais RISQUE DE RASH CUTANÉ potentiellement mortel (syndrome de Stevens-Johnson, syndrome de Lyell, DRESS) — titration très lente obligatoire sur 8-12 semaines.*</w:t>
      </w:r>
    </w:p>
    <w:p>
      <w:r/>
      <w:r>
        <w:rPr>
          <w:b/>
        </w:rPr>
        <w:t>Spécificité algérienne majeure</w:t>
      </w:r>
      <w:r>
        <w:t xml:space="preserve"> : le </w:t>
      </w:r>
      <w:r>
        <w:rPr>
          <w:b/>
        </w:rPr>
        <w:t>lithium carbonate (THERALITHE, laboratoire RHONE POULENC RORER) est RETIRÉ du marché algérien</w:t>
      </w:r>
      <w:r>
        <w:t xml:space="preserve"> depuis la dernière révision de la nomenclature. Cette situation pose un problème clinique majeur car le lithium reste, selon toutes les recommandations internationales (HAS, NICE, WFSBP, CANMAT, APA), le </w:t>
      </w:r>
      <w:r>
        <w:rPr>
          <w:b/>
        </w:rPr>
        <w:t>thymorégulateur de première intention</w:t>
      </w:r>
      <w:r>
        <w:t xml:space="preserve"> dans le trouble bipolaire de type I (preuve d'efficacité maximale sur la prévention du suicide — réduction de 80 % des conduites suicidaires vs placebo — et sur la prévention des rechutes maniaques et dépressives). L'absence de lithium disponible impose le recours aux alternatives antiépileptiques (valproate, carbamazépine, lamotrigine) ou aux antipsychotiques atypiques (voir chapitre 84), avec leurs propres profils d'effets indésirables et de contre-indications. Cette situation impose au pharmacien algérien une </w:t>
      </w:r>
      <w:r>
        <w:rPr>
          <w:b/>
        </w:rPr>
        <w:t>vigilance particulière</w:t>
      </w:r>
      <w:r>
        <w:t xml:space="preserve"> dans le conseil au patient présentant une ordonnance pour lithium : orientation systématique vers le médecin prescripteur pour adaptation thérapeutique.</w:t>
      </w:r>
    </w:p>
    <w:p>
      <w:pPr>
        <w:pStyle w:val="Heading3"/>
      </w:pPr>
      <w:r>
        <w:t>Sources académiques mobilisées</w:t>
      </w:r>
    </w:p>
    <w:p>
      <w:pPr>
        <w:pStyle w:val="ListBullet"/>
      </w:pPr>
      <w:r/>
      <w:r>
        <w:rPr>
          <w:b/>
        </w:rPr>
        <w:t>VIDAL</w:t>
      </w:r>
      <w:r>
        <w:t xml:space="preserve"> : RCP officiels, posologies, interactions médicamenteuses</w:t>
      </w:r>
    </w:p>
    <w:p>
      <w:pPr>
        <w:pStyle w:val="ListBullet"/>
      </w:pPr>
      <w:r/>
      <w:r>
        <w:rPr>
          <w:b/>
        </w:rPr>
        <w:t>ANSM</w:t>
      </w:r>
      <w:r>
        <w:t xml:space="preserve"> (Agence Nationale de Sécurité du Médicament) : recommandations, mises en garde, RCP</w:t>
      </w:r>
    </w:p>
    <w:p>
      <w:pPr>
        <w:pStyle w:val="ListBullet"/>
      </w:pPr>
      <w:r/>
      <w:r>
        <w:rPr>
          <w:b/>
        </w:rPr>
        <w:t>Thériaque</w:t>
      </w:r>
      <w:r>
        <w:t xml:space="preserve"> : CNHIM, banque française indépendante (interactions, équivalences)</w:t>
      </w:r>
    </w:p>
    <w:p>
      <w:pPr>
        <w:pStyle w:val="ListBullet"/>
      </w:pPr>
      <w:r/>
      <w:r>
        <w:rPr>
          <w:b/>
        </w:rPr>
        <w:t>CRAT</w:t>
      </w:r>
      <w:r>
        <w:t xml:space="preserve"> (Centre de Renseignement sur les Agents Tératogènes) : données grossesse/allaitement</w:t>
      </w:r>
    </w:p>
    <w:p>
      <w:pPr>
        <w:pStyle w:val="ListBullet"/>
      </w:pPr>
      <w:r/>
      <w:r>
        <w:rPr>
          <w:b/>
        </w:rPr>
        <w:t>HAS</w:t>
      </w:r>
      <w:r>
        <w:t xml:space="preserve"> (Haute Autorité de Santé) : recommandations troubles bipolaires (2005, révisées 2019)</w:t>
      </w:r>
    </w:p>
    <w:p>
      <w:pPr>
        <w:pStyle w:val="ListBullet"/>
      </w:pPr>
      <w:r/>
      <w:r>
        <w:rPr>
          <w:b/>
        </w:rPr>
        <w:t>WFSBP</w:t>
      </w:r>
      <w:r>
        <w:t xml:space="preserve"> (World Federation of Societies of Biological Psychiatry) : guidelines biologiques troubles bipolaires</w:t>
      </w:r>
    </w:p>
    <w:p>
      <w:pPr>
        <w:pStyle w:val="ListBullet"/>
      </w:pPr>
      <w:r/>
      <w:r>
        <w:rPr>
          <w:b/>
        </w:rPr>
        <w:t>CANMAT</w:t>
      </w:r>
      <w:r>
        <w:t xml:space="preserve"> (Canadian Network for Mood and Anxiety Treatments) : guidelines troubles bipolaires 2018</w:t>
      </w:r>
    </w:p>
    <w:p>
      <w:pPr>
        <w:pStyle w:val="ListBullet"/>
      </w:pPr>
      <w:r/>
      <w:r>
        <w:rPr>
          <w:b/>
        </w:rPr>
        <w:t>NICE</w:t>
      </w:r>
      <w:r>
        <w:t xml:space="preserve"> (National Institute for Health and Care Excellence) : guidelines trouble bipolaire (CG185)</w:t>
      </w:r>
    </w:p>
    <w:p>
      <w:pPr>
        <w:pStyle w:val="ListBullet"/>
      </w:pPr>
      <w:r/>
      <w:r>
        <w:rPr>
          <w:b/>
        </w:rPr>
        <w:t>APA</w:t>
      </w:r>
      <w:r>
        <w:t xml:space="preserve"> (American Psychiatric Association) : practice guidelines troubles bipolaires</w:t>
      </w:r>
    </w:p>
    <w:p>
      <w:pPr>
        <w:pStyle w:val="ListBullet"/>
      </w:pPr>
      <w:r/>
      <w:r>
        <w:rPr>
          <w:b/>
        </w:rPr>
        <w:t>Maudsley Prescribing Guidelines</w:t>
      </w:r>
      <w:r>
        <w:t xml:space="preserve"> (14e ed.) : référentiel international en psychiatrie</w:t>
      </w:r>
    </w:p>
    <w:p>
      <w:pPr>
        <w:pStyle w:val="ListBullet"/>
      </w:pPr>
      <w:r/>
      <w:r>
        <w:rPr>
          <w:b/>
        </w:rPr>
        <w:t>UpToDate, Micromedex</w:t>
      </w:r>
      <w:r>
        <w:t xml:space="preserve"> : référentiels internationaux</w:t>
      </w:r>
    </w:p>
    <w:p>
      <w:pPr>
        <w:pStyle w:val="ListBullet"/>
      </w:pPr>
      <w:r/>
      <w:r>
        <w:rPr>
          <w:b/>
        </w:rPr>
        <w:t>Cochrane Database</w:t>
      </w:r>
      <w:r>
        <w:t xml:space="preserve"> : méta-analyses thymorégulateurs (Cipriani 2013, Geddes 2010)</w:t>
      </w:r>
    </w:p>
    <w:p>
      <w:pPr>
        <w:pStyle w:val="ListBullet"/>
      </w:pPr>
      <w:r/>
      <w:r>
        <w:rPr>
          <w:b/>
        </w:rPr>
        <w:t>Goodman &amp; Gilman's</w:t>
      </w:r>
      <w:r>
        <w:t xml:space="preserve"> (13e ed.) : pharmacologie fondamentale</w:t>
      </w:r>
    </w:p>
    <w:p>
      <w:pPr>
        <w:pStyle w:val="ListBullet"/>
      </w:pPr>
      <w:r/>
      <w:r>
        <w:rPr>
          <w:b/>
        </w:rPr>
        <w:t>Stahl's Essential Psychopharmacology</w:t>
      </w:r>
      <w:r>
        <w:t xml:space="preserve"> (5e ed.) : mécanismes d'action</w:t>
      </w:r>
    </w:p>
    <w:p>
      <w:pPr>
        <w:pStyle w:val="ListBullet"/>
      </w:pPr>
      <w:r/>
      <w:r>
        <w:rPr>
          <w:b/>
        </w:rPr>
        <w:t>Katzung</w:t>
      </w:r>
      <w:r>
        <w:t xml:space="preserve"> (15e ed.) : pharmacologie clinique</w:t>
      </w:r>
    </w:p>
    <w:p>
      <w:pPr>
        <w:pStyle w:val="Heading3"/>
      </w:pPr>
      <w:r>
        <w:t>Contexte épidémiologique algérien</w:t>
      </w:r>
    </w:p>
    <w:p>
      <w:pPr>
        <w:pStyle w:val="ListBullet"/>
      </w:pPr>
      <w:r/>
      <w:r>
        <w:rPr>
          <w:b/>
        </w:rPr>
        <w:t>Prévalence vie-entière du trouble bipolaire</w:t>
      </w:r>
      <w:r>
        <w:t xml:space="preserve"> : 1-2 % de la population générale (soit 450 000 à 900 000 patients en Algérie sur 45 millions d'habitants)</w:t>
      </w:r>
    </w:p>
    <w:p>
      <w:pPr>
        <w:pStyle w:val="ListBullet"/>
      </w:pPr>
      <w:r/>
      <w:r>
        <w:rPr>
          <w:b/>
        </w:rPr>
        <w:t>Sex-ratio</w:t>
      </w:r>
      <w:r>
        <w:t xml:space="preserve"> : 1/1 (contrairement à la dépression unipolaire prédominante féminine)</w:t>
      </w:r>
    </w:p>
    <w:p>
      <w:pPr>
        <w:pStyle w:val="ListBullet"/>
      </w:pPr>
      <w:r/>
      <w:r>
        <w:rPr>
          <w:b/>
        </w:rPr>
        <w:t>Âge de début</w:t>
      </w:r>
      <w:r>
        <w:t xml:space="preserve"> : 15-25 ans (souvent diagnostiqué tardivement — 8-10 ans de délai moyen entre premiers épisodes et diagnostic formel)</w:t>
      </w:r>
    </w:p>
    <w:p>
      <w:pPr>
        <w:pStyle w:val="ListBullet"/>
      </w:pPr>
      <w:r/>
      <w:r>
        <w:rPr>
          <w:b/>
        </w:rPr>
        <w:t>Risque suicidaire</w:t>
      </w:r>
      <w:r>
        <w:t xml:space="preserve"> : 15-20 % de mortalité par suicide (50-75 % des patients présentent au moins une tentative de suicide au cours de la vie)</w:t>
      </w:r>
    </w:p>
    <w:p>
      <w:pPr>
        <w:pStyle w:val="ListBullet"/>
      </w:pPr>
      <w:r/>
      <w:r>
        <w:rPr>
          <w:b/>
        </w:rPr>
        <w:t>Comorbidités</w:t>
      </w:r>
      <w:r>
        <w:t xml:space="preserve"> : addiction (40-60 %), troubles anxieux (40-50 %)</w:t>
      </w:r>
    </w:p>
    <w:p>
      <w:pPr>
        <w:pStyle w:val="ListBullet"/>
      </w:pPr>
      <w:r/>
      <w:r>
        <w:rPr>
          <w:b/>
        </w:rPr>
        <w:t>Coût social</w:t>
      </w:r>
      <w:r>
        <w:t xml:space="preserve"> : 2e cause d'années de vie perdues en bonne santé parmi les pathologies psychiatriques</w:t>
      </w:r>
    </w:p>
    <w:p>
      <w:pPr>
        <w:pStyle w:val="ListBullet"/>
      </w:pPr>
      <w:r/>
      <w:r>
        <w:rPr>
          <w:b/>
        </w:rPr>
        <w:t>Observance</w:t>
      </w:r>
      <w:r>
        <w:t xml:space="preserve"> : 40-50 % à 1 an sous thymorégulateur — problème majeur (jugement thérapeutique pendant les phases euthymiques, refus du diagnostic, effets indésirables perçus)</w:t>
      </w:r>
    </w:p>
    <w:p>
      <w:pPr>
        <w:pStyle w:val="ListBullet"/>
      </w:pPr>
      <w:r/>
      <w:r>
        <w:rPr>
          <w:b/>
        </w:rPr>
        <w:t>Disponibilité du lithium en Algérie</w:t>
      </w:r>
      <w:r>
        <w:t xml:space="preserve"> : ABSENT (THERALITHE retiré) — impact clinique majeur</w:t>
      </w:r>
    </w:p>
    <w:p>
      <w:pPr>
        <w:pStyle w:val="Heading2"/>
      </w:pPr>
      <w:r>
        <w:t>Sommaire du Chapitre 85</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Section</w:t>
            </w:r>
          </w:p>
        </w:tc>
        <w:tc>
          <w:tcPr>
            <w:tcW w:type="dxa" w:w="2339"/>
          </w:tcPr>
          <w:p>
            <w:r>
              <w:rPr>
                <w:b/>
                <w:sz w:val="20"/>
              </w:rPr>
              <w:t>Sous-classes traitées</w:t>
            </w:r>
          </w:p>
        </w:tc>
        <w:tc>
          <w:tcPr>
            <w:tcW w:type="dxa" w:w="2339"/>
          </w:tcPr>
          <w:p>
            <w:r>
              <w:rPr>
                <w:b/>
                <w:sz w:val="20"/>
              </w:rPr>
              <w:t>DCI</w:t>
            </w:r>
          </w:p>
        </w:tc>
        <w:tc>
          <w:tcPr>
            <w:tcW w:type="dxa" w:w="2339"/>
          </w:tcPr>
          <w:p>
            <w:r>
              <w:rPr>
                <w:b/>
                <w:sz w:val="20"/>
              </w:rPr>
              <w:t>Statut Algérie</w:t>
            </w:r>
          </w:p>
        </w:tc>
      </w:tr>
      <w:tr>
        <w:tc>
          <w:tcPr>
            <w:tcW w:type="dxa" w:w="2339"/>
          </w:tcPr>
          <w:p>
            <w:r>
              <w:rPr>
                <w:sz w:val="20"/>
              </w:rPr>
              <w:t>85.1</w:t>
            </w:r>
          </w:p>
        </w:tc>
        <w:tc>
          <w:tcPr>
            <w:tcW w:type="dxa" w:w="2339"/>
          </w:tcPr>
          <w:p>
            <w:r>
              <w:rPr>
                <w:sz w:val="20"/>
              </w:rPr>
              <w:t>Thymorégulateurs - Sels de lithium</w:t>
            </w:r>
          </w:p>
        </w:tc>
        <w:tc>
          <w:tcPr>
            <w:tcW w:type="dxa" w:w="2339"/>
          </w:tcPr>
          <w:p>
            <w:r>
              <w:rPr>
                <w:sz w:val="20"/>
              </w:rPr>
              <w:t>Lithium (carbonate)</w:t>
            </w:r>
          </w:p>
        </w:tc>
        <w:tc>
          <w:tcPr>
            <w:tcW w:type="dxa" w:w="2339"/>
          </w:tcPr>
          <w:p>
            <w:r>
              <w:rPr>
                <w:sz w:val="20"/>
              </w:rPr>
              <w:t>RETIRÉ (R) — alternatives à discuter</w:t>
            </w:r>
          </w:p>
        </w:tc>
      </w:tr>
      <w:tr>
        <w:tc>
          <w:tcPr>
            <w:tcW w:type="dxa" w:w="2339"/>
          </w:tcPr>
          <w:p>
            <w:r>
              <w:rPr>
                <w:sz w:val="20"/>
              </w:rPr>
              <w:t>85.2</w:t>
            </w:r>
          </w:p>
        </w:tc>
        <w:tc>
          <w:tcPr>
            <w:tcW w:type="dxa" w:w="2339"/>
          </w:tcPr>
          <w:p>
            <w:r>
              <w:rPr>
                <w:sz w:val="20"/>
              </w:rPr>
              <w:t>Thymorégulateurs - Antiépileptiques (valproate)</w:t>
            </w:r>
          </w:p>
        </w:tc>
        <w:tc>
          <w:tcPr>
            <w:tcW w:type="dxa" w:w="2339"/>
          </w:tcPr>
          <w:p>
            <w:r>
              <w:rPr>
                <w:sz w:val="20"/>
              </w:rPr>
              <w:t>Valproate / Valproïque</w:t>
            </w:r>
          </w:p>
        </w:tc>
        <w:tc>
          <w:tcPr>
            <w:tcW w:type="dxa" w:w="2339"/>
          </w:tcPr>
          <w:p>
            <w:r>
              <w:rPr>
                <w:sz w:val="20"/>
              </w:rPr>
              <w:t>ACTIF (17 marques actives)</w:t>
            </w:r>
          </w:p>
        </w:tc>
      </w:tr>
      <w:tr>
        <w:tc>
          <w:tcPr>
            <w:tcW w:type="dxa" w:w="2339"/>
          </w:tcPr>
          <w:p>
            <w:r>
              <w:rPr>
                <w:sz w:val="20"/>
              </w:rPr>
              <w:t>85.3</w:t>
            </w:r>
          </w:p>
        </w:tc>
        <w:tc>
          <w:tcPr>
            <w:tcW w:type="dxa" w:w="2339"/>
          </w:tcPr>
          <w:p>
            <w:r>
              <w:rPr>
                <w:sz w:val="20"/>
              </w:rPr>
              <w:t>Thymorégulateurs - Antiépileptiques (carbamazépine)</w:t>
            </w:r>
          </w:p>
        </w:tc>
        <w:tc>
          <w:tcPr>
            <w:tcW w:type="dxa" w:w="2339"/>
          </w:tcPr>
          <w:p>
            <w:r>
              <w:rPr>
                <w:sz w:val="20"/>
              </w:rPr>
              <w:t>Carbamazépine</w:t>
            </w:r>
          </w:p>
        </w:tc>
        <w:tc>
          <w:tcPr>
            <w:tcW w:type="dxa" w:w="2339"/>
          </w:tcPr>
          <w:p>
            <w:r>
              <w:rPr>
                <w:sz w:val="20"/>
              </w:rPr>
              <w:t>ACTIF (13 marques actives)</w:t>
            </w:r>
          </w:p>
        </w:tc>
      </w:tr>
      <w:tr>
        <w:tc>
          <w:tcPr>
            <w:tcW w:type="dxa" w:w="2339"/>
          </w:tcPr>
          <w:p>
            <w:r>
              <w:rPr>
                <w:sz w:val="20"/>
              </w:rPr>
              <w:t>85.4</w:t>
            </w:r>
          </w:p>
        </w:tc>
        <w:tc>
          <w:tcPr>
            <w:tcW w:type="dxa" w:w="2339"/>
          </w:tcPr>
          <w:p>
            <w:r>
              <w:rPr>
                <w:sz w:val="20"/>
              </w:rPr>
              <w:t>Thymorégulateurs - Antiépileptiques (lamotrigine)</w:t>
            </w:r>
          </w:p>
        </w:tc>
        <w:tc>
          <w:tcPr>
            <w:tcW w:type="dxa" w:w="2339"/>
          </w:tcPr>
          <w:p>
            <w:r>
              <w:rPr>
                <w:sz w:val="20"/>
              </w:rPr>
              <w:t>Lamotrigine</w:t>
            </w:r>
          </w:p>
        </w:tc>
        <w:tc>
          <w:tcPr>
            <w:tcW w:type="dxa" w:w="2339"/>
          </w:tcPr>
          <w:p>
            <w:r>
              <w:rPr>
                <w:sz w:val="20"/>
              </w:rPr>
              <w:t>ACTIF (8 marques actives)</w:t>
            </w:r>
          </w:p>
        </w:tc>
      </w:tr>
      <w:tr>
        <w:tc>
          <w:tcPr>
            <w:tcW w:type="dxa" w:w="2339"/>
          </w:tcPr>
          <w:p>
            <w:r>
              <w:rPr>
                <w:sz w:val="20"/>
              </w:rPr>
              <w:t>**Total**</w:t>
            </w:r>
          </w:p>
        </w:tc>
        <w:tc>
          <w:tcPr>
            <w:tcW w:type="dxa" w:w="2339"/>
          </w:tcPr>
          <w:p>
            <w:r>
              <w:rPr>
                <w:sz w:val="20"/>
              </w:rPr>
              <w:t>**4 sous-classes**</w:t>
            </w:r>
          </w:p>
        </w:tc>
        <w:tc>
          <w:tcPr>
            <w:tcW w:type="dxa" w:w="2339"/>
          </w:tcPr>
          <w:p>
            <w:r>
              <w:rPr>
                <w:sz w:val="20"/>
              </w:rPr>
              <w:t>**4 DCI**</w:t>
            </w:r>
          </w:p>
        </w:tc>
        <w:tc>
          <w:tcPr>
            <w:tcW w:type="dxa" w:w="2339"/>
          </w:tcPr>
          <w:p>
            <w:r>
              <w:rPr>
                <w:sz w:val="20"/>
              </w:rPr>
              <w:t>**3 DCI disponibles + 1 retirée**</w:t>
            </w:r>
          </w:p>
        </w:tc>
      </w:tr>
    </w:tbl>
    <w:p/>
    <w:p>
      <w:pPr>
        <w:pStyle w:val="Heading2"/>
      </w:pPr>
      <w:r>
        <w:t>85.1 — Sous-classe : Thymorégulateurs - Sels de lithium</w:t>
      </w:r>
    </w:p>
    <w:p>
      <w:pPr>
        <w:pStyle w:val="Heading3"/>
      </w:pPr>
      <w:r>
        <w:t>Introduction à la sous-classe</w:t>
      </w:r>
    </w:p>
    <w:p>
      <w:r>
        <w:t xml:space="preserve">Les </w:t>
      </w:r>
      <w:r>
        <w:rPr>
          <w:b/>
        </w:rPr>
        <w:t>sels de lithium</w:t>
      </w:r>
      <w:r>
        <w:t xml:space="preserve"> représentent la </w:t>
      </w:r>
      <w:r>
        <w:rPr>
          <w:b/>
        </w:rPr>
        <w:t>plus ancienne classe de thymorégulateurs</w:t>
      </w:r>
      <w:r>
        <w:t xml:space="preserve"> et demeurent, à ce jour, la </w:t>
      </w:r>
      <w:r>
        <w:rPr>
          <w:b/>
        </w:rPr>
        <w:t>référence absolue</w:t>
      </w:r>
      <w:r>
        <w:t xml:space="preserve"> dans la prise en charge du trouble bipolaire de type I. Le lithium fut introduit en psychiatrie par l'Australien </w:t>
      </w:r>
      <w:r>
        <w:rPr>
          <w:b/>
        </w:rPr>
        <w:t>John Cade en 1949</w:t>
      </w:r>
      <w:r>
        <w:t>, qui démontra expérimentalement l'effet sédatif du lithium sur des cobayes agités (cobayes rendus maniaques par injection d'urée), avant d'essayer le traitement chez 10 patients maniaques avec un succès spectaculaire. Cette découverte, considérée comme l'une des plus grandes révolutions de la psychiatrie biologique du XXe siècle, valut à Cade une nomination pour le prix Nobel. Le lithium fut commercialisé en France dès 1961 sous le nom de TÉRALITHÈ (laboratoire Rhône-Poulenc Rorer), avec une extension d'AMM progressive à la prévention des rechutes du trouble bipolaire (1970s) et à la prévention du suicide (2000s, sur la base d'études contrôlées démontrant une réduction de 80 % du risque suicidaire).</w:t>
      </w:r>
    </w:p>
    <w:p>
      <w:r/>
      <w:r>
        <w:rPr>
          <w:b/>
        </w:rPr>
        <w:t>Caractéristiques pharmacologiques fondamentales du lithium :</w:t>
      </w:r>
      <w:r/>
    </w:p>
    <w:p>
      <w:pPr>
        <w:pStyle w:val="ListBullet"/>
      </w:pPr>
      <w:r/>
      <w:r>
        <w:rPr>
          <w:b/>
        </w:rPr>
        <w:t>Index thérapeutique extrêmement étroit</w:t>
      </w:r>
      <w:r>
        <w:t xml:space="preserve"> : la zone thérapeutique (lithiémie efficace) se situe entre </w:t>
      </w:r>
      <w:r>
        <w:rPr>
          <w:b/>
        </w:rPr>
        <w:t>0,6 et 1,2 mEq/L</w:t>
      </w:r>
      <w:r>
        <w:t xml:space="preserve"> (mmol/L), tandis que la zone toxique commence dès </w:t>
      </w:r>
      <w:r>
        <w:rPr>
          <w:b/>
        </w:rPr>
        <w:t>1,5 mEq/L</w:t>
      </w:r>
      <w:r>
        <w:t xml:space="preserve"> et devient sévère au-delà de </w:t>
      </w:r>
      <w:r>
        <w:rPr>
          <w:b/>
        </w:rPr>
        <w:t>2,0 mEq/L</w:t>
      </w:r>
      <w:r>
        <w:t xml:space="preserve"> (risque vital neurologique, rénal, cardiaque). Cette marge thérapeutique étroite impose une </w:t>
      </w:r>
      <w:r>
        <w:rPr>
          <w:b/>
        </w:rPr>
        <w:t>surveillance biologique systématique</w:t>
      </w:r>
      <w:r>
        <w:t xml:space="preserve"> de la lithiémie (mensuelle en début de traitement, puis trimestrielle à vie), ce qui en fait l'une des molécules psychotropes les plus encadrées de la pharmacopée.</w:t>
      </w:r>
    </w:p>
    <w:p>
      <w:pPr>
        <w:pStyle w:val="ListBullet"/>
      </w:pPr>
      <w:r/>
      <w:r>
        <w:rPr>
          <w:b/>
        </w:rPr>
        <w:t>Cation monovalent</w:t>
      </w:r>
      <w:r>
        <w:t xml:space="preserve"> : le lithium (Li⁺) est le plus léger des métaux alcalins (numéro atomique 3). Il mime partiellement le sodium (Na⁺) et le potassium (K⁺) dans les canaux ioniques et les systèmes de transport membranaire, ce qui explique en partie ses propriétés pharmacologiques (et certains effets indésirables rénaux — diabète insipide néphrogénique).</w:t>
      </w:r>
    </w:p>
    <w:p>
      <w:pPr>
        <w:pStyle w:val="ListBullet"/>
      </w:pPr>
      <w:r/>
      <w:r>
        <w:rPr>
          <w:b/>
        </w:rPr>
        <w:t>Mécanisme d'action multifactoriel</w:t>
      </w:r>
      <w:r>
        <w:t xml:space="preserve"> : le lithium agit par inhibition de la </w:t>
      </w:r>
      <w:r>
        <w:rPr>
          <w:b/>
        </w:rPr>
        <w:t>glycogène synthase kinase-3β (GSK-3β)</w:t>
      </w:r>
      <w:r>
        <w:t xml:space="preserve">, par </w:t>
      </w:r>
      <w:r>
        <w:rPr>
          <w:b/>
        </w:rPr>
        <w:t>déplétion en inositol</w:t>
      </w:r>
      <w:r>
        <w:t xml:space="preserve"> (inhibition de l'inositol monophosphatase), par modulation des </w:t>
      </w:r>
      <w:r>
        <w:rPr>
          <w:b/>
        </w:rPr>
        <w:t>voies de signalisation Wnt/β-caténine</w:t>
      </w:r>
      <w:r>
        <w:t xml:space="preserve"> et </w:t>
      </w:r>
      <w:r>
        <w:rPr>
          <w:b/>
        </w:rPr>
        <w:t>Bcl-2/BDNF</w:t>
      </w:r>
      <w:r>
        <w:t xml:space="preserve"> (neuroprotection), par modulation des </w:t>
      </w:r>
      <w:r>
        <w:rPr>
          <w:b/>
        </w:rPr>
        <w:t>systèmes sérotoninergique et dopaminergique</w:t>
      </w:r>
      <w:r>
        <w:t xml:space="preserve">, et par interaction avec les </w:t>
      </w:r>
      <w:r>
        <w:rPr>
          <w:b/>
        </w:rPr>
        <w:t>hormones thyroïdiennes</w:t>
      </w:r>
      <w:r>
        <w:t xml:space="preserve"> et la </w:t>
      </w:r>
      <w:r>
        <w:rPr>
          <w:b/>
        </w:rPr>
        <w:t>vasopressine</w:t>
      </w:r>
      <w:r>
        <w:t>. Cette multiplicité d'actions rend son mécanisme d'action encore partiellement élucidé à ce jour.</w:t>
      </w:r>
    </w:p>
    <w:p>
      <w:pPr>
        <w:pStyle w:val="ListBullet"/>
      </w:pPr>
      <w:r/>
      <w:r>
        <w:rPr>
          <w:b/>
        </w:rPr>
        <w:t>Demi-vie d'élimination longue</w:t>
      </w:r>
      <w:r>
        <w:t xml:space="preserve"> : 18-24 h (monoprise vespérale possible), avec un pic sérique 1-3 h après prise orale. La distribution se fait dans tout le volume hydrique total (Vd ≈ 0,6-0,9 L/kg), avec un passage libre dans le LCR, le lait maternel et le placenta (concentrations fœtales = concentrations maternelles).</w:t>
      </w:r>
    </w:p>
    <w:p>
      <w:pPr>
        <w:pStyle w:val="ListBullet"/>
      </w:pPr>
      <w:r/>
      <w:r>
        <w:rPr>
          <w:b/>
        </w:rPr>
        <w:t>Élimination rénale exclusive</w:t>
      </w:r>
      <w:r>
        <w:t xml:space="preserve"> : le lithium est filtré par le glomérule puis réabsorbé à 80 % au niveau du tubule proximal (par les mêmes transporteurs que le sodium). Toute modification de la volémie ou de l'équilibre hydrosodé impacte directement la lithiémie : </w:t>
      </w:r>
      <w:r>
        <w:rPr>
          <w:b/>
        </w:rPr>
        <w:t>déshydratation, hyponatrémie, régime sans sel, diurétiques, AINS, IEC/ARA2</w:t>
      </w:r>
      <w:r>
        <w:t xml:space="preserve"> majorent la lithiémie et exposent à la toxicité.</w:t>
      </w:r>
    </w:p>
    <w:p>
      <w:r/>
      <w:r>
        <w:rPr>
          <w:b/>
        </w:rPr>
        <w:t>Profil d'efficacité :</w:t>
      </w:r>
      <w:r/>
    </w:p>
    <w:p>
      <w:pPr>
        <w:pStyle w:val="ListBullet"/>
      </w:pPr>
      <w:r/>
      <w:r>
        <w:rPr>
          <w:b/>
        </w:rPr>
        <w:t>Manie aiguë</w:t>
      </w:r>
      <w:r>
        <w:t xml:space="preserve"> : efficace dans 60-70 % des cas (référence)</w:t>
      </w:r>
    </w:p>
    <w:p>
      <w:pPr>
        <w:pStyle w:val="ListBullet"/>
      </w:pPr>
      <w:r/>
      <w:r>
        <w:rPr>
          <w:b/>
        </w:rPr>
        <w:t>Prévention des rechutes bipolaires</w:t>
      </w:r>
      <w:r>
        <w:t xml:space="preserve"> : réduction de 70-80 % du nombre de rechutes maniaques et dépressives vs placebo</w:t>
      </w:r>
    </w:p>
    <w:p>
      <w:pPr>
        <w:pStyle w:val="ListBullet"/>
      </w:pPr>
      <w:r/>
      <w:r>
        <w:rPr>
          <w:b/>
        </w:rPr>
        <w:t>Prévention du suicide</w:t>
      </w:r>
      <w:r>
        <w:t xml:space="preserve"> : réduction de 80 % du risque suicidaire (vs placebo) — propriété unique parmi les thymorégulateurs, démontrée par plusieurs études contrôlées (Baldessarini 2003, Cipriani 2013, Geddes 2010)</w:t>
      </w:r>
    </w:p>
    <w:p>
      <w:pPr>
        <w:pStyle w:val="ListBullet"/>
      </w:pPr>
      <w:r/>
      <w:r>
        <w:rPr>
          <w:b/>
        </w:rPr>
        <w:t>Dépression bipolaire</w:t>
      </w:r>
      <w:r>
        <w:t xml:space="preserve"> : efficacité modeste en monothérapie (NNT 8-10), souvent en association (lithium + antidépresseur IRS sous surveillance stricte — risque de *switch maniaque*)</w:t>
      </w:r>
    </w:p>
    <w:p>
      <w:pPr>
        <w:pStyle w:val="ListBullet"/>
      </w:pPr>
      <w:r/>
      <w:r>
        <w:rPr>
          <w:b/>
        </w:rPr>
        <w:t>Augmentation antidépresseuse dans dépression unipolaire résistante</w:t>
      </w:r>
      <w:r>
        <w:t xml:space="preserve"> : efficacité démontrée (NNT 5)</w:t>
      </w:r>
    </w:p>
    <w:p>
      <w:r/>
      <w:r>
        <w:rPr>
          <w:b/>
        </w:rPr>
        <w:t>Profil d'effets indésirables :</w:t>
      </w:r>
      <w:r/>
    </w:p>
    <w:p>
      <w:pPr>
        <w:pStyle w:val="ListBullet"/>
      </w:pPr>
      <w:r/>
      <w:r>
        <w:rPr>
          <w:b/>
        </w:rPr>
        <w:t>À court terme</w:t>
      </w:r>
      <w:r>
        <w:t xml:space="preserve"> (premiers jours/semaines) : tremblements fins des mains (50 %), polyurie-polydipsie (diabète insipide néphrogénique — 30-50 %), diarrhée, nausées, asthénie, troubles cognitifs (mémoire, attention), prise de poids (20-30 %)</w:t>
      </w:r>
    </w:p>
    <w:p>
      <w:pPr>
        <w:pStyle w:val="ListBullet"/>
      </w:pPr>
      <w:r/>
      <w:r>
        <w:rPr>
          <w:b/>
        </w:rPr>
        <w:t>À long terme</w:t>
      </w:r>
      <w:r>
        <w:t xml:space="preserve"> (mois/années) : </w:t>
      </w:r>
      <w:r>
        <w:rPr>
          <w:b/>
        </w:rPr>
        <w:t>hypothyroïdie</w:t>
      </w:r>
      <w:r>
        <w:t xml:space="preserve"> (5-30 %, plus fréquente chez la femme), </w:t>
      </w:r>
      <w:r>
        <w:rPr>
          <w:b/>
        </w:rPr>
        <w:t>insuffisance rénale chronique</w:t>
      </w:r>
      <w:r>
        <w:t xml:space="preserve"> (risque majoré en cas de lithiémie &gt; 1,2 mEq/L ou épisodes de toxicité), hyperparathyroïdie, hypercalcémie, psoriasis (aggravation), acné, exacerbation de maladies dermatologiques préexistantes</w:t>
      </w:r>
    </w:p>
    <w:p>
      <w:pPr>
        <w:pStyle w:val="ListBullet"/>
      </w:pPr>
      <w:r/>
      <w:r>
        <w:rPr>
          <w:b/>
        </w:rPr>
        <w:t>Toxicité aiguë</w:t>
      </w:r>
      <w:r>
        <w:t xml:space="preserve"> (lithiémie &gt; 1,5 mEq/L) : tremblements grossiers, ataxie, dysarthrie, confusion, somnolence, convulsions, coma, troubles du rythme cardiaque, insuffisance rénale aiguë — urgence vitale nécessitant hospitalisation (réanimation, hémodialyse si lithiémie &gt; 4 mEq/L ou signes neurologiques sévères)</w:t>
      </w:r>
    </w:p>
    <w:p>
      <w:pPr>
        <w:pStyle w:val="ListBullet"/>
      </w:pPr>
      <w:r/>
      <w:r>
        <w:rPr>
          <w:b/>
        </w:rPr>
        <w:t>Toxicité chronique</w:t>
      </w:r>
      <w:r>
        <w:t xml:space="preserve"> : syndrome cérébelleux (atrophie cérébelleuse), syndrome parkinsonien, déficits cognitifs progressifs</w:t>
      </w:r>
    </w:p>
    <w:p>
      <w:r/>
      <w:r>
        <w:rPr>
          <w:b/>
        </w:rPr>
        <w:t>Contre-indications majeures :</w:t>
      </w:r>
      <w:r/>
    </w:p>
    <w:p>
      <w:pPr>
        <w:pStyle w:val="ListBullet"/>
      </w:pPr>
      <w:r/>
      <w:r>
        <w:rPr>
          <w:b/>
        </w:rPr>
        <w:t>Insuffisance rénale chronique</w:t>
      </w:r>
      <w:r>
        <w:t xml:space="preserve"> (DFG &lt; 50 mL/min) — risque d'accumulation</w:t>
      </w:r>
    </w:p>
    <w:p>
      <w:pPr>
        <w:pStyle w:val="ListBullet"/>
      </w:pPr>
      <w:r/>
      <w:r>
        <w:rPr>
          <w:b/>
        </w:rPr>
        <w:t>Hyponatrémie</w:t>
      </w:r>
      <w:r>
        <w:t xml:space="preserve"> ou traitement par diurétique thiazidique, régime sans sel strict</w:t>
      </w:r>
    </w:p>
    <w:p>
      <w:pPr>
        <w:pStyle w:val="ListBullet"/>
      </w:pPr>
      <w:r/>
      <w:r>
        <w:rPr>
          <w:b/>
        </w:rPr>
        <w:t>Insuffisance cardiaque décompensée</w:t>
      </w:r>
      <w:r>
        <w:t xml:space="preserve"> (risque pro-arythmique)</w:t>
      </w:r>
    </w:p>
    <w:p>
      <w:pPr>
        <w:pStyle w:val="ListBullet"/>
      </w:pPr>
      <w:r/>
      <w:r>
        <w:rPr>
          <w:b/>
        </w:rPr>
        <w:t>Grossesse 1er trimestre</w:t>
      </w:r>
      <w:r>
        <w:t xml:space="preserve"> (anomalie d'Ebstein — malformation cardiaque du septum atrio-ventriculaire, risque x 10-20 vs population générale) — ne jamais arrêter brutalement sans avis psychiatrique (rechute maniaque)</w:t>
      </w:r>
    </w:p>
    <w:p>
      <w:pPr>
        <w:pStyle w:val="ListBullet"/>
      </w:pPr>
      <w:r/>
      <w:r>
        <w:rPr>
          <w:b/>
        </w:rPr>
        <w:t>Allaitement</w:t>
      </w:r>
      <w:r>
        <w:t xml:space="preserve"> (passage lacté important — contre-indication relative)</w:t>
      </w:r>
    </w:p>
    <w:p>
      <w:pPr>
        <w:pStyle w:val="Heading3"/>
      </w:pPr>
      <w:r>
        <w:t>1. DCI : Lithium (carbonate) (Seule)</w:t>
      </w:r>
    </w:p>
    <w:p>
      <w:r/>
      <w:r>
        <w:rPr>
          <w:b/>
        </w:rPr>
        <w:t>Liste des Catégories :</w:t>
      </w:r>
      <w:r>
        <w:t xml:space="preserve"> Thymorégulateurs - Sels de lithium — Liste II (sur prescription médicale), index thérapeutique étroit — </w:t>
      </w:r>
      <w:r>
        <w:rPr>
          <w:b/>
        </w:rPr>
        <w:t>RETRAIT du marché algérien</w:t>
      </w:r>
      <w:r/>
    </w:p>
    <w:p>
      <w:r>
        <w:t xml:space="preserve">Le </w:t>
      </w:r>
      <w:r>
        <w:rPr>
          <w:b/>
        </w:rPr>
        <w:t>lithium (carbonate)</w:t>
      </w:r>
      <w:r>
        <w:t xml:space="preserve"> est le cation Li⁺ sous forme de sel de carbonate (Li₂CO₃), utilisé en psychiatrie depuis 1949 (John Cade, Australie). Il constitue le </w:t>
      </w:r>
      <w:r>
        <w:rPr>
          <w:b/>
        </w:rPr>
        <w:t>prototype historique des thymorégulateurs</w:t>
      </w:r>
      <w:r>
        <w:t xml:space="preserve"> et reste, selon toutes les recommandations internationales (HAS, NICE, WFSBP, CANMAT, APA, Cochrane), le traitement de référence du trouble bipolaire de type I en phase préventive et de la manie aiguë. Son index thérapeutique est l'un des plus étroits de toute la pharmacopée psychotrope : la zone thérapeutique (lithiémie 0,6-1,2 mEq/L) jouxte immédiatement la zone toxique (&gt; 1,5 mEq/L), imposant une surveillance biologique stricte et une éducation approfondie du patient. Le lithium possède par ailleurs la </w:t>
      </w:r>
      <w:r>
        <w:rPr>
          <w:b/>
        </w:rPr>
        <w:t>seule preuve formelle de réduction du risque suicidaire</w:t>
      </w:r>
      <w:r>
        <w:t xml:space="preserve"> démontrée parmi tous les thymorégulateurs (réduction de 80 % vs placebo, démontrée par plusieurs méta-analyses), ce qui en fait un traitement irremplaçable chez les patients bipolaires à haut risque suicidaire.</w:t>
      </w:r>
    </w:p>
    <w:p>
      <w:r/>
      <w:r>
        <w:rPr>
          <w:b/>
        </w:rPr>
        <w:t>Spécificité algérienne majeure</w:t>
      </w:r>
      <w:r>
        <w:t xml:space="preserve"> : le lithium carbonate (THERALITHE, laboratoire RHONE POULENC RORER) est </w:t>
      </w:r>
      <w:r>
        <w:rPr>
          <w:b/>
        </w:rPr>
        <w:t>RETRAIT du marché algérien</w:t>
      </w:r>
      <w:r>
        <w:t xml:space="preserve"> depuis plusieurs années. Cette situation pose un problème clinique majeur :</w:t>
      </w:r>
    </w:p>
    <w:p>
      <w:pPr>
        <w:pStyle w:val="ListBullet"/>
      </w:pPr>
      <w:r>
        <w:t>Les patients algériens atteints de trouble bipolaire ne disposent pas de la molécule de référence internationale</w:t>
      </w:r>
    </w:p>
    <w:p>
      <w:pPr>
        <w:pStyle w:val="ListBullet"/>
      </w:pPr>
      <w:r>
        <w:t>L'alternative repose sur les thymorégulateurs antiépileptiques (valproate, carbamazépine, lamotrigine) et les antipsychotiques atypiques</w:t>
      </w:r>
    </w:p>
    <w:p>
      <w:pPr>
        <w:pStyle w:val="ListBullet"/>
      </w:pPr>
      <w:r>
        <w:t>L'importation sous dérogation reste possible pour les patients ayant une indication formelle (reprise d'un traitement antérieur efficace, contre-indication aux alternatives)</w:t>
      </w:r>
    </w:p>
    <w:p>
      <w:pPr>
        <w:pStyle w:val="ListBullet"/>
      </w:pPr>
      <w:r>
        <w:t>Le pharmacien d'officine algérien doit systématiquement orienter le patient présentant une ordonnance pour lithium vers le médecin prescripteur pour substitution thérapeutique</w:t>
      </w:r>
    </w:p>
    <w:p>
      <w:r/>
      <w:r>
        <w:rPr>
          <w:b/>
        </w:rPr>
        <w:t>Médicaments disponibles en Algérie (Marques, Laboratoires, Formes et Dosages) :</w:t>
      </w:r>
      <w:r/>
    </w:p>
    <w:p>
      <w:pPr>
        <w:pStyle w:val="ListBullet"/>
      </w:pPr>
      <w:r/>
      <w:r>
        <w:rPr>
          <w:b/>
        </w:rPr>
        <w:t>THERALITHE</w:t>
      </w:r>
      <w:r>
        <w:t xml:space="preserve"> (RHONE POULENC RORER)</w:t>
      </w:r>
    </w:p>
    <w:p>
      <w:pPr>
        <w:pStyle w:val="ListBullet"/>
      </w:pPr>
      <w:r>
        <w:t>Forme et Dosage : Comprimé sécable 250 mg (B/100)</w:t>
      </w:r>
    </w:p>
    <w:p>
      <w:pPr>
        <w:pStyle w:val="ListBullet"/>
      </w:pPr>
      <w:r>
        <w:t>Liste : Liste II (sur prescription médicale)</w:t>
      </w:r>
    </w:p>
    <w:p>
      <w:pPr>
        <w:pStyle w:val="ListBullet"/>
      </w:pPr>
      <w:r>
        <w:t xml:space="preserve">Statut : </w:t>
      </w:r>
      <w:r>
        <w:rPr>
          <w:b/>
        </w:rPr>
        <w:t>RETRAIT (R)</w:t>
      </w:r>
      <w:r>
        <w:t xml:space="preserve"> — médicament plus disponible sur le marché algérien</w:t>
      </w:r>
    </w:p>
    <w:p>
      <w:r/>
      <w:r>
        <w:rPr>
          <w:b/>
        </w:rPr>
        <w:t>Note importante pour l'étudiant en pharmacie</w:t>
      </w:r>
      <w:r>
        <w:t xml:space="preserve"> : En Algérie, aucune autre marque de lithium carbonate (ou citrate) n'est actuellement disponible. Les patients algériens nécessitant un traitement par lithium doivent avoir recours à l'importation sous dérogation (procédure administrative via le ministère de la Santé, sur justification médicale spécialisée — ordonnance d'un psychiatre hospitalo-universitaire), ce qui reste exceptionnel. En pratique clinique courante en Algérie, la prise en charge du trouble bipolaire repose donc essentiellement sur le </w:t>
      </w:r>
      <w:r>
        <w:rPr>
          <w:b/>
        </w:rPr>
        <w:t>valproate de sodium</w:t>
      </w:r>
      <w:r>
        <w:t xml:space="preserve"> (manie aiguë et prévention des rechutes maniaques), la </w:t>
      </w:r>
      <w:r>
        <w:rPr>
          <w:b/>
        </w:rPr>
        <w:t>lamotrigine</w:t>
      </w:r>
      <w:r>
        <w:t xml:space="preserve"> (prévention de la dépression bipolaire) et les </w:t>
      </w:r>
      <w:r>
        <w:rPr>
          <w:b/>
        </w:rPr>
        <w:t>antipsychotiques atypiques</w:t>
      </w:r>
      <w:r>
        <w:t xml:space="preserve"> (aripiprazole, olanzapine, rispéridone — voir chapitre 84).</w:t>
      </w:r>
    </w:p>
    <w:p>
      <w:r>
        <w:t>Le pharmacien doit connaître les alternatives galéniques et thérapeutiques internationales (pour information et formation) :</w:t>
      </w:r>
    </w:p>
    <w:p>
      <w:pPr>
        <w:pStyle w:val="ListBullet"/>
      </w:pPr>
      <w:r/>
      <w:r>
        <w:rPr>
          <w:b/>
        </w:rPr>
        <w:t>TÉRALITH LP 400 mg</w:t>
      </w:r>
      <w:r>
        <w:t xml:space="preserve"> (comprimé à libération prolongée — Sanofi-Aventis France) — non disponible en Algérie</w:t>
      </w:r>
    </w:p>
    <w:p>
      <w:pPr>
        <w:pStyle w:val="ListBullet"/>
      </w:pPr>
      <w:r/>
      <w:r>
        <w:rPr>
          <w:b/>
        </w:rPr>
        <w:t>LITHIUM CARBONATE ARROW</w:t>
      </w:r>
      <w:r>
        <w:t xml:space="preserve"> 200/400 mg — non disponible</w:t>
      </w:r>
    </w:p>
    <w:p>
      <w:pPr>
        <w:pStyle w:val="ListBullet"/>
      </w:pPr>
      <w:r/>
      <w:r>
        <w:rPr>
          <w:b/>
        </w:rPr>
        <w:t>CARBOLITHIUM</w:t>
      </w:r>
      <w:r>
        <w:t xml:space="preserve"> 150/300/600 mg (Canada) — non disponible</w:t>
      </w:r>
    </w:p>
    <w:p>
      <w:pPr>
        <w:pStyle w:val="ListBullet"/>
      </w:pPr>
      <w:r/>
      <w:r>
        <w:rPr>
          <w:b/>
        </w:rPr>
        <w:t>LITHOBID</w:t>
      </w:r>
      <w:r>
        <w:t xml:space="preserve"> 300 mg LP (États-Unis) — non disponible</w:t>
      </w:r>
    </w:p>
    <w:p>
      <w:pPr>
        <w:pStyle w:val="ListBullet"/>
      </w:pPr>
      <w:r/>
      <w:r>
        <w:rPr>
          <w:b/>
        </w:rPr>
        <w:t>LITIO HUM 400 mg LP</w:t>
      </w:r>
      <w:r>
        <w:t xml:space="preserve"> (Espagne) — non disponible</w:t>
      </w:r>
    </w:p>
    <w:p>
      <w:r/>
      <w:r>
        <w:rPr>
          <w:b/>
        </w:rPr>
        <w:t>Sous-classe et Mécanisme d'action :</w:t>
      </w:r>
      <w:r/>
    </w:p>
    <w:p>
      <w:pPr>
        <w:pStyle w:val="ListBullet"/>
      </w:pPr>
      <w:r/>
      <w:r>
        <w:rPr>
          <w:b/>
        </w:rPr>
        <w:t>Sous-classe</w:t>
      </w:r>
      <w:r>
        <w:t xml:space="preserve"> : Thymorégulateur minéral — sel de lithium (cation alcalin Li⁺). Le lithium carbonate (Li₂CO₃) contient environ </w:t>
      </w:r>
      <w:r>
        <w:rPr>
          <w:b/>
        </w:rPr>
        <w:t>18,8 % de lithium élémentaire</w:t>
      </w:r>
      <w:r>
        <w:t xml:space="preserve"> (ainsi, un comprimé de 250 mg apporte ~47 mg de lithium élémentaire). Première molécule thymorégulatrice identifiée (Cade 1949), isolée dans la classe des « sels de lithium » qui ne contient qu'une seule DCI active en psychiatrie (le carbonate de lithium ; le citrate de lithium est utilisé en pédiatrie psychiatrique dans d'autres pays).</w:t>
      </w:r>
    </w:p>
    <w:p>
      <w:pPr>
        <w:pStyle w:val="ListBullet"/>
      </w:pPr>
      <w:r/>
      <w:r>
        <w:rPr>
          <w:b/>
        </w:rPr>
        <w:t>Mécanisme d'action</w:t>
      </w:r>
      <w:r>
        <w:t xml:space="preserve"> : Le mécanisme d'action du lithium est </w:t>
      </w:r>
      <w:r>
        <w:rPr>
          <w:b/>
        </w:rPr>
        <w:t>multifactoriel</w:t>
      </w:r>
      <w:r>
        <w:t xml:space="preserve"> et reste partiellement incompris malgré plus de 70 ans d'usage clinique. Les principales cibles moléculaires identifiées sont :</w:t>
      </w:r>
    </w:p>
    <w:p>
      <w:pPr>
        <w:pStyle w:val="ListNumber"/>
      </w:pPr>
      <w:r/>
      <w:r>
        <w:rPr>
          <w:b/>
        </w:rPr>
        <w:t>Inhibition de la GSK-3β (glycogène synthase kinase-3 bêta)</w:t>
      </w:r>
      <w:r>
        <w:t xml:space="preserve"> : Le lithium inhibe directement et indirectement (par inhibition de l'inositol monophosphatase) la GSK-3β, enzyme clé de la phosphorylation des protéines de signalisation intracellulaire. L'inhibition de la GSK-3β active les voies de survie neuronale (Wnt/β-caténine), stimule la neurogenèse hippocampique, et majore l'expression du facteur neurotrophique BDNF. Cette inhibition est considérée comme le mécanisme principal de la neuroprotection exercée par le lithium, et expliquerait en partie son effet préventif des rechutes à long terme et son effet anti-suicide (effet neurotrophique sur l'hippocampe).</w:t>
      </w:r>
    </w:p>
    <w:p>
      <w:pPr>
        <w:pStyle w:val="ListNumber"/>
      </w:pPr>
      <w:r/>
      <w:r>
        <w:rPr>
          <w:b/>
        </w:rPr>
        <w:t>Déplétion en inositol</w:t>
      </w:r>
      <w:r>
        <w:t xml:space="preserve"> : Le lithium inhibe l'inositol monophosphatase (IMPase), enzyme clé de la synthèse de l'inositol intracellulaire. Cette inhibition réduit la disponibilité en PIP₂ (phosphatidylinositol 4,5-bisphosphate), substrat de la phospholipase C (PLC) activée par les récepteurs couplés aux protéines Gq. La déplétion en inositol diminue la signalisation des récepteurs α1-adrénergiques, M1-muscariniques, 5-HT2C-sérotoninergiques et H1-histaminergiques — modulant ainsi l'activité des voies adrénergique, cholinergique, sérotoninergique et histaminergiques centrales. Cette déplétion en inositol est le mécanisme classique proposé par Berridge en 1982 (« inositol depletion hypothesis »).</w:t>
      </w:r>
    </w:p>
    <w:p>
      <w:pPr>
        <w:pStyle w:val="ListNumber"/>
      </w:pPr>
      <w:r/>
      <w:r>
        <w:rPr>
          <w:b/>
        </w:rPr>
        <w:t>Modulation des protéines G</w:t>
      </w:r>
      <w:r>
        <w:t xml:space="preserve"> : Le lithium, à concentrations thérapeutiques, inhibe la dissociation des sous-unités α/βγ des protéines G hétérotrimériques (en bloquant l'échange GDP/GTP), réduisant ainsi la signalisation dépendante des protéines Gs, Gi, Gq. Cette inhibition réduit la sensibilité des récepteurs postsynaptiques adrénergiques et sérotoninergiques, ce qui expliquerait l'effet thymorégulateur (équilibre entre systèmes adrénergique maniaque et sérotoninergique dépressif).</w:t>
      </w:r>
    </w:p>
    <w:p>
      <w:pPr>
        <w:pStyle w:val="ListNumber"/>
      </w:pPr>
      <w:r/>
      <w:r>
        <w:rPr>
          <w:b/>
        </w:rPr>
        <w:t>Effets sur les neurotransmetteurs</w:t>
      </w:r>
      <w:r>
        <w:t xml:space="preserve"> : Le lithium augmente la synthèse et la libération de sérotonine (5-HT) présynaptique, augmente la densité des récepteurs 5-HT1A postsynaptiques, et potentialise l'effet des antidépresseurs IRS. Il diminue la libération de dopamine (DA) présynaptique dans la voie mésolimbique (effet anti-maniaque), augmente la sensibilité des récepteurs D2 striés (à long terme), et module l'activité du système GABAergique (augmentation GABA cortical). Ces effets combinés sur 5-HT, DA et GABA sous-tendent l'effet thymorégulateur global.</w:t>
      </w:r>
    </w:p>
    <w:p>
      <w:pPr>
        <w:pStyle w:val="ListNumber"/>
      </w:pPr>
      <w:r/>
      <w:r>
        <w:rPr>
          <w:b/>
        </w:rPr>
        <w:t>Effet sur la vasopressine et le système rénal</w:t>
      </w:r>
      <w:r>
        <w:t xml:space="preserve"> : Le lithium mime le sodium (Na⁺) au niveau du canal épithélial sodium (ENaC) du tubule collecteur rénal — entrant dans les cellules principales du tubule collecteur mais ne pouvant être extrudé par la Na⁺/K⁺-ATPase. Il s'accumule donc dans les cellules principales et inhibe l'action de la vasopressine (ADH) sur son récepteur V2 : c'est le mécanisme du </w:t>
      </w:r>
      <w:r>
        <w:rPr>
          <w:b/>
        </w:rPr>
        <w:t>diabète insipide néphrogénique</w:t>
      </w:r>
      <w:r>
        <w:t xml:space="preserve"> induit par le lithium (30-50 % des patients), caractérisé par polyurie (&gt; 3 L/jour) et polydipsie.</w:t>
      </w:r>
    </w:p>
    <w:p>
      <w:pPr>
        <w:pStyle w:val="ListNumber"/>
      </w:pPr>
      <w:r/>
      <w:r>
        <w:rPr>
          <w:b/>
        </w:rPr>
        <w:t>Effet sur la thyroïde</w:t>
      </w:r>
      <w:r>
        <w:t xml:space="preserve"> : Le lithium inhibe la libération d'hormones thyroïdiennes (T3, T4) par la glande thyroïde (inhibition de la protéolyse de la thyroglobuline) et majore la TSH par rétrocontrôle positif hypophysaire. C'est le mécanisme de l'</w:t>
      </w:r>
      <w:r>
        <w:rPr>
          <w:b/>
        </w:rPr>
        <w:t>hypothyroïdie</w:t>
      </w:r>
      <w:r>
        <w:t xml:space="preserve"> induite (5-30 % des patients, particulièrement femmes et terrains auto-immuns préexistants).</w:t>
      </w:r>
    </w:p>
    <w:p>
      <w:pPr>
        <w:pStyle w:val="ListNumber"/>
      </w:pPr>
      <w:r/>
      <w:r>
        <w:rPr>
          <w:b/>
        </w:rPr>
        <w:t>Effet neuroprotecteur</w:t>
      </w:r>
      <w:r>
        <w:t xml:space="preserve"> : Le lithium augmente l'expression de </w:t>
      </w:r>
      <w:r>
        <w:rPr>
          <w:b/>
        </w:rPr>
        <w:t>Bcl-2</w:t>
      </w:r>
      <w:r>
        <w:t xml:space="preserve"> (anti-apoptotique), diminue l'expression de </w:t>
      </w:r>
      <w:r>
        <w:rPr>
          <w:b/>
        </w:rPr>
        <w:t>p53</w:t>
      </w:r>
      <w:r>
        <w:t xml:space="preserve"> et </w:t>
      </w:r>
      <w:r>
        <w:rPr>
          <w:b/>
        </w:rPr>
        <w:t>Bax</w:t>
      </w:r>
      <w:r>
        <w:t xml:space="preserve"> (pro-apoptotiques), et stimule la neurogenèse hippocampique par activation de </w:t>
      </w:r>
      <w:r>
        <w:rPr>
          <w:b/>
        </w:rPr>
        <w:t>BDNF</w:t>
      </w:r>
      <w:r>
        <w:t xml:space="preserve"> et </w:t>
      </w:r>
      <w:r>
        <w:rPr>
          <w:b/>
        </w:rPr>
        <w:t>BDNF-trkB</w:t>
      </w:r>
      <w:r>
        <w:t>. Cette neuroprotection expliquerait l'effet anti-suicide à long terme (réduction du risque suicidaire via la restauration de la plasticité neuronale hippocampique altérée dans le trouble bipolaire).</w:t>
      </w:r>
    </w:p>
    <w:p>
      <w:pPr>
        <w:pStyle w:val="ListNumber"/>
      </w:pPr>
      <w:r/>
      <w:r>
        <w:rPr>
          <w:b/>
        </w:rPr>
        <w:t>Effet sur le rythme circadien</w:t>
      </w:r>
      <w:r>
        <w:t xml:space="preserve"> : Le lithium allonge la période des rythmes circadiens (effet sur l'horloge suprachiasmatique via inhibition de GSK-3β), ce qui peut expliquer en partie son effet thymorégulateur (les patients bipolaires présentant souvent une perturbation du rythme circadien avec cycles courts en période maniaque).</w:t>
      </w:r>
    </w:p>
    <w:p>
      <w:r/>
      <w:r>
        <w:rPr>
          <w:b/>
        </w:rPr>
        <w:t>Profil Pharmacologique :</w:t>
      </w:r>
      <w:r/>
    </w:p>
    <w:p>
      <w:pPr>
        <w:pStyle w:val="ListBullet"/>
      </w:pPr>
      <w:r/>
      <w:r>
        <w:rPr>
          <w:b/>
        </w:rPr>
        <w:t>Indications (selon AMM internationale et recommandations HAS/NICE)</w:t>
      </w:r>
      <w:r>
        <w:t xml:space="preserve"> :</w:t>
      </w:r>
    </w:p>
    <w:p>
      <w:pPr>
        <w:pStyle w:val="ListBullet"/>
      </w:pPr>
      <w:r/>
      <w:r>
        <w:rPr>
          <w:b/>
        </w:rPr>
        <w:t>Trouble bipolaire de type I — traitement préventif</w:t>
      </w:r>
      <w:r>
        <w:t xml:space="preserve"> (indication principale) : prévention des rechutes maniaques et dépressives, à vie (à poursuivre même en cas d'euthymie prolongée — arrêt = risque de rechute &gt; 50 % à 1 an)</w:t>
      </w:r>
    </w:p>
    <w:p>
      <w:pPr>
        <w:pStyle w:val="ListBullet"/>
      </w:pPr>
      <w:r/>
      <w:r>
        <w:rPr>
          <w:b/>
        </w:rPr>
        <w:t>Manie aiguë</w:t>
      </w:r>
      <w:r>
        <w:t xml:space="preserve"> : traitement curatif (efficacité dans 60-70 % des cas en 7-14 jours)</w:t>
      </w:r>
    </w:p>
    <w:p>
      <w:pPr>
        <w:pStyle w:val="ListBullet"/>
      </w:pPr>
      <w:r/>
      <w:r>
        <w:rPr>
          <w:b/>
        </w:rPr>
        <w:t>Épisode dépressif bipolaire</w:t>
      </w:r>
      <w:r>
        <w:t xml:space="preserve"> : traitement adjuvant (en association stricte avec antidépresseur IRS sous surveillance — risque de *switch maniaque*) — efficacité modeste</w:t>
      </w:r>
    </w:p>
    <w:p>
      <w:pPr>
        <w:pStyle w:val="ListBullet"/>
      </w:pPr>
      <w:r/>
      <w:r>
        <w:rPr>
          <w:b/>
        </w:rPr>
        <w:t>Augmentation antidépresseuse dans dépression unipolaire résistante</w:t>
      </w:r>
      <w:r>
        <w:t xml:space="preserve"> : efficacité démontrée (NNT 5 pour obtention d'une réponse à 4-6 semaines)</w:t>
      </w:r>
    </w:p>
    <w:p>
      <w:pPr>
        <w:pStyle w:val="ListBullet"/>
      </w:pPr>
      <w:r/>
      <w:r>
        <w:rPr>
          <w:b/>
        </w:rPr>
        <w:t>Prévention du suicide dans le trouble bipolaire</w:t>
      </w:r>
      <w:r>
        <w:t xml:space="preserve"> (indication spécifique) : réduction de 80 % du risque suicidaire — propriété unique démontrée par méta-analyses</w:t>
      </w:r>
    </w:p>
    <w:p>
      <w:pPr>
        <w:pStyle w:val="ListBullet"/>
      </w:pPr>
      <w:r/>
      <w:r>
        <w:rPr>
          <w:b/>
        </w:rPr>
        <w:t>Trouble schizo-affectif</w:t>
      </w:r>
      <w:r>
        <w:t xml:space="preserve"> (type bipolaire) — en association avec antipsychotique</w:t>
      </w:r>
    </w:p>
    <w:p>
      <w:pPr>
        <w:pStyle w:val="ListBullet"/>
      </w:pPr>
      <w:r/>
      <w:r>
        <w:rPr>
          <w:b/>
        </w:rPr>
        <w:t>Cyclothymie sévère</w:t>
      </w:r>
      <w:r>
        <w:t xml:space="preserve"> — en 2e intention</w:t>
      </w:r>
    </w:p>
    <w:p>
      <w:pPr>
        <w:pStyle w:val="ListBullet"/>
      </w:pPr>
      <w:r/>
      <w:r>
        <w:rPr>
          <w:b/>
        </w:rPr>
        <w:t>Contre-indications absolues</w:t>
      </w:r>
      <w:r>
        <w:t xml:space="preserve"> :</w:t>
      </w:r>
    </w:p>
    <w:p>
      <w:pPr>
        <w:pStyle w:val="ListBullet"/>
      </w:pPr>
      <w:r/>
      <w:r>
        <w:rPr>
          <w:b/>
        </w:rPr>
        <w:t>Insuffisance rénale chronique</w:t>
      </w:r>
      <w:r>
        <w:t xml:space="preserve"> (DFG &lt; 30-50 mL/min — accumulation toxique)</w:t>
      </w:r>
    </w:p>
    <w:p>
      <w:pPr>
        <w:pStyle w:val="ListBullet"/>
      </w:pPr>
      <w:r/>
      <w:r>
        <w:rPr>
          <w:b/>
        </w:rPr>
        <w:t>Hyponatrémie</w:t>
      </w:r>
      <w:r>
        <w:t xml:space="preserve"> ou traitement en cours par diurétique thiazidique (réabsorption tubulaire proximale augmentée — lithiémie × 2-3)</w:t>
      </w:r>
    </w:p>
    <w:p>
      <w:pPr>
        <w:pStyle w:val="ListBullet"/>
      </w:pPr>
      <w:r/>
      <w:r>
        <w:rPr>
          <w:b/>
        </w:rPr>
        <w:t>Régime hyposodé strict</w:t>
      </w:r>
      <w:r>
        <w:t xml:space="preserve"> ou déshydratation (idem mécanisme)</w:t>
      </w:r>
    </w:p>
    <w:p>
      <w:pPr>
        <w:pStyle w:val="ListBullet"/>
      </w:pPr>
      <w:r/>
      <w:r>
        <w:rPr>
          <w:b/>
        </w:rPr>
        <w:t>Insuffisance cardiaque décompensée</w:t>
      </w:r>
      <w:r>
        <w:t xml:space="preserve"> (effet inotrope négatif)</w:t>
      </w:r>
    </w:p>
    <w:p>
      <w:pPr>
        <w:pStyle w:val="ListBullet"/>
      </w:pPr>
      <w:r/>
      <w:r>
        <w:rPr>
          <w:b/>
        </w:rPr>
        <w:t>Bloc auriculo-ventriculaire non appareillé</w:t>
      </w:r>
      <w:r>
        <w:t xml:space="preserve"> (risque de bloc complet — effet sur la conduction)</w:t>
      </w:r>
    </w:p>
    <w:p>
      <w:pPr>
        <w:pStyle w:val="ListBullet"/>
      </w:pPr>
      <w:r/>
      <w:r>
        <w:rPr>
          <w:b/>
        </w:rPr>
        <w:t>Maladie d'Addison</w:t>
      </w:r>
      <w:r>
        <w:t xml:space="preserve"> (insuffisance surrénale — déséquilibre Na/K)</w:t>
      </w:r>
    </w:p>
    <w:p>
      <w:pPr>
        <w:pStyle w:val="ListBullet"/>
      </w:pPr>
      <w:r/>
      <w:r>
        <w:rPr>
          <w:b/>
        </w:rPr>
        <w:t>Grossesse 1er trimestre</w:t>
      </w:r>
      <w:r>
        <w:t xml:space="preserve"> (anomalie d'Ebstein — malformation du septum atrio-ventriculaire, risque relatif x 10-20 vs population générale, incidence 1/1000 vs 1/20 000) — </w:t>
      </w:r>
      <w:r>
        <w:rPr>
          <w:b/>
        </w:rPr>
        <w:t>NE JAMAIS ARRÊTER BRUTALEMENT SANS AVIS PSYCHIATRE</w:t>
      </w:r>
      <w:r>
        <w:t xml:space="preserve"> (risque majeur de rechute maniaque et de décompensation psychotique)</w:t>
      </w:r>
    </w:p>
    <w:p>
      <w:pPr>
        <w:pStyle w:val="ListBullet"/>
      </w:pPr>
      <w:r/>
      <w:r>
        <w:rPr>
          <w:b/>
        </w:rPr>
        <w:t>Allaitement</w:t>
      </w:r>
      <w:r>
        <w:t xml:space="preserve"> (passage lacté important — concentrations sériques enfant ~ 50 % de celles de la mère — toxicité neurologique et thyroïdienne)</w:t>
      </w:r>
    </w:p>
    <w:p>
      <w:pPr>
        <w:pStyle w:val="ListBullet"/>
      </w:pPr>
      <w:r/>
      <w:r>
        <w:rPr>
          <w:b/>
        </w:rPr>
        <w:t>Psoriasis sévère</w:t>
      </w:r>
      <w:r>
        <w:t xml:space="preserve"> (aggravation paradoxale — exception : psoriasis pustuleux)</w:t>
      </w:r>
    </w:p>
    <w:p>
      <w:pPr>
        <w:pStyle w:val="ListBullet"/>
      </w:pPr>
      <w:r/>
      <w:r>
        <w:rPr>
          <w:b/>
        </w:rPr>
        <w:t>Association avec AINS non-aspirine</w:t>
      </w:r>
      <w:r>
        <w:t xml:space="preserve"> (ibuprofène, naproxène, diclofénac, etc. — réduction de la clairance rénale du lithium), </w:t>
      </w:r>
      <w:r>
        <w:rPr>
          <w:b/>
        </w:rPr>
        <w:t>diurétiques épargneurs de potassium</w:t>
      </w:r>
      <w:r>
        <w:t xml:space="preserve"> (spironolactone, amiloride), </w:t>
      </w:r>
      <w:r>
        <w:rPr>
          <w:b/>
        </w:rPr>
        <w:t>IEC/ARA2</w:t>
      </w:r>
      <w:r>
        <w:t xml:space="preserve"> (effet additif sur la lithiémie)</w:t>
      </w:r>
    </w:p>
    <w:p>
      <w:pPr>
        <w:pStyle w:val="ListBullet"/>
      </w:pPr>
      <w:r/>
      <w:r>
        <w:rPr>
          <w:b/>
        </w:rPr>
        <w:t>Patients non observants</w:t>
      </w:r>
      <w:r>
        <w:t xml:space="preserve"> ou non fiables pour la surveillance biologique (lithiémie mensuelle obligatoire)</w:t>
      </w:r>
    </w:p>
    <w:p>
      <w:pPr>
        <w:pStyle w:val="ListBullet"/>
      </w:pPr>
      <w:r/>
      <w:r>
        <w:rPr>
          <w:b/>
        </w:rPr>
        <w:t>Contre-indications relatives</w:t>
      </w:r>
      <w:r>
        <w:t xml:space="preserve"> (à discuter au cas par cas) :</w:t>
      </w:r>
    </w:p>
    <w:p>
      <w:pPr>
        <w:pStyle w:val="ListBullet"/>
      </w:pPr>
      <w:r>
        <w:t>Sujet âgé &gt; 70 ans (clairance réduite — dose réduite de 50 %)</w:t>
      </w:r>
    </w:p>
    <w:p>
      <w:pPr>
        <w:pStyle w:val="ListBullet"/>
      </w:pPr>
      <w:r>
        <w:t>Hypothyroïdie préexistante (compensation préalable par L-thyroxine obligatoire)</w:t>
      </w:r>
    </w:p>
    <w:p>
      <w:pPr>
        <w:pStyle w:val="ListBullet"/>
      </w:pPr>
      <w:r>
        <w:t>Diabète sucré déséquilibré</w:t>
      </w:r>
    </w:p>
    <w:p>
      <w:pPr>
        <w:pStyle w:val="ListBullet"/>
      </w:pPr>
      <w:r>
        <w:t>Maladie de Parkinson (risque d'aggravation)</w:t>
      </w:r>
    </w:p>
    <w:p>
      <w:pPr>
        <w:pStyle w:val="ListBullet"/>
      </w:pPr>
      <w:r>
        <w:t>Épilepsie (abaissement du seuil épileptogène — surveillance EEG)</w:t>
      </w:r>
    </w:p>
    <w:p>
      <w:pPr>
        <w:pStyle w:val="ListBullet"/>
      </w:pPr>
      <w:r>
        <w:t>Ulcère gastro-duodénal en poussée</w:t>
      </w:r>
    </w:p>
    <w:p>
      <w:pPr>
        <w:pStyle w:val="ListBullet"/>
      </w:pPr>
      <w:r/>
      <w:r>
        <w:rPr>
          <w:b/>
        </w:rPr>
        <w:t>Effets indésirables</w:t>
      </w:r>
      <w:r>
        <w:t xml:space="preserve"> :</w:t>
      </w:r>
    </w:p>
    <w:p>
      <w:r>
        <w:t xml:space="preserve">  </w:t>
      </w:r>
      <w:r>
        <w:rPr>
          <w:i/>
        </w:rPr>
        <w:t>Précoces (premiers jours/semaines) — liés à la phase d'adaptation :</w:t>
      </w:r>
      <w:r/>
    </w:p>
    <w:p>
      <w:pPr>
        <w:pStyle w:val="ListBullet"/>
      </w:pPr>
      <w:r/>
      <w:r>
        <w:rPr>
          <w:b/>
        </w:rPr>
        <w:t>Tremblements fins des mains</w:t>
      </w:r>
      <w:r>
        <w:t xml:space="preserve"> (50 %) — fréquence 8-12 Hz, disparaît souvent avec la poursuite du traitement ; traiter par bêta-bloquant (propranolol 20-40 mg x 2/jour) si gênant</w:t>
      </w:r>
    </w:p>
    <w:p>
      <w:pPr>
        <w:pStyle w:val="ListBullet"/>
      </w:pPr>
      <w:r/>
      <w:r>
        <w:rPr>
          <w:b/>
        </w:rPr>
        <w:t>Polyurie-polydipsie</w:t>
      </w:r>
      <w:r>
        <w:t xml:space="preserve"> (30-50 %) — diabète insipide néphrogénique par inhibition V2-vasopressine ; patient à risque de déshydratation en climat chaud (particulièrement pertinent en Algérie — climat méditerranéen, étés à &gt; 35-40 °C)</w:t>
      </w:r>
    </w:p>
    <w:p>
      <w:pPr>
        <w:pStyle w:val="ListBullet"/>
      </w:pPr>
      <w:r/>
      <w:r>
        <w:rPr>
          <w:b/>
        </w:rPr>
        <w:t>Diarrhée, nausées, vomissements</w:t>
      </w:r>
      <w:r>
        <w:t xml:space="preserve"> (20-30 %) — prendre pendant repas</w:t>
      </w:r>
    </w:p>
    <w:p>
      <w:pPr>
        <w:pStyle w:val="ListBullet"/>
      </w:pPr>
      <w:r/>
      <w:r>
        <w:rPr>
          <w:b/>
        </w:rPr>
        <w:t>Asthénie, somnolence, troubles cognitifs</w:t>
      </w:r>
      <w:r>
        <w:t xml:space="preserve"> (mémoire, attention, ralentissement idéique) — souvent transitoires mais peuvent persister (effet subjectif de « cerveau sous-couvert »)</w:t>
      </w:r>
    </w:p>
    <w:p>
      <w:pPr>
        <w:pStyle w:val="ListBullet"/>
      </w:pPr>
      <w:r/>
      <w:r>
        <w:rPr>
          <w:b/>
        </w:rPr>
        <w:t>Prise de poids</w:t>
      </w:r>
      <w:r>
        <w:t xml:space="preserve"> (20-30 %) — 2-5 kg en moyenne, parfois 10-15 kg, particulièrement chez la femme jeune</w:t>
      </w:r>
    </w:p>
    <w:p>
      <w:pPr>
        <w:pStyle w:val="ListBullet"/>
      </w:pPr>
      <w:r/>
      <w:r>
        <w:rPr>
          <w:b/>
        </w:rPr>
        <w:t>Acné</w:t>
      </w:r>
      <w:r>
        <w:t xml:space="preserve"> (10-15 %) — aggravation de lésions préexistantes</w:t>
      </w:r>
    </w:p>
    <w:p>
      <w:pPr>
        <w:pStyle w:val="ListBullet"/>
      </w:pPr>
      <w:r/>
      <w:r>
        <w:rPr>
          <w:b/>
        </w:rPr>
        <w:t>Troubles du goût</w:t>
      </w:r>
      <w:r>
        <w:t xml:space="preserve"> (dysgueusie métallique)</w:t>
      </w:r>
    </w:p>
    <w:p>
      <w:r>
        <w:t xml:space="preserve">  </w:t>
      </w:r>
      <w:r>
        <w:rPr>
          <w:i/>
        </w:rPr>
        <w:t>À long terme (mois/années) — toxicité cumulative :</w:t>
      </w:r>
      <w:r/>
    </w:p>
    <w:p>
      <w:pPr>
        <w:pStyle w:val="ListBullet"/>
      </w:pPr>
      <w:r/>
      <w:r>
        <w:rPr>
          <w:b/>
        </w:rPr>
        <w:t>Hypothyroïdie</w:t>
      </w:r>
      <w:r>
        <w:t xml:space="preserve"> (5-30 %) — particulièrement chez la femme, terrain auto-immun préexistant (Hashimoto) — surveillance TSH tous les 3-6 mois</w:t>
      </w:r>
    </w:p>
    <w:p>
      <w:pPr>
        <w:pStyle w:val="ListBullet"/>
      </w:pPr>
      <w:r/>
      <w:r>
        <w:rPr>
          <w:b/>
        </w:rPr>
        <w:t>Hyperparathyroïdie</w:t>
      </w:r>
      <w:r>
        <w:t xml:space="preserve"> (5-10 %) — hypercalcémie modérée — surveillance calcémie</w:t>
      </w:r>
    </w:p>
    <w:p>
      <w:pPr>
        <w:pStyle w:val="ListBullet"/>
      </w:pPr>
      <w:r/>
      <w:r>
        <w:rPr>
          <w:b/>
        </w:rPr>
        <w:t>Insuffisance rénale chronique</w:t>
      </w:r>
      <w:r>
        <w:t xml:space="preserve"> (5-15 % après 10-20 ans de traitement) — risque majoré en cas de lithiémie &gt; 1,2 mEq/L, épisodes de toxicité aiguë, association avec AINS, âge &gt; 60 ans — surveillance créatininémie tous les 3-6 mois</w:t>
      </w:r>
    </w:p>
    <w:p>
      <w:pPr>
        <w:pStyle w:val="ListBullet"/>
      </w:pPr>
      <w:r/>
      <w:r>
        <w:rPr>
          <w:b/>
        </w:rPr>
        <w:t>Syndrome cérébelleux chronique</w:t>
      </w:r>
      <w:r>
        <w:t xml:space="preserve"> (rares — en cas de toxicité aiguë répétée) — ataxie, dysmétrie, dysarthrie</w:t>
      </w:r>
    </w:p>
    <w:p>
      <w:pPr>
        <w:pStyle w:val="ListBullet"/>
      </w:pPr>
      <w:r/>
      <w:r>
        <w:rPr>
          <w:b/>
        </w:rPr>
        <w:t>Syndrome extrapyramidal</w:t>
      </w:r>
      <w:r>
        <w:t xml:space="preserve"> (rares — parkinsonisme, akathisie)</w:t>
      </w:r>
    </w:p>
    <w:p>
      <w:pPr>
        <w:pStyle w:val="ListBullet"/>
      </w:pPr>
      <w:r/>
      <w:r>
        <w:rPr>
          <w:b/>
        </w:rPr>
        <w:t>Aggravation de psoriasis</w:t>
      </w:r>
      <w:r>
        <w:t xml:space="preserve"> (5-10 %)</w:t>
      </w:r>
    </w:p>
    <w:p>
      <w:pPr>
        <w:pStyle w:val="ListBullet"/>
      </w:pPr>
      <w:r/>
      <w:r>
        <w:rPr>
          <w:b/>
        </w:rPr>
        <w:t>Leucocytose</w:t>
      </w:r>
      <w:r>
        <w:t xml:space="preserve"> modérée (effet direct — lithium stimule la prolifération des précurseurs médullaires — utilisé historiquement comme traitement adjuvant de la neutropénie)</w:t>
      </w:r>
    </w:p>
    <w:p>
      <w:r>
        <w:t xml:space="preserve">  </w:t>
      </w:r>
      <w:r>
        <w:rPr>
          <w:i/>
        </w:rPr>
        <w:t xml:space="preserve">Toxicité aiguë (lithiémie &gt; 1,5 mEq/L) — </w:t>
      </w:r>
      <w:r/>
      <w:r>
        <w:rPr>
          <w:i/>
        </w:rPr>
        <w:t>URGENCE MÉDICALE</w:t>
      </w:r>
      <w:r/>
      <w:r>
        <w:rPr>
          <w:i/>
        </w:rPr>
        <w:t xml:space="preserve"> :</w:t>
      </w:r>
      <w:r/>
    </w:p>
    <w:p>
      <w:pPr>
        <w:pStyle w:val="ListBullet"/>
      </w:pPr>
      <w:r/>
      <w:r>
        <w:rPr>
          <w:b/>
        </w:rPr>
        <w:t>Signes précoces</w:t>
      </w:r>
      <w:r>
        <w:t xml:space="preserve"> (1,5-2,0 mEq/L) : tremblements grossiers, ataxia, dysarthrie, asthénie marquée, confusion, somnolence, vomissements profus, diarrhée</w:t>
      </w:r>
    </w:p>
    <w:p>
      <w:pPr>
        <w:pStyle w:val="ListBullet"/>
      </w:pPr>
      <w:r/>
      <w:r>
        <w:rPr>
          <w:b/>
        </w:rPr>
        <w:t>Signes graves</w:t>
      </w:r>
      <w:r>
        <w:t xml:space="preserve"> (2,0-2,5 mEq/L) : myoclonies, fasciculations, convulsions généralisées, délire, syndrome cérébelleux aigu, troubles de la conduction cardiaque (allongement QT, troubles du rythme), hypotension, déshydratation aiguë, insuffisance rénale aiguë oligurique</w:t>
      </w:r>
    </w:p>
    <w:p>
      <w:pPr>
        <w:pStyle w:val="ListBullet"/>
      </w:pPr>
      <w:r/>
      <w:r>
        <w:rPr>
          <w:b/>
        </w:rPr>
        <w:t>Signes gravissimes</w:t>
      </w:r>
      <w:r>
        <w:t xml:space="preserve"> (&gt; 2,5 mEq/L) : coma profond, état de mal épileptique, arrêt cardiorespiratoire, décès (mortalité 10-25 % des cas graves)</w:t>
      </w:r>
    </w:p>
    <w:p>
      <w:pPr>
        <w:pStyle w:val="ListBullet"/>
      </w:pPr>
      <w:r/>
      <w:r>
        <w:rPr>
          <w:b/>
        </w:rPr>
        <w:t>Facteurs déclenchants classiques</w:t>
      </w:r>
      <w:r>
        <w:t xml:space="preserve"> : déshydratation (chaleur, gastro-entérite, jeûne), hyponatrémie (régime sans sel), prise d'AINS (toxicité lithium + AINS), insuffisance rénale aiguë surajoutée, surdosage volontaire (tentative de suicide — particulier chez le patient bipolaire !), interaction médicamenteuse (IEC, diurétique thiazidique)</w:t>
      </w:r>
    </w:p>
    <w:p>
      <w:r>
        <w:t xml:space="preserve">  </w:t>
      </w:r>
      <w:r>
        <w:rPr>
          <w:i/>
        </w:rPr>
        <w:t>Syndrome malin au lithium</w:t>
      </w:r>
      <w:r>
        <w:t xml:space="preserve"> (rare mais grave — à différencier du syndrome malin des neuroleptiques) : hyperthermie, hyperrigidité, troubles de la conscience, rhabdomyolyse — en cas d'association avec antipsychotique ou en cas de déshydratation sévère.</w:t>
      </w:r>
    </w:p>
    <w:p>
      <w:r/>
      <w:r>
        <w:rPr>
          <w:b/>
        </w:rPr>
        <w:t>Prévention et Gestion des Effets Indésirables :</w:t>
      </w:r>
      <w:r/>
    </w:p>
    <w:p>
      <w:pPr>
        <w:pStyle w:val="ListBullet"/>
      </w:pPr>
      <w:r/>
      <w:r>
        <w:rPr>
          <w:b/>
        </w:rPr>
        <w:t>Mesures Préventives systématiques</w:t>
      </w:r>
      <w:r>
        <w:t xml:space="preserve"> :</w:t>
      </w:r>
    </w:p>
    <w:p>
      <w:r>
        <w:t xml:space="preserve">  </w:t>
      </w:r>
      <w:r>
        <w:rPr>
          <w:i/>
        </w:rPr>
        <w:t>Bilan pré-thérapeutique complet obligatoire avant initiation :</w:t>
      </w:r>
      <w:r/>
    </w:p>
    <w:p>
      <w:pPr>
        <w:pStyle w:val="ListBullet"/>
      </w:pPr>
      <w:r>
        <w:t>Lithiémie de base (à 0 — mesure de référence)</w:t>
      </w:r>
    </w:p>
    <w:p>
      <w:pPr>
        <w:pStyle w:val="ListBullet"/>
      </w:pPr>
      <w:r>
        <w:t>Créatininémie + DFG estimé (MDRD ou CKD-EPI) + urée</w:t>
      </w:r>
    </w:p>
    <w:p>
      <w:pPr>
        <w:pStyle w:val="ListBullet"/>
      </w:pPr>
      <w:r>
        <w:t>Ionogramme sanguin (Na⁺, K⁺, Ca²⁺, Cl⁻)</w:t>
      </w:r>
    </w:p>
    <w:p>
      <w:pPr>
        <w:pStyle w:val="ListBullet"/>
      </w:pPr>
      <w:r>
        <w:t>TSH ultra-sensible + T4 libre</w:t>
      </w:r>
    </w:p>
    <w:p>
      <w:pPr>
        <w:pStyle w:val="ListBullet"/>
      </w:pPr>
      <w:r>
        <w:t>Parathormone intacte (PTH)</w:t>
      </w:r>
    </w:p>
    <w:p>
      <w:pPr>
        <w:pStyle w:val="ListBullet"/>
      </w:pPr>
      <w:r>
        <w:t>Glycémie à jeun + HbA1c</w:t>
      </w:r>
    </w:p>
    <w:p>
      <w:pPr>
        <w:pStyle w:val="ListBullet"/>
      </w:pPr>
      <w:r>
        <w:t>NFS-plaquettes</w:t>
      </w:r>
    </w:p>
    <w:p>
      <w:pPr>
        <w:pStyle w:val="ListBullet"/>
      </w:pPr>
      <w:r>
        <w:t>ECG (QTc — recherche d'allongement)</w:t>
      </w:r>
    </w:p>
    <w:p>
      <w:pPr>
        <w:pStyle w:val="ListBullet"/>
      </w:pPr>
      <w:r>
        <w:t>β-hCG chez la femme en âge de procréer (grossesse)</w:t>
      </w:r>
    </w:p>
    <w:p>
      <w:pPr>
        <w:pStyle w:val="ListBullet"/>
      </w:pPr>
      <w:r>
        <w:t>Poids, taille, IMC, tour de taille, tension artérielle</w:t>
      </w:r>
    </w:p>
    <w:p>
      <w:r>
        <w:t xml:space="preserve">  </w:t>
      </w:r>
      <w:r>
        <w:rPr>
          <w:i/>
        </w:rPr>
        <w:t>Surveillance biologique en cours de traitement :</w:t>
      </w:r>
      <w:r/>
    </w:p>
    <w:p>
      <w:pPr>
        <w:pStyle w:val="ListBullet"/>
      </w:pPr>
      <w:r/>
      <w:r>
        <w:rPr>
          <w:b/>
        </w:rPr>
        <w:t>Lithiémie résiduelle</w:t>
      </w:r>
      <w:r>
        <w:t xml:space="preserve"> (12 h après la dernière prise — *fondamental*) : à J5-J7 après initiation puis ajustement de dose, puis hebdomadaire pendant 1 mois, mensuelle pendant 6 mois, puis trimestrielle à vie (objectif : 0,6-1,2 mEq/L ; 0,8-1,0 mEq/L en prévention ; 0,8-1,2 mEq/L en manie aiguë)</w:t>
      </w:r>
    </w:p>
    <w:p>
      <w:pPr>
        <w:pStyle w:val="ListBullet"/>
      </w:pPr>
      <w:r/>
      <w:r>
        <w:rPr>
          <w:b/>
        </w:rPr>
        <w:t>TSH</w:t>
      </w:r>
      <w:r>
        <w:t xml:space="preserve"> : mensuelle pendant 3 mois, puis trimestrielle pendant 1 an, puis semestrielle à vie</w:t>
      </w:r>
    </w:p>
    <w:p>
      <w:pPr>
        <w:pStyle w:val="ListBullet"/>
      </w:pPr>
      <w:r/>
      <w:r>
        <w:rPr>
          <w:b/>
        </w:rPr>
        <w:t>Créatininémie + DFG</w:t>
      </w:r>
      <w:r>
        <w:t xml:space="preserve"> : trimestrielle pendant 1 an, puis semestrielle à vie</w:t>
      </w:r>
    </w:p>
    <w:p>
      <w:pPr>
        <w:pStyle w:val="ListBullet"/>
      </w:pPr>
      <w:r/>
      <w:r>
        <w:rPr>
          <w:b/>
        </w:rPr>
        <w:t>Calcémie + PTH</w:t>
      </w:r>
      <w:r>
        <w:t xml:space="preserve"> : annuelle</w:t>
      </w:r>
    </w:p>
    <w:p>
      <w:pPr>
        <w:pStyle w:val="ListBullet"/>
      </w:pPr>
      <w:r/>
      <w:r>
        <w:rPr>
          <w:b/>
        </w:rPr>
        <w:t>NFS</w:t>
      </w:r>
      <w:r>
        <w:t xml:space="preserve"> : semestrielle</w:t>
      </w:r>
    </w:p>
    <w:p>
      <w:pPr>
        <w:pStyle w:val="ListBullet"/>
      </w:pPr>
      <w:r/>
      <w:r>
        <w:rPr>
          <w:b/>
        </w:rPr>
        <w:t>ECG</w:t>
      </w:r>
      <w:r>
        <w:t xml:space="preserve"> : annuel (surtout si sujet âgé ou QTc &gt; 440 ms homme / 460 ms femme)</w:t>
      </w:r>
    </w:p>
    <w:p>
      <w:pPr>
        <w:pStyle w:val="ListBullet"/>
      </w:pPr>
      <w:r/>
      <w:r>
        <w:rPr>
          <w:b/>
        </w:rPr>
        <w:t>Conduite à tenir selon l'effet indésirable</w:t>
      </w:r>
      <w:r>
        <w:t xml:space="preserve"> :</w:t>
      </w:r>
    </w:p>
    <w:p>
      <w:r>
        <w:t xml:space="preserve">  </w:t>
      </w:r>
      <w:r>
        <w:rPr>
          <w:i/>
        </w:rPr>
        <w:t>Tremblements fins</w:t>
      </w:r>
      <w:r>
        <w:t xml:space="preserve"> : ne pas arrêter le lithium — proposer propranolol 20-40 mg x 2/jour (efficace dans 80 % des cas) ; vérifier lithiémie (si &gt; 1,2 mEq/L, réduire dose).</w:t>
      </w:r>
    </w:p>
    <w:p>
      <w:r>
        <w:t xml:space="preserve">  </w:t>
      </w:r>
      <w:r>
        <w:rPr>
          <w:i/>
        </w:rPr>
        <w:t>Polyurie-polydipsie (&gt; 3 L/jour)</w:t>
      </w:r>
      <w:r>
        <w:t xml:space="preserve"> : ne pas restreindre l'apport hydrique (risque de déshydratation + toxicité aiguë) ; vérifier lithiémie et natrémie ; si diabète insipide néphrogénique sévère, envisager amiloride 5-10 mg/jour (épargneur de potassium — restaure partiellement la sensibilité à la vasopressine).</w:t>
      </w:r>
    </w:p>
    <w:p>
      <w:r>
        <w:t xml:space="preserve">  </w:t>
      </w:r>
      <w:r>
        <w:rPr>
          <w:i/>
        </w:rPr>
        <w:t>Hypothyroïdie (TSH &gt; 10 mUI/L avec T4 basse)</w:t>
      </w:r>
      <w:r>
        <w:t xml:space="preserve"> : ne pas arrêter le lithium — prescrire L-thyroxine à dose substitutive (50-100 µg/jour) avec surveillance TSH à 6 semaines.</w:t>
      </w:r>
    </w:p>
    <w:p>
      <w:r>
        <w:t xml:space="preserve">  </w:t>
      </w:r>
      <w:r>
        <w:rPr>
          <w:i/>
        </w:rPr>
        <w:t>Prise de poids excessive (&gt; 5-10 kg)</w:t>
      </w:r>
      <w:r>
        <w:t xml:space="preserve"> : conseils diététiques, activité physique régulière ; pas de restriction hydrosodée stricte (risque toxique) ; envisager switch vers lamotrigine ou antipsychotique atypique (aripiprazole, ziprasidone — profil métabolique favorable).</w:t>
      </w:r>
    </w:p>
    <w:p>
      <w:r>
        <w:t xml:space="preserve">  </w:t>
      </w:r>
      <w:r>
        <w:rPr>
          <w:i/>
        </w:rPr>
        <w:t>Toxicité aiguë (lithiémie &gt; 1,5 mEq/L ou signes cliniques)</w:t>
      </w:r>
      <w:r>
        <w:t xml:space="preserve"> : </w:t>
      </w:r>
      <w:r>
        <w:rPr>
          <w:b/>
        </w:rPr>
        <w:t>arrêt immédiat du lithium</w:t>
      </w:r>
      <w:r>
        <w:t xml:space="preserve"> — hospitalisation en réanimation — réhydratation IV abondante (sérum salé isotonique 0,9 % — 4-6 L/24 h sous surveillance diurèse) — correction des troubles hydroélectrolytiques (hypokaliémie, hyponatrémie) — hémodialyse si lithiémie &gt; 4 mEq/L, ou &gt; 2,5 mEq/L avec signes neurologiques sévères, ou insuffisance rénale oligurique — surveillance ECG continue (risque de trouble du rythme) — arrêt des médicaments interagissant (AINS, IEC, diurétiques).</w:t>
      </w:r>
    </w:p>
    <w:p>
      <w:r>
        <w:t xml:space="preserve">  </w:t>
      </w:r>
      <w:r>
        <w:rPr>
          <w:i/>
        </w:rPr>
        <w:t>Éducation du patient</w:t>
      </w:r>
      <w:r>
        <w:t xml:space="preserve"> : remise d'une carte de patient mentionnant le traitement par lithium, indication d'informer tout médecin consulté (urgences, anesthésiste, dentiste), consignes d'hydratation régulière (1,5-2 L/jour en climat tempéré, 2-3 L/jour en climat chaud algérien), éviter régime sans sel strict, éviter AINS en automédication (privilégier paracétamol), signaler immédiatement tout signe de toxicité (tremblements grossiers, ataxie, confusion, vomissements profus).</w:t>
      </w:r>
    </w:p>
    <w:p>
      <w:r/>
      <w:r>
        <w:rPr>
          <w:b/>
        </w:rPr>
        <w:t>Interactions Importantes :</w:t>
      </w:r>
      <w:r/>
    </w:p>
    <w:p>
      <w:pPr>
        <w:pStyle w:val="ListBullet"/>
      </w:pPr>
      <w:r/>
      <w:r>
        <w:rPr>
          <w:b/>
        </w:rPr>
        <w:t>Lithium + AINS (sauf aspirine ≤ 100 mg)</w:t>
      </w:r>
      <w:r>
        <w:t xml:space="preserve"> : réduction de la clairance rénale du lithium (inhibition des prostaglandines rénales → baisse du flux sanguin rénal → augmentation de la réabsorption tubulaire proximale du lithium) → lithiémie × 2-3 → toxicité aiguë. </w:t>
      </w:r>
      <w:r>
        <w:rPr>
          <w:b/>
        </w:rPr>
        <w:t>CI relative — préférer paracétamol</w:t>
      </w:r>
      <w:r>
        <w:t>. Si AINS indispensable (pathologie rhumatologique) : surveiller lithiémie à 3-5 jours et adapter dose.</w:t>
      </w:r>
    </w:p>
    <w:p>
      <w:pPr>
        <w:pStyle w:val="ListBullet"/>
      </w:pPr>
      <w:r/>
      <w:r>
        <w:rPr>
          <w:b/>
        </w:rPr>
        <w:t>Lithium + Diurétiques thiazidiques</w:t>
      </w:r>
      <w:r>
        <w:t xml:space="preserve"> : majoration massive de la lithiémie (× 2-4) par hyponatrémie induite (stimulation de la réabsorption tubulaire proximale du lithium par échange Na⁺/Li⁺) → toxicité. </w:t>
      </w:r>
      <w:r>
        <w:rPr>
          <w:b/>
        </w:rPr>
        <w:t>CI absolue</w:t>
      </w:r>
      <w:r>
        <w:t>. Si diurétique indispensable : envisager furosémide (moins interactif) sous surveillance lithiémie à 3 jours.</w:t>
      </w:r>
    </w:p>
    <w:p>
      <w:pPr>
        <w:pStyle w:val="ListBullet"/>
      </w:pPr>
      <w:r/>
      <w:r>
        <w:rPr>
          <w:b/>
        </w:rPr>
        <w:t>Lithium + Diurétiques épargneurs de potassium (amiloride, spironolactone)</w:t>
      </w:r>
      <w:r>
        <w:t xml:space="preserve"> : diminution paradoxale de la lithiémie par inhibition de la réabsorption tubulaire proximale (amiloride bloque le canal ENaC où le lithium est réabsorbé). Amiloride peut être utilisé comme traitement adjuvant du diabète insipide néphrogénique lithique. Surveillance lithiémie (risque de sous-dosage).</w:t>
      </w:r>
    </w:p>
    <w:p>
      <w:pPr>
        <w:pStyle w:val="ListBullet"/>
      </w:pPr>
      <w:r/>
      <w:r>
        <w:rPr>
          <w:b/>
        </w:rPr>
        <w:t>Lithium + IEC/ARA2</w:t>
      </w:r>
      <w:r>
        <w:t xml:space="preserve"> : majoration de la lithiémie (× 1,5-2) par effet additif sur la fonction rénale → toxicité. </w:t>
      </w:r>
      <w:r>
        <w:rPr>
          <w:b/>
        </w:rPr>
        <w:t>CI relative</w:t>
      </w:r>
      <w:r>
        <w:t>. Si IEC indispensable (insuffisance cardiaque), surveillance lithiémie à 3-7 jours et adaptation.</w:t>
      </w:r>
    </w:p>
    <w:p>
      <w:pPr>
        <w:pStyle w:val="ListBullet"/>
      </w:pPr>
      <w:r/>
      <w:r>
        <w:rPr>
          <w:b/>
        </w:rPr>
        <w:t>Lithium + Inhibiteurs de la COX-2 (célécoxib, étoricoxib)</w:t>
      </w:r>
      <w:r>
        <w:t xml:space="preserve"> : idem AINS — majoration lithiémie.</w:t>
      </w:r>
    </w:p>
    <w:p>
      <w:pPr>
        <w:pStyle w:val="ListBullet"/>
      </w:pPr>
      <w:r/>
      <w:r>
        <w:rPr>
          <w:b/>
        </w:rPr>
        <w:t>Lithium + Antihypertenseurs centraux (méthyldopa, clonidine)</w:t>
      </w:r>
      <w:r>
        <w:t xml:space="preserve"> : neurotoxicité synergique (léthargie, confusion, tremblements) — éviter.</w:t>
      </w:r>
    </w:p>
    <w:p>
      <w:pPr>
        <w:pStyle w:val="ListBullet"/>
      </w:pPr>
      <w:r/>
      <w:r>
        <w:rPr>
          <w:b/>
        </w:rPr>
        <w:t>Lithium + Calcium-bloqueurs (vérapamil, diltiazem)</w:t>
      </w:r>
      <w:r>
        <w:t xml:space="preserve"> : neurotoxicité (léthargie, ataxie, tremblements) — surveillance clinique.</w:t>
      </w:r>
    </w:p>
    <w:p>
      <w:pPr>
        <w:pStyle w:val="ListBullet"/>
      </w:pPr>
      <w:r/>
      <w:r>
        <w:rPr>
          <w:b/>
        </w:rPr>
        <w:t>Lithium + Carbamazépine</w:t>
      </w:r>
      <w:r>
        <w:t xml:space="preserve"> : neurotoxicité synergique (léthargie, ataxia, confusion, tremblements grossiers) — éviter l'association ou surveiller étroitement.</w:t>
      </w:r>
    </w:p>
    <w:p>
      <w:pPr>
        <w:pStyle w:val="ListBullet"/>
      </w:pPr>
      <w:r/>
      <w:r>
        <w:rPr>
          <w:b/>
        </w:rPr>
        <w:t>Lithium + Antipsychotiques typiques (halopéridol, chlorpromazine)</w:t>
      </w:r>
      <w:r>
        <w:t xml:space="preserve"> : association usuelle en manie aiguë — pas d'interaction significative aux doses usuelles, mais surveillance neurologique (risque de syndrome malin au lithium en cas de déshydratation).</w:t>
      </w:r>
    </w:p>
    <w:p>
      <w:pPr>
        <w:pStyle w:val="ListBullet"/>
      </w:pPr>
      <w:r/>
      <w:r>
        <w:rPr>
          <w:b/>
        </w:rPr>
        <w:t>Lithium + Antipsychotiques atypiques</w:t>
      </w:r>
      <w:r>
        <w:t xml:space="preserve"> : idem — surveillance métabolique (le lithium ne potentialise pas l'effet métabolique des atypiques mais s'ajoute à la prise de poids).</w:t>
      </w:r>
    </w:p>
    <w:p>
      <w:pPr>
        <w:pStyle w:val="ListBullet"/>
      </w:pPr>
      <w:r/>
      <w:r>
        <w:rPr>
          <w:b/>
        </w:rPr>
        <w:t>Lithium + Antidépresseurs IRS</w:t>
      </w:r>
      <w:r>
        <w:t xml:space="preserve"> : association usuelle dans la dépression bipolaire — surveiller le risque de *switch maniaque* (prophylaxie anti-maniaque insuffisante) — débuter l'IRS à dose minimale efficace.</w:t>
      </w:r>
    </w:p>
    <w:p>
      <w:pPr>
        <w:pStyle w:val="ListBullet"/>
      </w:pPr>
      <w:r/>
      <w:r>
        <w:rPr>
          <w:b/>
        </w:rPr>
        <w:t>Lithium + IMAO</w:t>
      </w:r>
      <w:r>
        <w:t xml:space="preserve"> : risque de syndrome sérotoninergique — CI relative.</w:t>
      </w:r>
    </w:p>
    <w:p>
      <w:pPr>
        <w:pStyle w:val="ListBullet"/>
      </w:pPr>
      <w:r/>
      <w:r>
        <w:rPr>
          <w:b/>
        </w:rPr>
        <w:t>Lithium + Caféine (forte consommation)</w:t>
      </w:r>
      <w:r>
        <w:t xml:space="preserve"> : augmentation de la clairance du lithium (diurèse) → baisse lithiémie → inefficacité — surveiller.</w:t>
      </w:r>
    </w:p>
    <w:p>
      <w:pPr>
        <w:pStyle w:val="ListBullet"/>
      </w:pPr>
      <w:r/>
      <w:r>
        <w:rPr>
          <w:b/>
        </w:rPr>
        <w:t>Lithium + Alcool</w:t>
      </w:r>
      <w:r>
        <w:t xml:space="preserve"> : pas d'interaction directe mais potentialisation de la toxicité neurologique (ataxie, sédation) et majoration du risque de déshydratation.</w:t>
      </w:r>
    </w:p>
    <w:p>
      <w:pPr>
        <w:pStyle w:val="ListBullet"/>
      </w:pPr>
      <w:r/>
      <w:r>
        <w:rPr>
          <w:b/>
        </w:rPr>
        <w:t>Lithium + Anesthésiques généraux</w:t>
      </w:r>
      <w:r>
        <w:t xml:space="preserve"> : arrêt du lithium 24-48 h avant anesthésie (risque de déséquilibre hydroélectrolytique peropératoire) — reprise 24-48 h post-op après vérification de la lithiémie et de la fonction rénale.</w:t>
      </w:r>
    </w:p>
    <w:p>
      <w:pPr>
        <w:pStyle w:val="ListBullet"/>
      </w:pPr>
      <w:r/>
      <w:r>
        <w:rPr>
          <w:b/>
        </w:rPr>
        <w:t>Lithium + Topiramate</w:t>
      </w:r>
      <w:r>
        <w:t xml:space="preserve"> : risque de majoration de la lithiémie (interaction rare mais décrite) — surveillance.</w:t>
      </w:r>
    </w:p>
    <w:p>
      <w:pPr>
        <w:pStyle w:val="ListBullet"/>
      </w:pPr>
      <w:r/>
      <w:r>
        <w:rPr>
          <w:b/>
        </w:rPr>
        <w:t>Lithium + Méthylxanthines (théophylline, aminophylline)</w:t>
      </w:r>
      <w:r>
        <w:t xml:space="preserve"> : augmentation de la clairance du lithium (diurèse osmotique) → baisse lithiémie.</w:t>
      </w:r>
    </w:p>
    <w:p>
      <w:r/>
      <w:r>
        <w:rPr>
          <w:b/>
        </w:rPr>
        <w:t>Grossesse et Allaitement :</w:t>
      </w:r>
      <w:r/>
    </w:p>
    <w:p>
      <w:pPr>
        <w:pStyle w:val="ListBullet"/>
      </w:pPr>
      <w:r/>
      <w:r>
        <w:rPr>
          <w:b/>
        </w:rPr>
        <w:t>Grossesse</w:t>
      </w:r>
      <w:r>
        <w:t xml:space="preserve"> : Le lithium passe librement le placenta (concentrations fœtales ≈ maternelles). Selon CRAT, ANSM et recommandations internationales :</w:t>
      </w:r>
    </w:p>
    <w:p>
      <w:pPr>
        <w:pStyle w:val="ListBullet"/>
      </w:pPr>
      <w:r/>
      <w:r>
        <w:rPr>
          <w:b/>
        </w:rPr>
        <w:t>1er trimestre</w:t>
      </w:r>
      <w:r>
        <w:t xml:space="preserve"> : </w:t>
      </w:r>
      <w:r>
        <w:rPr>
          <w:b/>
        </w:rPr>
        <w:t>contre-indication relative majeure</w:t>
      </w:r>
      <w:r>
        <w:t xml:space="preserve"> — risque d'</w:t>
      </w:r>
      <w:r>
        <w:rPr>
          <w:b/>
        </w:rPr>
        <w:t>anomalie d'Ebstein</w:t>
      </w:r>
      <w:r>
        <w:t xml:space="preserve"> (malformation cardiaque du septum atrio-ventriculaire avec déplacement apical de la valve tricuspide — incidence 1/1000 nouveau-nés exposés vs 1/20 000 en population générale, soit risque relatif x 10-20). Ce risque est maximal en période d'organogénèse cardiaque (semaines 4-8 de gestation). Cependant, ce risque reste </w:t>
      </w:r>
      <w:r>
        <w:rPr>
          <w:b/>
        </w:rPr>
        <w:t>absolu faible</w:t>
      </w:r>
      <w:r>
        <w:t xml:space="preserve"> (0,1 % vs 0,005 % population générale).</w:t>
      </w:r>
    </w:p>
    <w:p>
      <w:pPr>
        <w:pStyle w:val="ListBullet"/>
      </w:pPr>
      <w:r/>
      <w:r>
        <w:rPr>
          <w:b/>
        </w:rPr>
        <w:t>2e et 3e trimestres</w:t>
      </w:r>
      <w:r>
        <w:t xml:space="preserve"> : risque de </w:t>
      </w:r>
      <w:r>
        <w:rPr>
          <w:b/>
        </w:rPr>
        <w:t>diabète insipide néphrogénique néonatal</w:t>
      </w:r>
      <w:r>
        <w:t xml:space="preserve"> (polyurie fœtale — hydramnios), </w:t>
      </w:r>
      <w:r>
        <w:rPr>
          <w:b/>
        </w:rPr>
        <w:t>hypotonie néonatale</w:t>
      </w:r>
      <w:r>
        <w:t xml:space="preserve"> (syndrome du « floppy baby »), </w:t>
      </w:r>
      <w:r>
        <w:rPr>
          <w:b/>
        </w:rPr>
        <w:t>hypothyroïdie néonatale</w:t>
      </w:r>
      <w:r>
        <w:t xml:space="preserve">, </w:t>
      </w:r>
      <w:r>
        <w:rPr>
          <w:b/>
        </w:rPr>
        <w:t>hypoglycémie néonatale</w:t>
      </w:r>
      <w:r>
        <w:t xml:space="preserve">, </w:t>
      </w:r>
      <w:r>
        <w:rPr>
          <w:b/>
        </w:rPr>
        <w:t>cardiomyopathie néonatale</w:t>
      </w:r>
      <w:r>
        <w:t>.</w:t>
      </w:r>
    </w:p>
    <w:p>
      <w:pPr>
        <w:pStyle w:val="ListBullet"/>
      </w:pPr>
      <w:r/>
      <w:r>
        <w:rPr>
          <w:b/>
        </w:rPr>
        <w:t>Conduite à tenir en cas de grossesse programmée</w:t>
      </w:r>
      <w:r>
        <w:t xml:space="preserve"> : idéalement </w:t>
      </w:r>
      <w:r>
        <w:rPr>
          <w:b/>
        </w:rPr>
        <w:t>arrêt progressif du lithium avant conception</w:t>
      </w:r>
      <w:r>
        <w:t xml:space="preserve"> (sur 4-6 semaines pour éviter rechute brutale) avec switch vers une alternative plus sûre (lamotrigine — profil de sécurité le plus favorable dans la grossesse bipolaire). Mais </w:t>
      </w:r>
      <w:r>
        <w:rPr>
          <w:b/>
        </w:rPr>
        <w:t>NE JAMAIS ARRÊTER BRUTALEMENT</w:t>
      </w:r>
      <w:r>
        <w:t xml:space="preserve"> en cas de grossesse découverte au 2e trimestre (risque majeur de rechute maniaque aiguë délétère pour le fœtus).</w:t>
      </w:r>
    </w:p>
    <w:p>
      <w:pPr>
        <w:pStyle w:val="ListBullet"/>
      </w:pPr>
      <w:r/>
      <w:r>
        <w:rPr>
          <w:b/>
        </w:rPr>
        <w:t>En cas de grossesse non programmée</w:t>
      </w:r>
      <w:r>
        <w:t xml:space="preserve"> sous lithium : ne pas arrêter brutalement, adresser en consultation spécialisée psychiatrie-périnatale (CRAT, centre référence), échographie cardiaque fœtale spécialisée à 18-22 SA (recherche anomalie d'Ebstein), surveillance lithiémie mensuelle (augmentation de la clairance rénale au 2e-3e trimestre — nécessité d'adapter la dose à la hausse), surveillance TSH et calcémie.</w:t>
      </w:r>
    </w:p>
    <w:p>
      <w:pPr>
        <w:pStyle w:val="ListBullet"/>
      </w:pPr>
      <w:r/>
      <w:r>
        <w:rPr>
          <w:b/>
        </w:rPr>
        <w:t>Alternative recommandée dans la grossesse bipolaire</w:t>
      </w:r>
      <w:r>
        <w:t xml:space="preserve"> : lamotrigine (profil tératogène le plus favorable — pas d'augmentation du risque malformatif vs population générale aux doses &lt; 200 mg/jour) ; antipsychotique atypique (aripiprazole, olanzapine — données rassurantes).</w:t>
      </w:r>
    </w:p>
    <w:p>
      <w:pPr>
        <w:pStyle w:val="ListBullet"/>
      </w:pPr>
      <w:r/>
      <w:r>
        <w:rPr>
          <w:b/>
        </w:rPr>
        <w:t>À ÉVITER pendant la grossesse</w:t>
      </w:r>
      <w:r>
        <w:t xml:space="preserve"> : valproate (CI absolue — spina bifida 6-9 %, syndrome d'alcoolisme fœtal valproate), carbamazépine (spina bifida 1 %, hypoplasie unguéale).</w:t>
      </w:r>
    </w:p>
    <w:p>
      <w:pPr>
        <w:pStyle w:val="ListBullet"/>
      </w:pPr>
      <w:r/>
      <w:r>
        <w:rPr>
          <w:b/>
        </w:rPr>
        <w:t>Allaitement</w:t>
      </w:r>
      <w:r>
        <w:t xml:space="preserve"> : Le lithium passe massivement dans le lait maternel (concentration lactée ≈ 30-50 % de la concentration maternelle). Selon CRAT, allaitement </w:t>
      </w:r>
      <w:r>
        <w:rPr>
          <w:b/>
        </w:rPr>
        <w:t>contre-indiqué</w:t>
      </w:r>
      <w:r>
        <w:t xml:space="preserve"> sous lithium (concentrations sériques de l'enfant allaité ≈ 50 % de celles de la mère, avec risque de toxicité neurologique, thyroïdienne, rénale — pas d'élimination rénale mature chez le nouveau-né). Recommandation : </w:t>
      </w:r>
      <w:r>
        <w:rPr>
          <w:b/>
        </w:rPr>
        <w:t>arrêt de l'allaitement et relais par lait artificiel</w:t>
      </w:r>
      <w:r>
        <w:t xml:space="preserve">, OU </w:t>
      </w:r>
      <w:r>
        <w:rPr>
          <w:b/>
        </w:rPr>
        <w:t>arrêt du lithium et switch vers lamotrigine (compatible avec l'allaitement)</w:t>
      </w:r>
      <w:r>
        <w:t>.</w:t>
      </w:r>
    </w:p>
    <w:p>
      <w:pPr>
        <w:pStyle w:val="ListBullet"/>
      </w:pPr>
      <w:r/>
      <w:r>
        <w:rPr>
          <w:b/>
        </w:rPr>
        <w:t>Précisions importantes pour le pharmacien d'officine algérien</w:t>
      </w:r>
      <w:r>
        <w:t xml:space="preserve"> :</w:t>
      </w:r>
    </w:p>
    <w:p>
      <w:pPr>
        <w:pStyle w:val="ListBullet"/>
      </w:pPr>
      <w:r>
        <w:t>La découverte d'une grossesse chez une patiente sous lithium ne doit JAMAIS conduire à un arrêt brutal du traitement (risque de rechute maniaque menaçant le pronostic fœtal et maternel)</w:t>
      </w:r>
    </w:p>
    <w:p>
      <w:pPr>
        <w:pStyle w:val="ListBullet"/>
      </w:pPr>
      <w:r>
        <w:t>Une consultation psychiatrie-périnatale spécialisée doit être organisée en urgence pour décision thérapeutique collégiale</w:t>
      </w:r>
    </w:p>
    <w:p>
      <w:pPr>
        <w:pStyle w:val="ListBullet"/>
      </w:pPr>
      <w:r>
        <w:t>Une supplémentation en acide folique 5 mg/jour est recommandée en périconception</w:t>
      </w:r>
    </w:p>
    <w:p>
      <w:pPr>
        <w:pStyle w:val="ListBullet"/>
      </w:pPr>
      <w:r>
        <w:t>Une échographie cardiaque fœtale spécialisée à 18-22 SA est obligatoire (recherche anomalie d'Ebstein)</w:t>
      </w:r>
    </w:p>
    <w:p>
      <w:pPr>
        <w:pStyle w:val="ListBullet"/>
      </w:pPr>
      <w:r>
        <w:t>En pratique algérienne (lithium retiré) : cette situation ne se rencontrera qu'en cas d'importation sous dérogation</w:t>
      </w:r>
    </w:p>
    <w:p>
      <w:r/>
      <w:r>
        <w:rPr>
          <w:b/>
        </w:rPr>
        <w:t>Posologie et Mode d'administration (Standard) :</w:t>
      </w:r>
      <w:r/>
    </w:p>
    <w:p>
      <w:pPr>
        <w:pStyle w:val="ListBullet"/>
      </w:pPr>
      <w:r/>
      <w:r>
        <w:rPr>
          <w:b/>
        </w:rPr>
        <w:t>Adulte</w:t>
      </w:r>
      <w:r>
        <w:t xml:space="preserve"> :</w:t>
      </w:r>
    </w:p>
    <w:p>
      <w:pPr>
        <w:pStyle w:val="ListBullet"/>
      </w:pPr>
      <w:r/>
      <w:r>
        <w:rPr>
          <w:b/>
        </w:rPr>
        <w:t>Initiation</w:t>
      </w:r>
      <w:r>
        <w:t xml:space="preserve"> : 400 mg/jour (2 comprimés à 200 mg ou 1 comprimé 400 mg LP) — en 1 à 2 prises</w:t>
      </w:r>
    </w:p>
    <w:p>
      <w:pPr>
        <w:pStyle w:val="ListBullet"/>
      </w:pPr>
      <w:r/>
      <w:r>
        <w:rPr>
          <w:b/>
        </w:rPr>
        <w:t>Adaptation posologique</w:t>
      </w:r>
      <w:r>
        <w:t xml:space="preserve"> : titration progressive sur 7-10 jours jusqu'à lithiémie cible 0,6-1,2 mEq/L</w:t>
      </w:r>
    </w:p>
    <w:p>
      <w:pPr>
        <w:pStyle w:val="ListBullet"/>
      </w:pPr>
      <w:r/>
      <w:r>
        <w:rPr>
          <w:b/>
        </w:rPr>
        <w:t>Dose d'entretien habituelle</w:t>
      </w:r>
      <w:r>
        <w:t xml:space="preserve"> : 600-1200 mg/jour (soit 24-48 mmol Li⁺/jour) en 1 (LP) ou 2 prises (LI)</w:t>
      </w:r>
    </w:p>
    <w:p>
      <w:pPr>
        <w:pStyle w:val="ListBullet"/>
      </w:pPr>
      <w:r/>
      <w:r>
        <w:rPr>
          <w:b/>
        </w:rPr>
        <w:t>Manie aiguë</w:t>
      </w:r>
      <w:r>
        <w:t xml:space="preserve"> : 900-1800 mg/jour (lithiémie cible 0,8-1,2 mEq/L)</w:t>
      </w:r>
    </w:p>
    <w:p>
      <w:pPr>
        <w:pStyle w:val="ListBullet"/>
      </w:pPr>
      <w:r/>
      <w:r>
        <w:rPr>
          <w:b/>
        </w:rPr>
        <w:t>Prévention</w:t>
      </w:r>
      <w:r>
        <w:t xml:space="preserve"> : 400-1000 mg/jour (lithiémie cible 0,6-0,8 mEq/L, parfois jusqu'à 1,0 mEq/L)</w:t>
      </w:r>
    </w:p>
    <w:p>
      <w:pPr>
        <w:pStyle w:val="ListBullet"/>
      </w:pPr>
      <w:r/>
      <w:r>
        <w:rPr>
          <w:b/>
        </w:rPr>
        <w:t>Sujets à risque</w:t>
      </w:r>
      <w:r>
        <w:t xml:space="preserve"> (sujet âgé, IR légère, association à surveiller) : dose initiale réduite à 200-400 mg/jour</w:t>
      </w:r>
    </w:p>
    <w:p>
      <w:pPr>
        <w:pStyle w:val="ListBullet"/>
      </w:pPr>
      <w:r/>
      <w:r>
        <w:rPr>
          <w:b/>
        </w:rPr>
        <w:t>Sujet âgé</w:t>
      </w:r>
      <w:r>
        <w:t xml:space="preserve"> : dose réduite de 50 % (clairance rénale diminuée physiologiquement) — lithiémie cible plus basse (0,4-0,8 mEq/L) — surveillance rapprochée</w:t>
      </w:r>
    </w:p>
    <w:p>
      <w:pPr>
        <w:pStyle w:val="ListBullet"/>
      </w:pPr>
      <w:r/>
      <w:r>
        <w:rPr>
          <w:b/>
        </w:rPr>
        <w:t>Insuffisance rénale</w:t>
      </w:r>
      <w:r>
        <w:t xml:space="preserve"> :</w:t>
      </w:r>
    </w:p>
    <w:p>
      <w:pPr>
        <w:pStyle w:val="ListBullet"/>
      </w:pPr>
      <w:r>
        <w:t>DFG 30-50 mL/min : contre-indication relative, dose réduite de 50 %, surveillance lithiémie hebdomadaire</w:t>
      </w:r>
    </w:p>
    <w:p>
      <w:pPr>
        <w:pStyle w:val="ListBullet"/>
      </w:pPr>
      <w:r>
        <w:t xml:space="preserve">DFG &lt; 30 mL/min : </w:t>
      </w:r>
      <w:r>
        <w:rPr>
          <w:b/>
        </w:rPr>
        <w:t>CI absolue</w:t>
      </w:r>
      <w:r>
        <w:t xml:space="preserve"> (accumulation toxique)</w:t>
      </w:r>
    </w:p>
    <w:p>
      <w:pPr>
        <w:pStyle w:val="ListBullet"/>
      </w:pPr>
      <w:r/>
      <w:r>
        <w:rPr>
          <w:b/>
        </w:rPr>
        <w:t>Durée</w:t>
      </w:r>
      <w:r>
        <w:t xml:space="preserve"> : traitement </w:t>
      </w:r>
      <w:r>
        <w:rPr>
          <w:b/>
        </w:rPr>
        <w:t>au long cours à vie</w:t>
      </w:r>
      <w:r>
        <w:t xml:space="preserve"> dans le trouble bipolaire (l'arrêt expose à un risque de rechute &gt; 50 % à 1 an, &gt; 80 % à 2 ans) — arrêt éventuel à décider avec psychiatre, progressif sur 4-6 semaines minimum (voire 3-6 mois chez les patients à haut risque suicidaire)</w:t>
      </w:r>
    </w:p>
    <w:p>
      <w:pPr>
        <w:pStyle w:val="ListBullet"/>
      </w:pPr>
      <w:r/>
      <w:r>
        <w:rPr>
          <w:b/>
        </w:rPr>
        <w:t>Moment de la prise</w:t>
      </w:r>
      <w:r>
        <w:t xml:space="preserve"> :</w:t>
      </w:r>
    </w:p>
    <w:p>
      <w:pPr>
        <w:pStyle w:val="ListBullet"/>
      </w:pPr>
      <w:r/>
      <w:r>
        <w:rPr>
          <w:b/>
        </w:rPr>
        <w:t>Forme LI (libération immédiate)</w:t>
      </w:r>
      <w:r>
        <w:t xml:space="preserve"> : 2 prises par jour (matin et soir) — espacement pour minimiser les pics sériques et la toxicité</w:t>
      </w:r>
    </w:p>
    <w:p>
      <w:pPr>
        <w:pStyle w:val="ListBullet"/>
      </w:pPr>
      <w:r/>
      <w:r>
        <w:rPr>
          <w:b/>
        </w:rPr>
        <w:t>Forme LP (libération prolongée)</w:t>
      </w:r>
      <w:r>
        <w:t xml:space="preserve"> : monoprise vespérale (améliore l'observance et réduit les effets indésirables digestifs)</w:t>
      </w:r>
    </w:p>
    <w:p>
      <w:pPr>
        <w:pStyle w:val="ListBullet"/>
      </w:pPr>
      <w:r/>
      <w:r>
        <w:rPr>
          <w:b/>
        </w:rPr>
        <w:t>Pendant repas</w:t>
      </w:r>
      <w:r>
        <w:t xml:space="preserve"> : pour réduire les nausées et diarrhées</w:t>
      </w:r>
    </w:p>
    <w:p>
      <w:r/>
      <w:r>
        <w:rPr>
          <w:b/>
        </w:rPr>
        <w:t>Arbitrage et Bénéfices des Formes Galéniques :</w:t>
      </w:r>
      <w:r/>
    </w:p>
    <w:p>
      <w:pPr>
        <w:pStyle w:val="ListBullet"/>
      </w:pPr>
      <w:r/>
      <w:r>
        <w:rPr>
          <w:b/>
        </w:rPr>
        <w:t>Forme LI (libération immédiate)</w:t>
      </w:r>
      <w:r>
        <w:t xml:space="preserve"> : pic sérique plus marqué → davantage d'effets indésirables digestifs et neurologiques (tremblements) — mais contrôle plus rapide de la lithiémie en initiation</w:t>
      </w:r>
    </w:p>
    <w:p>
      <w:pPr>
        <w:pStyle w:val="ListBullet"/>
      </w:pPr>
      <w:r/>
      <w:r>
        <w:rPr>
          <w:b/>
        </w:rPr>
        <w:t>Forme LP (libération prolongée)</w:t>
      </w:r>
      <w:r>
        <w:t xml:space="preserve"> : profil sérique plus stable → meilleure tolérance digestive et neurologique — observance améliorée (monoprise) — </w:t>
      </w:r>
      <w:r>
        <w:rPr>
          <w:b/>
        </w:rPr>
        <w:t>forme à privilégier en entretien</w:t>
      </w:r>
      <w:r>
        <w:t xml:space="preserve"> selon recommandations internationales</w:t>
      </w:r>
    </w:p>
    <w:p>
      <w:pPr>
        <w:pStyle w:val="ListBullet"/>
      </w:pPr>
      <w:r/>
      <w:r>
        <w:rPr>
          <w:b/>
        </w:rPr>
        <w:t>Sirop/citrate de lithium</w:t>
      </w:r>
      <w:r>
        <w:t xml:space="preserve"> : utilisé en pédiatrie psychiatrique dans certains pays (non disponible en Algérie) — intérêt pour adaptation fine de dose</w:t>
      </w:r>
    </w:p>
    <w:p>
      <w:pPr>
        <w:pStyle w:val="ListBullet"/>
      </w:pPr>
      <w:r/>
      <w:r>
        <w:rPr>
          <w:b/>
        </w:rPr>
        <w:t>Forme injectable IV</w:t>
      </w:r>
      <w:r>
        <w:t xml:space="preserve"> : historique, plus utilisée aujourd'hui (toxicité rénale majeure)</w:t>
      </w:r>
    </w:p>
    <w:p>
      <w:r/>
      <w:r>
        <w:rPr>
          <w:b/>
        </w:rPr>
        <w:t>Instructions et Conseils au Patient :</w:t>
      </w:r>
      <w:r/>
    </w:p>
    <w:p>
      <w:pPr>
        <w:pStyle w:val="ListBullet"/>
      </w:pPr>
      <w:r/>
      <w:r>
        <w:rPr>
          <w:b/>
        </w:rPr>
        <w:t>Communication au comptoir</w:t>
      </w:r>
      <w:r>
        <w:t xml:space="preserve"> :</w:t>
      </w:r>
    </w:p>
    <w:p>
      <w:pPr>
        <w:pStyle w:val="ListBullet"/>
      </w:pPr>
      <w:r>
        <w:t>« Ce médicament est un régulateur d'humeur qui doit être pris tous les jours, même quand vous vous sentez bien — c'est ce qui prévient les rechutes »</w:t>
      </w:r>
    </w:p>
    <w:p>
      <w:pPr>
        <w:pStyle w:val="ListBullet"/>
      </w:pPr>
      <w:r>
        <w:t>« Il faut faire des prises de sang régulières (lithiémie) pour vérifier que la dose est bonne — ne jamais sauter ces contrôles »</w:t>
      </w:r>
    </w:p>
    <w:p>
      <w:pPr>
        <w:pStyle w:val="ListBullet"/>
      </w:pPr>
      <w:r>
        <w:t>« Buvez suffisamment d'eau (1,5-2 L/jour, voire 2-3 L en été ou en cas de forte chaleur) — le lithium se concentre si vous êtes déshydraté »</w:t>
      </w:r>
    </w:p>
    <w:p>
      <w:pPr>
        <w:pStyle w:val="ListBullet"/>
      </w:pPr>
      <w:r>
        <w:t>« Ne prenez JAMAIS d'anti-inflammatoires (ibuprofène, diclofénac, naproxène) sans avis médical — ils peuvent faire monter le lithium dans la zone toxique »</w:t>
      </w:r>
    </w:p>
    <w:p>
      <w:pPr>
        <w:pStyle w:val="ListBullet"/>
      </w:pPr>
      <w:r>
        <w:t>« Préférez le paracétamol pour les douleurs et la fièvre »</w:t>
      </w:r>
    </w:p>
    <w:p>
      <w:pPr>
        <w:pStyle w:val="ListBullet"/>
      </w:pPr>
      <w:r>
        <w:t>« Signalez immédiatement tout médecin consulté que vous êtes sous lithium (médecin urgentiste, anesthésiste, dentiste) — portez la carte de patient »</w:t>
      </w:r>
    </w:p>
    <w:p>
      <w:pPr>
        <w:pStyle w:val="ListBullet"/>
      </w:pPr>
      <w:r>
        <w:t>« Évitez les régimes sans sel strict »</w:t>
      </w:r>
    </w:p>
    <w:p>
      <w:pPr>
        <w:pStyle w:val="ListBullet"/>
      </w:pPr>
      <w:r>
        <w:t>« Signalez immédiatement ces signes : tremblements grossiers, difficultés à marcher, confusion, vomissements importants, diarrhée profuse »</w:t>
      </w:r>
    </w:p>
    <w:p>
      <w:pPr>
        <w:pStyle w:val="ListBullet"/>
      </w:pPr>
      <w:r/>
      <w:r>
        <w:rPr>
          <w:b/>
        </w:rPr>
        <w:t>Mode d'utilisation pratique</w:t>
      </w:r>
      <w:r>
        <w:t xml:space="preserve"> :</w:t>
      </w:r>
    </w:p>
    <w:p>
      <w:pPr>
        <w:pStyle w:val="ListNumber"/>
      </w:pPr>
      <w:r>
        <w:t>Prendre le médicament à heure fixe chaque jour (matin et soir pour LI ; soir pour LP)</w:t>
      </w:r>
    </w:p>
    <w:p>
      <w:pPr>
        <w:pStyle w:val="ListNumber"/>
      </w:pPr>
      <w:r>
        <w:t>Effectuer la lithiémie le matin à jeun, 12 h après la dernière prise (avant la prise du matin)</w:t>
      </w:r>
    </w:p>
    <w:p>
      <w:pPr>
        <w:pStyle w:val="ListNumber"/>
      </w:pPr>
      <w:r>
        <w:t>Noter les résultats de lithiémie dans un carnet de suivi</w:t>
      </w:r>
    </w:p>
    <w:p>
      <w:pPr>
        <w:pStyle w:val="ListNumber"/>
      </w:pPr>
      <w:r>
        <w:t>En cas d'oubli : ne pas doubler la dose suivante — prendre la dose oubliée si &lt; 4 h, sinon sauter</w:t>
      </w:r>
    </w:p>
    <w:p>
      <w:pPr>
        <w:pStyle w:val="ListNumber"/>
      </w:pPr>
      <w:r>
        <w:t>Hydratation régulière tout au long de la journée</w:t>
      </w:r>
    </w:p>
    <w:p>
      <w:pPr>
        <w:pStyle w:val="ListNumber"/>
      </w:pPr>
      <w:r>
        <w:t>Éviter la consommation excessive d'alcool (déshydratation + potentialisation neurotoxique)</w:t>
      </w:r>
    </w:p>
    <w:p>
      <w:pPr>
        <w:pStyle w:val="ListNumber"/>
      </w:pPr>
      <w:r>
        <w:t>En cas de gastro-entérite (vomissements, diarrhée) : consulter en urgence (risque majeur de déshydratation + toxicité aiguë)</w:t>
      </w:r>
    </w:p>
    <w:p>
      <w:r/>
      <w:r>
        <w:rPr>
          <w:b/>
        </w:rPr>
        <w:t>Notes, Règles d'Or &amp; Pièges au Comptoir :</w:t>
      </w:r>
      <w:r/>
    </w:p>
    <w:p>
      <w:pPr>
        <w:pStyle w:val="ListBullet"/>
      </w:pPr>
      <w:r/>
      <w:r>
        <w:rPr>
          <w:b/>
        </w:rPr>
        <w:t>Piège classique</w:t>
      </w:r>
      <w:r>
        <w:t xml:space="preserve"> :</w:t>
      </w:r>
    </w:p>
    <w:p>
      <w:pPr>
        <w:pStyle w:val="ListBullet"/>
      </w:pPr>
      <w:r>
        <w:t xml:space="preserve">Prescription de </w:t>
      </w:r>
      <w:r>
        <w:rPr>
          <w:b/>
        </w:rPr>
        <w:t>lithium en Algérie</w:t>
      </w:r>
      <w:r>
        <w:t xml:space="preserve"> alors que le produit est </w:t>
      </w:r>
      <w:r>
        <w:rPr>
          <w:b/>
        </w:rPr>
        <w:t>RETRAIT du marché algérien</w:t>
      </w:r>
      <w:r>
        <w:t xml:space="preserve"> (THERALITHE retiré) — orientation systématique vers le médecin prescripteur pour switch vers valproate, lamotrigine, ou antipsychotique atypique selon le contexte clinique</w:t>
      </w:r>
    </w:p>
    <w:p>
      <w:pPr>
        <w:pStyle w:val="ListBullet"/>
      </w:pPr>
      <w:r/>
      <w:r>
        <w:rPr>
          <w:b/>
        </w:rPr>
        <w:t>Toxicité aiguë estivale</w:t>
      </w:r>
      <w:r>
        <w:t xml:space="preserve"> par déshydratation en climat chaud algérien — patient présentant tremblements, confusion, vomissements en plein été — évoquer lithiémie toxique</w:t>
      </w:r>
    </w:p>
    <w:p>
      <w:pPr>
        <w:pStyle w:val="ListBullet"/>
      </w:pPr>
      <w:r/>
      <w:r>
        <w:rPr>
          <w:b/>
        </w:rPr>
        <w:t>Interaction AINS en automédication</w:t>
      </w:r>
      <w:r>
        <w:t xml:space="preserve"> — patient sous lithium qui achète ibuprofène pour des céphalées ou des douleurs articulaires — refus de délivrance + orientation vers paracétamol</w:t>
      </w:r>
    </w:p>
    <w:p>
      <w:pPr>
        <w:pStyle w:val="ListBullet"/>
      </w:pPr>
      <w:r/>
      <w:r>
        <w:rPr>
          <w:b/>
        </w:rPr>
        <w:t>Découverte de grossesse</w:t>
      </w:r>
      <w:r>
        <w:t xml:space="preserve"> sous lithium — ne pas arrêter brutalement — orientation urgente psychiatrie-périnatale</w:t>
      </w:r>
    </w:p>
    <w:p>
      <w:pPr>
        <w:pStyle w:val="ListBullet"/>
      </w:pPr>
      <w:r/>
      <w:r>
        <w:rPr>
          <w:b/>
        </w:rPr>
        <w:t>Confusion des dosages</w:t>
      </w:r>
      <w:r>
        <w:t xml:space="preserve"> : 200 mg vs 250 mg vs 400 mg LP — vérification systématique à la délivrance</w:t>
      </w:r>
    </w:p>
    <w:p>
      <w:pPr>
        <w:pStyle w:val="ListBullet"/>
      </w:pPr>
      <w:r/>
      <w:r>
        <w:rPr>
          <w:b/>
        </w:rPr>
        <w:t>Substitution de marques</w:t>
      </w:r>
      <w:r>
        <w:t xml:space="preserve"> — THERALITHE retiré : ne pas tenter de substitution (aucune autre marque disponible) — orientation médicale obligatoire</w:t>
      </w:r>
    </w:p>
    <w:p>
      <w:pPr>
        <w:pStyle w:val="ListBullet"/>
      </w:pPr>
      <w:r/>
      <w:r>
        <w:rPr>
          <w:b/>
        </w:rPr>
        <w:t>Règle de prise</w:t>
      </w:r>
      <w:r>
        <w:t xml:space="preserve"> : prise pendant repas pour réduire les nausées — monoprise vespérale pour forme LP — hydratation régulière 1,5-2 L/jour (2-3 L en climat chaud)</w:t>
      </w:r>
    </w:p>
    <w:p>
      <w:pPr>
        <w:pStyle w:val="ListBullet"/>
      </w:pPr>
      <w:r/>
      <w:r>
        <w:rPr>
          <w:b/>
        </w:rPr>
        <w:t>Préparation et Conservation</w:t>
      </w:r>
      <w:r>
        <w:t xml:space="preserve"> : conservation à température ambiante &lt; 25 °C, à l'abri de l'humidité — pas de préparation spécifique (comprimé prêt à l'emploi)</w:t>
      </w:r>
    </w:p>
    <w:p>
      <w:pPr>
        <w:pStyle w:val="ListBullet"/>
      </w:pPr>
      <w:r/>
      <w:r>
        <w:rPr>
          <w:b/>
        </w:rPr>
        <w:t>Piège du surdosage / Substitution</w:t>
      </w:r>
      <w:r>
        <w:t xml:space="preserve"> :</w:t>
      </w:r>
    </w:p>
    <w:p>
      <w:pPr>
        <w:pStyle w:val="ListBullet"/>
      </w:pPr>
      <w:r/>
      <w:r>
        <w:rPr>
          <w:b/>
        </w:rPr>
        <w:t>Surdosage volontaire</w:t>
      </w:r>
      <w:r>
        <w:t xml:space="preserve"> (tentative de suicide chez patient bipolaire) — urgence vitale — hospitalisation réanimation — hémodialyse si lithiémie &gt; 4 mEq/L</w:t>
      </w:r>
    </w:p>
    <w:p>
      <w:pPr>
        <w:pStyle w:val="ListBullet"/>
      </w:pPr>
      <w:r/>
      <w:r>
        <w:rPr>
          <w:b/>
        </w:rPr>
        <w:t>Surdosage accidentel</w:t>
      </w:r>
      <w:r>
        <w:t xml:space="preserve"> (confusion de dose, erreur de prescription) — surveillance rapprochée 24-48 h, hydratation IV, surveillance lithiémie toutes les 6 h</w:t>
      </w:r>
    </w:p>
    <w:p>
      <w:pPr>
        <w:pStyle w:val="ListBullet"/>
      </w:pPr>
      <w:r/>
      <w:r>
        <w:rPr>
          <w:b/>
        </w:rPr>
        <w:t>Substitution THERALITHE retiré</w:t>
      </w:r>
      <w:r>
        <w:t xml:space="preserve"> → aucun équivalent disponible en Algérie — orientation médicale pour switch thérapeutique (valproate pour la manie, lamotrigine pour la dépression bipolaire, antipsychotique atypique en alternative)</w:t>
      </w:r>
    </w:p>
    <w:p>
      <w:pPr>
        <w:pStyle w:val="ListBullet"/>
      </w:pPr>
      <w:r/>
      <w:r>
        <w:rPr>
          <w:b/>
        </w:rPr>
        <w:t>Carence d'approvisionnement</w:t>
      </w:r>
      <w:r>
        <w:t xml:space="preserve"> : pas de procédure de substitution en officine — orientation systématique vers le médecin prescripteur</w:t>
      </w:r>
    </w:p>
    <w:p>
      <w:pPr>
        <w:pStyle w:val="Heading2"/>
      </w:pPr>
      <w:r>
        <w:t>85.2 — Sous-classe : Thymorégulateurs - Antiépileptiques (valproate)</w:t>
      </w:r>
    </w:p>
    <w:p>
      <w:pPr>
        <w:pStyle w:val="Heading3"/>
      </w:pPr>
      <w:r>
        <w:t>Introduction à la sous-classe</w:t>
      </w:r>
    </w:p>
    <w:p>
      <w:r>
        <w:t xml:space="preserve">Les </w:t>
      </w:r>
      <w:r>
        <w:rPr>
          <w:b/>
        </w:rPr>
        <w:t>antiépileptiques de la classe de l'acide valproïque</w:t>
      </w:r>
      <w:r>
        <w:t xml:space="preserve"> (valproate de sodium, acide valproïque, divalproex) constituent une sous-classe de thymorégulateurs d'introduction plus récente que le lithium (premières utilisations psychiatriques dans les années 1960-1970), mais qui occupe aujourd'hui une place centrale dans la prise en charge pharmacologique du trouble bipolaire, particulièrement en Algérie où le lithium a été retiré du marché.</w:t>
      </w:r>
    </w:p>
    <w:p>
      <w:r>
        <w:t xml:space="preserve">Le </w:t>
      </w:r>
      <w:r>
        <w:rPr>
          <w:b/>
        </w:rPr>
        <w:t>valproate de sodium</w:t>
      </w:r>
      <w:r>
        <w:t xml:space="preserve"> (sous forme de sel sodique de l'acide valproïque) fut synthétisé en 1882 par Burton comme solvant organique, mais ce n'est qu'en 1963 que Meunier découvre fortuitement ses propriétés antiépileptiques en testant le composé contre la pentyènetétrazol (convulsant) chez la souris. L'AMM antiépileptique est obtenue en France en 1967 (Dépakine, Laboratoires Labaz, racheté par Sanofi). L'extension d'AMM à la manie aiguë et à la prévention des rechutes du trouble bipolaire est obtenue dans les années 2000 (Dépakote, divalproex aux États-Unis, ABM 1995 ; Dépakine Chrono en Europe).</w:t>
      </w:r>
    </w:p>
    <w:p>
      <w:r/>
      <w:r>
        <w:rPr>
          <w:b/>
        </w:rPr>
        <w:t>Caractéristiques pharmacologiques fondamentales du valproate :</w:t>
      </w:r>
      <w:r/>
    </w:p>
    <w:p>
      <w:pPr>
        <w:pStyle w:val="ListBullet"/>
      </w:pPr>
      <w:r/>
      <w:r>
        <w:rPr>
          <w:b/>
        </w:rPr>
        <w:t>Acide gras à chaîne courte</w:t>
      </w:r>
      <w:r>
        <w:t xml:space="preserve"> (acide 2-propylpentanoïque ou acide dipropylacétique — formule chimique C₈H₁₆O₂, PM 144,21 g/mol) — structure simple apparentée aux acides gras (chaîne de 8 carbones). Cette structure explique en partie son mécanisme d'action (inhibition des canaux Na⁺ voltage-dépendants — partie hydrophobe interagissant avec le canal) et sa pharmacocinétique (métabolisme hépatique par β-oxydation mitochondriale).</w:t>
      </w:r>
    </w:p>
    <w:p>
      <w:pPr>
        <w:pStyle w:val="ListBullet"/>
      </w:pPr>
      <w:r/>
      <w:r>
        <w:rPr>
          <w:b/>
        </w:rPr>
        <w:t>Index thérapeutique relativement étroit</w:t>
      </w:r>
      <w:r>
        <w:t xml:space="preserve"> (mais moins que le lithium) : zone thérapeutique 50-100 mg/L (350-700 µmol/L) en épilepsie ; en psychiatrie, la fourchette cible est moins stricte (40-100 mg/L) car l'efficacité thymorégulatrice n'est pas strictement corrélée à la concentration plasmatique.</w:t>
      </w:r>
    </w:p>
    <w:p>
      <w:pPr>
        <w:pStyle w:val="ListBullet"/>
      </w:pPr>
      <w:r/>
      <w:r>
        <w:rPr>
          <w:b/>
        </w:rPr>
        <w:t>Métabolisme hépatique complet</w:t>
      </w:r>
      <w:r>
        <w:t xml:space="preserve"> (β-oxydation mitochondriale + CYP450 + glucuronoconjugaison) — production de métabolites actifs (acide 4-ène-valproïque hépatotoxique, acide 2-ène-valproïque actif) — risque d'hépatotoxicité</w:t>
      </w:r>
    </w:p>
    <w:p>
      <w:pPr>
        <w:pStyle w:val="ListBullet"/>
      </w:pPr>
      <w:r/>
      <w:r>
        <w:rPr>
          <w:b/>
        </w:rPr>
        <w:t>Tératogénicité majeure</w:t>
      </w:r>
      <w:r>
        <w:t xml:space="preserve"> : risque malformatif global x 2-3 vs population générale — spina bifida 6-9 % (vs 0,1 %), défauts de fermeture du tube neural, craniofaciosténose, malformations cardiaques, troubles du spectre autistique (× 5), syndrome d'alcoolisme fœtal valproate (10-40 % des nouveau-nés exposés avec dysmorphie faciale caractéristique) — </w:t>
      </w:r>
      <w:r>
        <w:rPr>
          <w:b/>
        </w:rPr>
        <w:t>CONTRE-INDICATION ABSOLUE chez la femme en âge de procréer sans contraception efficace</w:t>
      </w:r>
      <w:r>
        <w:t xml:space="preserve"> (programme PPP — Pregnancy Prevention Programme — obligatoire selon EMA/ANSM depuis 2018).</w:t>
      </w:r>
    </w:p>
    <w:p>
      <w:pPr>
        <w:pStyle w:val="ListBullet"/>
      </w:pPr>
      <w:r/>
      <w:r>
        <w:rPr>
          <w:b/>
        </w:rPr>
        <w:t>Demi-vie d'élimination</w:t>
      </w:r>
      <w:r>
        <w:t xml:space="preserve"> : 9-18 h (forme LI), 12-24 h (forme LP) — monoprise ou 2 prises par jour</w:t>
      </w:r>
    </w:p>
    <w:p>
      <w:pPr>
        <w:pStyle w:val="ListBullet"/>
      </w:pPr>
      <w:r/>
      <w:r>
        <w:rPr>
          <w:b/>
        </w:rPr>
        <w:t>Liaison aux protéines plasmatiques</w:t>
      </w:r>
      <w:r>
        <w:t xml:space="preserve"> : forte (&gt; 90 % — albumine) — interactions médicamenteuses par déplacement (compétition avec autres médicaments très liés : aspirine, warfarine, phénytoïne)</w:t>
      </w:r>
    </w:p>
    <w:p>
      <w:r/>
      <w:r>
        <w:rPr>
          <w:b/>
        </w:rPr>
        <w:t>Profil d'efficacité :</w:t>
      </w:r>
      <w:r/>
    </w:p>
    <w:p>
      <w:pPr>
        <w:pStyle w:val="ListBullet"/>
      </w:pPr>
      <w:r/>
      <w:r>
        <w:rPr>
          <w:b/>
        </w:rPr>
        <w:t>Manie aiguë</w:t>
      </w:r>
      <w:r>
        <w:t xml:space="preserve"> : efficace dans 50-60 % des cas (efficacité comparable au lithium selon l'étude princeps de Bowden et al. 1994) — particulièrement efficace chez les patients avec trouble bipolaire à cycles rapides, dysphorie mixte, comorbidité addictive ou anxieuse, ou quand le lithium est contre-indiqué (IRC, grossesse, hyponatrémie)</w:t>
      </w:r>
    </w:p>
    <w:p>
      <w:pPr>
        <w:pStyle w:val="ListBullet"/>
      </w:pPr>
      <w:r/>
      <w:r>
        <w:rPr>
          <w:b/>
        </w:rPr>
        <w:t>Prévention des rechutes bipolaires</w:t>
      </w:r>
      <w:r>
        <w:t xml:space="preserve"> : efficacité démontrée (réduction de 35-40 % vs placebo) — supérieure au placebo mais inférieure au lithium sur la prévention des rechutes dépressives</w:t>
      </w:r>
    </w:p>
    <w:p>
      <w:pPr>
        <w:pStyle w:val="ListBullet"/>
      </w:pPr>
      <w:r/>
      <w:r>
        <w:rPr>
          <w:b/>
        </w:rPr>
        <w:t>Dépression bipolaire</w:t>
      </w:r>
      <w:r>
        <w:t xml:space="preserve"> : efficacité modeste (moins efficace que la lamotrigine ou la quétiapine)</w:t>
      </w:r>
    </w:p>
    <w:p>
      <w:pPr>
        <w:pStyle w:val="ListBullet"/>
      </w:pPr>
      <w:r/>
      <w:r>
        <w:rPr>
          <w:b/>
        </w:rPr>
        <w:t>Troubles bipolaires à cycles rapides</w:t>
      </w:r>
      <w:r>
        <w:t xml:space="preserve"> (≥ 4 épisodes/an) : efficacité supérieure au lithium (plus efficace en cas de dysphorie mixte)</w:t>
      </w:r>
    </w:p>
    <w:p>
      <w:pPr>
        <w:pStyle w:val="ListBullet"/>
      </w:pPr>
      <w:r/>
      <w:r>
        <w:rPr>
          <w:b/>
        </w:rPr>
        <w:t>Épilepsie</w:t>
      </w:r>
      <w:r>
        <w:t xml:space="preserve"> (indication initiale) : grandes crises généralisées tonico-cloniques, absences, myoclonies, syndrome de Lennox-Gastaut</w:t>
      </w:r>
    </w:p>
    <w:p>
      <w:pPr>
        <w:pStyle w:val="ListBullet"/>
      </w:pPr>
      <w:r/>
      <w:r>
        <w:rPr>
          <w:b/>
        </w:rPr>
        <w:t>Migraine</w:t>
      </w:r>
      <w:r>
        <w:t xml:space="preserve"> : prévention prophylactique des migraines chroniques</w:t>
      </w:r>
    </w:p>
    <w:p>
      <w:r/>
      <w:r>
        <w:rPr>
          <w:b/>
        </w:rPr>
        <w:t>Profil d'effets indésirables :</w:t>
      </w:r>
      <w:r/>
    </w:p>
    <w:p>
      <w:pPr>
        <w:pStyle w:val="ListBullet"/>
      </w:pPr>
      <w:r/>
      <w:r>
        <w:rPr>
          <w:b/>
        </w:rPr>
        <w:t>Gastro-intestinaux</w:t>
      </w:r>
      <w:r>
        <w:t xml:space="preserve"> (30-40 %) : nausées, vomissements, diarrhée, douleurs épigastriques — réduits par formes gastro-résistantes (DEPAKINE) ou LP (DEPAKINE CHRONO)</w:t>
      </w:r>
    </w:p>
    <w:p>
      <w:pPr>
        <w:pStyle w:val="ListBullet"/>
      </w:pPr>
      <w:r/>
      <w:r>
        <w:rPr>
          <w:b/>
        </w:rPr>
        <w:t>Neurologiques</w:t>
      </w:r>
      <w:r>
        <w:t xml:space="preserve"> (20-30 %) : tremblements fins, somnolence, asthénie, ataxie (aux fortes doses), confusion (sujet âgé)</w:t>
      </w:r>
    </w:p>
    <w:p>
      <w:pPr>
        <w:pStyle w:val="ListBullet"/>
      </w:pPr>
      <w:r/>
      <w:r>
        <w:rPr>
          <w:b/>
        </w:rPr>
        <w:t>Métaboliques</w:t>
      </w:r>
      <w:r>
        <w:t xml:space="preserve"> (30-50 %) : prise de poids (parfois majeure 5-15 kg), hyperammoniémie, hyperinsulinémie, syndrome métabolique</w:t>
      </w:r>
    </w:p>
    <w:p>
      <w:pPr>
        <w:pStyle w:val="ListBullet"/>
      </w:pPr>
      <w:r/>
      <w:r>
        <w:rPr>
          <w:b/>
        </w:rPr>
        <w:t>Hépatiques</w:t>
      </w:r>
      <w:r>
        <w:t xml:space="preserve"> (rare mais grave) : cytolyse hépatique modérée (10-20 %, transitoire), hépatite fulminante (1/10 000 — particulièrement chez enfant &lt; 2 ans, polythérapie anticonvulsivante)</w:t>
      </w:r>
    </w:p>
    <w:p>
      <w:pPr>
        <w:pStyle w:val="ListBullet"/>
      </w:pPr>
      <w:r/>
      <w:r>
        <w:rPr>
          <w:b/>
        </w:rPr>
        <w:t>Hématologiques</w:t>
      </w:r>
      <w:r>
        <w:t xml:space="preserve"> (5-15 %) : thrombopénie (dose-dépendante), leucopénie, anémie aplasique (rare), allongement du temps de saignement (anti-agrégant plaquettaire)</w:t>
      </w:r>
    </w:p>
    <w:p>
      <w:pPr>
        <w:pStyle w:val="ListBullet"/>
      </w:pPr>
      <w:r/>
      <w:r>
        <w:rPr>
          <w:b/>
        </w:rPr>
        <w:t>Pancréas</w:t>
      </w:r>
      <w:r>
        <w:t xml:space="preserve"> : pancréatite aiguë (rare, 1/1000 — parfois mortelle) — arrêt immédiat si douleur abdominale violente</w:t>
      </w:r>
    </w:p>
    <w:p>
      <w:pPr>
        <w:pStyle w:val="ListBullet"/>
      </w:pPr>
      <w:r/>
      <w:r>
        <w:rPr>
          <w:b/>
        </w:rPr>
        <w:t>Endocriniens</w:t>
      </w:r>
      <w:r>
        <w:t xml:space="preserve"> : hyperandrogénie chez la femme (syndrome des ovaires polykystiques — 50 % des femmes prépubères traitées à long terme), aménorrhée</w:t>
      </w:r>
    </w:p>
    <w:p>
      <w:pPr>
        <w:pStyle w:val="ListBullet"/>
      </w:pPr>
      <w:r/>
      <w:r>
        <w:rPr>
          <w:b/>
        </w:rPr>
        <w:t>Tératogénicité majeure</w:t>
      </w:r>
      <w:r>
        <w:t xml:space="preserve"> : voir section Grossesse</w:t>
      </w:r>
    </w:p>
    <w:p>
      <w:pPr>
        <w:pStyle w:val="Heading3"/>
      </w:pPr>
      <w:r>
        <w:t>2. DCI : Valproate / Valproïque (Seule)</w:t>
      </w:r>
    </w:p>
    <w:p>
      <w:r/>
      <w:r>
        <w:rPr>
          <w:b/>
        </w:rPr>
        <w:t>Liste des Catégories :</w:t>
      </w:r>
      <w:r>
        <w:t xml:space="preserve"> Thymorégulateurs - Antiépileptiques (valproate) — Liste II (sur prescription médicale) — </w:t>
      </w:r>
      <w:r>
        <w:rPr>
          <w:b/>
        </w:rPr>
        <w:t>CI ABSOLUE chez la femme en âge de procréer sans contraception efficace</w:t>
      </w:r>
      <w:r>
        <w:t xml:space="preserve"> (programme PPP)</w:t>
      </w:r>
    </w:p>
    <w:p>
      <w:r>
        <w:t xml:space="preserve">Le </w:t>
      </w:r>
      <w:r>
        <w:rPr>
          <w:b/>
        </w:rPr>
        <w:t>valproate de sodium</w:t>
      </w:r>
      <w:r>
        <w:t xml:space="preserve"> (sel sodique de l'acide valproïque) et l'</w:t>
      </w:r>
      <w:r>
        <w:rPr>
          <w:b/>
        </w:rPr>
        <w:t>acide valproïque</w:t>
      </w:r>
      <w:r>
        <w:t xml:space="preserve"> (libre) sont des antiépileptiques à large spectre d'utilisation, dont l'effet thymorégulateur a été démontré dans la manie aiguë (Bowden 1994) et la prévention des rechutes du trouble bipolaire (méta-analyses Cochrane 2010, Smith et al. ; Bowden 2000). C'est, en Algérie, le </w:t>
      </w:r>
      <w:r>
        <w:rPr>
          <w:b/>
        </w:rPr>
        <w:t>thymorégulateur de première intention chez l'homme et en post-ménopause chez la femme</w:t>
      </w:r>
      <w:r>
        <w:t xml:space="preserve"> — situation directement liée au retrait du lithium du marché algérien. Chez la femme en âge de procréer, sa prescription est soumise au </w:t>
      </w:r>
      <w:r>
        <w:rPr>
          <w:b/>
        </w:rPr>
        <w:t>programme PPP</w:t>
      </w:r>
      <w:r>
        <w:t xml:space="preserve"> (Pregnancy Prevention Programme) instauré par l'EMA en 2018, qui impose une contraception efficace documentée, un test de grossesse pré-thérapeutique, une information éclairée de la patiente sur les risques tératogènes (formulaire d'accord de soins), et une réévaluation annuelle du traitement.</w:t>
      </w:r>
    </w:p>
    <w:p>
      <w:r/>
      <w:r>
        <w:rPr>
          <w:b/>
        </w:rPr>
        <w:t>Médicaments disponibles en Algérie (Marques, Laboratoires, Formes et Dosages) :</w:t>
      </w:r>
      <w:r/>
    </w:p>
    <w:p>
      <w:r/>
      <w:r>
        <w:rPr>
          <w:b/>
        </w:rPr>
        <w:t>Formes orales — comprimés gastro-résistants (libération immédiate) :</w:t>
      </w:r>
      <w:r/>
    </w:p>
    <w:p>
      <w:pPr>
        <w:pStyle w:val="ListBullet"/>
      </w:pPr>
      <w:r/>
      <w:r>
        <w:rPr>
          <w:b/>
        </w:rPr>
        <w:t>DEPAKINE</w:t>
      </w:r>
      <w:r>
        <w:t xml:space="preserve"> (SANOFI SYNTHELABO FRANCE)</w:t>
      </w:r>
    </w:p>
    <w:p>
      <w:pPr>
        <w:pStyle w:val="ListBullet"/>
      </w:pPr>
      <w:r>
        <w:t>Forme : Comprimé gastro-résistant</w:t>
      </w:r>
    </w:p>
    <w:p>
      <w:pPr>
        <w:pStyle w:val="ListBullet"/>
      </w:pPr>
      <w:r>
        <w:t>Dosages : 200 mg (B/40), 500 mg (B/40)</w:t>
      </w:r>
    </w:p>
    <w:p>
      <w:pPr>
        <w:pStyle w:val="ListBullet"/>
      </w:pPr>
      <w:r>
        <w:t>Liste : Liste II — sur prescription médicale</w:t>
      </w:r>
    </w:p>
    <w:p>
      <w:pPr>
        <w:pStyle w:val="ListBullet"/>
      </w:pPr>
      <w:r>
        <w:t xml:space="preserve">Statut : </w:t>
      </w:r>
      <w:r>
        <w:rPr>
          <w:b/>
        </w:rPr>
        <w:t>ACTIF</w:t>
      </w:r>
      <w:r>
        <w:t xml:space="preserve"> — princeps de référence internationale</w:t>
      </w:r>
    </w:p>
    <w:p>
      <w:pPr>
        <w:pStyle w:val="ListBullet"/>
      </w:pPr>
      <w:r/>
      <w:r>
        <w:rPr>
          <w:b/>
        </w:rPr>
        <w:t>ENCORATE</w:t>
      </w:r>
      <w:r>
        <w:t xml:space="preserve"> (SUN PHARMACEUTICALS INDUSTRIES LTD)</w:t>
      </w:r>
    </w:p>
    <w:p>
      <w:pPr>
        <w:pStyle w:val="ListBullet"/>
      </w:pPr>
      <w:r>
        <w:t>Forme : Comprimé</w:t>
      </w:r>
    </w:p>
    <w:p>
      <w:pPr>
        <w:pStyle w:val="ListBullet"/>
      </w:pPr>
      <w:r>
        <w:t>Dosages : 200 mg (B/100 et B/40), 500 mg (ENCORATE 500 — B/100 et B/40)</w:t>
      </w:r>
    </w:p>
    <w:p>
      <w:pPr>
        <w:pStyle w:val="ListBullet"/>
      </w:pPr>
      <w:r>
        <w:t>Liste : Liste II</w:t>
      </w:r>
    </w:p>
    <w:p>
      <w:pPr>
        <w:pStyle w:val="ListBullet"/>
      </w:pPr>
      <w:r>
        <w:t xml:space="preserve">Statut : </w:t>
      </w:r>
      <w:r>
        <w:rPr>
          <w:b/>
        </w:rPr>
        <w:t>ACTIF</w:t>
      </w:r>
      <w:r/>
    </w:p>
    <w:p>
      <w:r/>
      <w:r>
        <w:rPr>
          <w:b/>
        </w:rPr>
        <w:t>Formes orales — comprimés à libération prolongée (LP) :</w:t>
      </w:r>
      <w:r/>
    </w:p>
    <w:p>
      <w:pPr>
        <w:pStyle w:val="ListBullet"/>
      </w:pPr>
      <w:r/>
      <w:r>
        <w:rPr>
          <w:b/>
        </w:rPr>
        <w:t>DEPAKINE CHRONO</w:t>
      </w:r>
      <w:r>
        <w:t xml:space="preserve"> (SANOFI AVENTIS ALGERIE)</w:t>
      </w:r>
    </w:p>
    <w:p>
      <w:pPr>
        <w:pStyle w:val="ListBullet"/>
      </w:pPr>
      <w:r>
        <w:t>Forme : Comprimé pelliculé sécable à libération prolongée</w:t>
      </w:r>
    </w:p>
    <w:p>
      <w:pPr>
        <w:pStyle w:val="ListBullet"/>
      </w:pPr>
      <w:r>
        <w:t>Dosage : 500 mg (B/30)</w:t>
      </w:r>
    </w:p>
    <w:p>
      <w:pPr>
        <w:pStyle w:val="ListBullet"/>
      </w:pPr>
      <w:r>
        <w:t>Liste : Liste II</w:t>
      </w:r>
    </w:p>
    <w:p>
      <w:pPr>
        <w:pStyle w:val="ListBullet"/>
      </w:pPr>
      <w:r>
        <w:t xml:space="preserve">Statut : </w:t>
      </w:r>
      <w:r>
        <w:rPr>
          <w:b/>
        </w:rPr>
        <w:t>ACTIF</w:t>
      </w:r>
      <w:r>
        <w:t xml:space="preserve"> — formulation LP de référence, monoprise ou biprise</w:t>
      </w:r>
    </w:p>
    <w:p>
      <w:pPr>
        <w:pStyle w:val="ListBullet"/>
      </w:pPr>
      <w:r/>
      <w:r>
        <w:rPr>
          <w:b/>
        </w:rPr>
        <w:t>EPILKINE CHRONO</w:t>
      </w:r>
      <w:r>
        <w:t xml:space="preserve"> (NOVAPHARM TRADING)</w:t>
      </w:r>
    </w:p>
    <w:p>
      <w:pPr>
        <w:pStyle w:val="ListBullet"/>
      </w:pPr>
      <w:r>
        <w:t>Forme : Comprimé pelliculé sécable à libération prolongée</w:t>
      </w:r>
    </w:p>
    <w:p>
      <w:pPr>
        <w:pStyle w:val="ListBullet"/>
      </w:pPr>
      <w:r>
        <w:t>Dosage : 500 mg (B/30)</w:t>
      </w:r>
    </w:p>
    <w:p>
      <w:pPr>
        <w:pStyle w:val="ListBullet"/>
      </w:pPr>
      <w:r>
        <w:t>Liste : Liste II</w:t>
      </w:r>
    </w:p>
    <w:p>
      <w:pPr>
        <w:pStyle w:val="ListBullet"/>
      </w:pPr>
      <w:r>
        <w:t xml:space="preserve">Statut : </w:t>
      </w:r>
      <w:r>
        <w:rPr>
          <w:b/>
        </w:rPr>
        <w:t>ACTIF</w:t>
      </w:r>
      <w:r/>
    </w:p>
    <w:p>
      <w:pPr>
        <w:pStyle w:val="ListBullet"/>
      </w:pPr>
      <w:r/>
      <w:r>
        <w:rPr>
          <w:b/>
        </w:rPr>
        <w:t>VALPROATE CHRONO</w:t>
      </w:r>
      <w:r>
        <w:t xml:space="preserve"> (SARL MEDEC)</w:t>
      </w:r>
    </w:p>
    <w:p>
      <w:pPr>
        <w:pStyle w:val="ListBullet"/>
      </w:pPr>
      <w:r>
        <w:t>Forme : Comprimé pelliculé sécable à libération prolongée</w:t>
      </w:r>
    </w:p>
    <w:p>
      <w:pPr>
        <w:pStyle w:val="ListBullet"/>
      </w:pPr>
      <w:r>
        <w:t>Dosage : 500 mg (B/30)</w:t>
      </w:r>
    </w:p>
    <w:p>
      <w:pPr>
        <w:pStyle w:val="ListBullet"/>
      </w:pPr>
      <w:r>
        <w:t>Liste : Liste II</w:t>
      </w:r>
    </w:p>
    <w:p>
      <w:pPr>
        <w:pStyle w:val="ListBullet"/>
      </w:pPr>
      <w:r>
        <w:t xml:space="preserve">Statut : </w:t>
      </w:r>
      <w:r>
        <w:rPr>
          <w:b/>
        </w:rPr>
        <w:t>ACTIF</w:t>
      </w:r>
      <w:r/>
    </w:p>
    <w:p>
      <w:pPr>
        <w:pStyle w:val="ListBullet"/>
      </w:pPr>
      <w:r/>
      <w:r>
        <w:rPr>
          <w:b/>
        </w:rPr>
        <w:t>VALPROCIDE GS CHRONO 500</w:t>
      </w:r>
      <w:r>
        <w:t xml:space="preserve"> (SARL GROUPE SANTE)</w:t>
      </w:r>
    </w:p>
    <w:p>
      <w:pPr>
        <w:pStyle w:val="ListBullet"/>
      </w:pPr>
      <w:r>
        <w:t>Forme : Comprimé sécable à libération prolongée</w:t>
      </w:r>
    </w:p>
    <w:p>
      <w:pPr>
        <w:pStyle w:val="ListBullet"/>
      </w:pPr>
      <w:r>
        <w:t>Dosage : 500 mg (B/30)</w:t>
      </w:r>
    </w:p>
    <w:p>
      <w:pPr>
        <w:pStyle w:val="ListBullet"/>
      </w:pPr>
      <w:r>
        <w:t>Liste : Liste II</w:t>
      </w:r>
    </w:p>
    <w:p>
      <w:pPr>
        <w:pStyle w:val="ListBullet"/>
      </w:pPr>
      <w:r>
        <w:t xml:space="preserve">Statut : </w:t>
      </w:r>
      <w:r>
        <w:rPr>
          <w:b/>
        </w:rPr>
        <w:t>ACTIF</w:t>
      </w:r>
      <w:r/>
    </w:p>
    <w:p>
      <w:r/>
      <w:r>
        <w:rPr>
          <w:b/>
        </w:rPr>
        <w:t>Formes liquides — solutions buvables (200 mg/mL) :</w:t>
      </w:r>
      <w:r/>
    </w:p>
    <w:p>
      <w:pPr>
        <w:pStyle w:val="ListBullet"/>
      </w:pPr>
      <w:r/>
      <w:r>
        <w:rPr>
          <w:b/>
        </w:rPr>
        <w:t>CONVEP</w:t>
      </w:r>
      <w:r>
        <w:t xml:space="preserve"> (ILADJ PHARMACEUTIQUE)</w:t>
      </w:r>
    </w:p>
    <w:p>
      <w:pPr>
        <w:pStyle w:val="ListBullet"/>
      </w:pPr>
      <w:r>
        <w:t>Forme : Solution buvable</w:t>
      </w:r>
    </w:p>
    <w:p>
      <w:pPr>
        <w:pStyle w:val="ListBullet"/>
      </w:pPr>
      <w:r>
        <w:t>Dosage : 200 mg/mL (FL./60 mL + seringue doseuse)</w:t>
      </w:r>
    </w:p>
    <w:p>
      <w:pPr>
        <w:pStyle w:val="ListBullet"/>
      </w:pPr>
      <w:r>
        <w:t>Liste : Liste II</w:t>
      </w:r>
    </w:p>
    <w:p>
      <w:pPr>
        <w:pStyle w:val="ListBullet"/>
      </w:pPr>
      <w:r>
        <w:t xml:space="preserve">Statut : </w:t>
      </w:r>
      <w:r>
        <w:rPr>
          <w:b/>
        </w:rPr>
        <w:t>ACTIF</w:t>
      </w:r>
      <w:r/>
    </w:p>
    <w:p>
      <w:pPr>
        <w:pStyle w:val="ListBullet"/>
      </w:pPr>
      <w:r/>
      <w:r>
        <w:rPr>
          <w:b/>
        </w:rPr>
        <w:t>IPAKINE</w:t>
      </w:r>
      <w:r>
        <w:t xml:space="preserve"> (INPHA-MEDIS)</w:t>
      </w:r>
    </w:p>
    <w:p>
      <w:pPr>
        <w:pStyle w:val="ListBullet"/>
      </w:pPr>
      <w:r>
        <w:t>Forme : Solution buvable</w:t>
      </w:r>
    </w:p>
    <w:p>
      <w:pPr>
        <w:pStyle w:val="ListBullet"/>
      </w:pPr>
      <w:r>
        <w:t>Dosage : 200 mg/mL (FL 40 mL + pipette graduée)</w:t>
      </w:r>
    </w:p>
    <w:p>
      <w:pPr>
        <w:pStyle w:val="ListBullet"/>
      </w:pPr>
      <w:r>
        <w:t>Liste : Liste II</w:t>
      </w:r>
    </w:p>
    <w:p>
      <w:pPr>
        <w:pStyle w:val="ListBullet"/>
      </w:pPr>
      <w:r>
        <w:t xml:space="preserve">Statut : </w:t>
      </w:r>
      <w:r>
        <w:rPr>
          <w:b/>
        </w:rPr>
        <w:t>ACTIF</w:t>
      </w:r>
      <w:r/>
    </w:p>
    <w:p>
      <w:pPr>
        <w:pStyle w:val="ListBullet"/>
      </w:pPr>
      <w:r/>
      <w:r>
        <w:rPr>
          <w:b/>
        </w:rPr>
        <w:t>ISOLEP</w:t>
      </w:r>
      <w:r>
        <w:t xml:space="preserve"> (ISOPHARM ALGERIE)</w:t>
      </w:r>
    </w:p>
    <w:p>
      <w:pPr>
        <w:pStyle w:val="ListBullet"/>
      </w:pPr>
      <w:r>
        <w:t>Forme : Solution buvable</w:t>
      </w:r>
    </w:p>
    <w:p>
      <w:pPr>
        <w:pStyle w:val="ListBullet"/>
      </w:pPr>
      <w:r>
        <w:t>Dosage : 200 mg/mL (FL/50 mL)</w:t>
      </w:r>
    </w:p>
    <w:p>
      <w:pPr>
        <w:pStyle w:val="ListBullet"/>
      </w:pPr>
      <w:r>
        <w:t>Liste : Liste II</w:t>
      </w:r>
    </w:p>
    <w:p>
      <w:pPr>
        <w:pStyle w:val="ListBullet"/>
      </w:pPr>
      <w:r>
        <w:t xml:space="preserve">Statut : </w:t>
      </w:r>
      <w:r>
        <w:rPr>
          <w:b/>
        </w:rPr>
        <w:t>ACTIF</w:t>
      </w:r>
      <w:r/>
    </w:p>
    <w:p>
      <w:pPr>
        <w:pStyle w:val="ListBullet"/>
      </w:pPr>
      <w:r/>
      <w:r>
        <w:rPr>
          <w:b/>
        </w:rPr>
        <w:t>MEVAKINE</w:t>
      </w:r>
      <w:r>
        <w:t xml:space="preserve"> (LABORATOIRE ALGERIEN DU MEDICAMENT)</w:t>
      </w:r>
    </w:p>
    <w:p>
      <w:pPr>
        <w:pStyle w:val="ListBullet"/>
      </w:pPr>
      <w:r>
        <w:t>Forme : Solution buvable</w:t>
      </w:r>
    </w:p>
    <w:p>
      <w:pPr>
        <w:pStyle w:val="ListBullet"/>
      </w:pPr>
      <w:r>
        <w:t>Dosage : 200 mg/mL (FL./100 mL + pipette graduée)</w:t>
      </w:r>
    </w:p>
    <w:p>
      <w:pPr>
        <w:pStyle w:val="ListBullet"/>
      </w:pPr>
      <w:r>
        <w:t>Liste : Liste II</w:t>
      </w:r>
    </w:p>
    <w:p>
      <w:pPr>
        <w:pStyle w:val="ListBullet"/>
      </w:pPr>
      <w:r>
        <w:t xml:space="preserve">Statut : </w:t>
      </w:r>
      <w:r>
        <w:rPr>
          <w:b/>
        </w:rPr>
        <w:t>ACTIF</w:t>
      </w:r>
      <w:r/>
    </w:p>
    <w:p>
      <w:pPr>
        <w:pStyle w:val="ListBullet"/>
      </w:pPr>
      <w:r/>
      <w:r>
        <w:rPr>
          <w:b/>
        </w:rPr>
        <w:t>PAKEDAL</w:t>
      </w:r>
      <w:r>
        <w:t xml:space="preserve"> (PHARMIDAL NS)</w:t>
      </w:r>
    </w:p>
    <w:p>
      <w:pPr>
        <w:pStyle w:val="ListBullet"/>
      </w:pPr>
      <w:r>
        <w:t>Forme : Solution buvable</w:t>
      </w:r>
    </w:p>
    <w:p>
      <w:pPr>
        <w:pStyle w:val="ListBullet"/>
      </w:pPr>
      <w:r>
        <w:t>Dosage : 200 mg/mL (FL/100 mL)</w:t>
      </w:r>
    </w:p>
    <w:p>
      <w:pPr>
        <w:pStyle w:val="ListBullet"/>
      </w:pPr>
      <w:r>
        <w:t>Liste : Liste II</w:t>
      </w:r>
    </w:p>
    <w:p>
      <w:pPr>
        <w:pStyle w:val="ListBullet"/>
      </w:pPr>
      <w:r>
        <w:t xml:space="preserve">Statut : </w:t>
      </w:r>
      <w:r>
        <w:rPr>
          <w:b/>
        </w:rPr>
        <w:t>ACTIF</w:t>
      </w:r>
      <w:r/>
    </w:p>
    <w:p>
      <w:pPr>
        <w:pStyle w:val="ListBullet"/>
      </w:pPr>
      <w:r/>
      <w:r>
        <w:rPr>
          <w:b/>
        </w:rPr>
        <w:t>PHYSIOLONE</w:t>
      </w:r>
      <w:r>
        <w:t xml:space="preserve"> (PHYSIOPHARM LABORATOIRES)</w:t>
      </w:r>
    </w:p>
    <w:p>
      <w:pPr>
        <w:pStyle w:val="ListBullet"/>
      </w:pPr>
      <w:r>
        <w:t>Forme : Solution buvable</w:t>
      </w:r>
    </w:p>
    <w:p>
      <w:pPr>
        <w:pStyle w:val="ListBullet"/>
      </w:pPr>
      <w:r>
        <w:t>Dosage : 200 mg/mL (FL/100 mL + seringue doseuse)</w:t>
      </w:r>
    </w:p>
    <w:p>
      <w:pPr>
        <w:pStyle w:val="ListBullet"/>
      </w:pPr>
      <w:r>
        <w:t>Liste : Liste II</w:t>
      </w:r>
    </w:p>
    <w:p>
      <w:pPr>
        <w:pStyle w:val="ListBullet"/>
      </w:pPr>
      <w:r>
        <w:t xml:space="preserve">Statut : </w:t>
      </w:r>
      <w:r>
        <w:rPr>
          <w:b/>
        </w:rPr>
        <w:t>ACTIF</w:t>
      </w:r>
      <w:r/>
    </w:p>
    <w:p>
      <w:pPr>
        <w:pStyle w:val="ListBullet"/>
      </w:pPr>
      <w:r/>
      <w:r>
        <w:rPr>
          <w:b/>
        </w:rPr>
        <w:t>VALPROATE AFRO</w:t>
      </w:r>
      <w:r>
        <w:t xml:space="preserve"> (AFROPHARM SPA)</w:t>
      </w:r>
    </w:p>
    <w:p>
      <w:pPr>
        <w:pStyle w:val="ListBullet"/>
      </w:pPr>
      <w:r>
        <w:t>Forme : Solution buvable</w:t>
      </w:r>
    </w:p>
    <w:p>
      <w:pPr>
        <w:pStyle w:val="ListBullet"/>
      </w:pPr>
      <w:r>
        <w:t>Dosage : 200 mg/mL (FL 40 mL, 60 mL, 100 mL + pipette graduée)</w:t>
      </w:r>
    </w:p>
    <w:p>
      <w:pPr>
        <w:pStyle w:val="ListBullet"/>
      </w:pPr>
      <w:r>
        <w:t>Liste : Liste II</w:t>
      </w:r>
    </w:p>
    <w:p>
      <w:pPr>
        <w:pStyle w:val="ListBullet"/>
      </w:pPr>
      <w:r>
        <w:t xml:space="preserve">Statut : </w:t>
      </w:r>
      <w:r>
        <w:rPr>
          <w:b/>
        </w:rPr>
        <w:t>ACTIF</w:t>
      </w:r>
      <w:r/>
    </w:p>
    <w:p>
      <w:pPr>
        <w:pStyle w:val="ListBullet"/>
      </w:pPr>
      <w:r/>
      <w:r>
        <w:rPr>
          <w:b/>
        </w:rPr>
        <w:t>VALPROATE DE SODIUM BGL</w:t>
      </w:r>
      <w:r>
        <w:t xml:space="preserve"> (BIOGALENIC) — *acide valproïque*</w:t>
      </w:r>
    </w:p>
    <w:p>
      <w:pPr>
        <w:pStyle w:val="ListBullet"/>
      </w:pPr>
      <w:r>
        <w:t>Forme : Solution buvable</w:t>
      </w:r>
    </w:p>
    <w:p>
      <w:pPr>
        <w:pStyle w:val="ListBullet"/>
      </w:pPr>
      <w:r>
        <w:t>Dosage : 200 mg/mL (boîte de 01 flacon de 40 mL + 1 seringue graduée)</w:t>
      </w:r>
    </w:p>
    <w:p>
      <w:pPr>
        <w:pStyle w:val="ListBullet"/>
      </w:pPr>
      <w:r>
        <w:t>Liste : Liste II</w:t>
      </w:r>
    </w:p>
    <w:p>
      <w:pPr>
        <w:pStyle w:val="ListBullet"/>
      </w:pPr>
      <w:r>
        <w:t xml:space="preserve">Statut : </w:t>
      </w:r>
      <w:r>
        <w:rPr>
          <w:b/>
        </w:rPr>
        <w:t>ACTIF</w:t>
      </w:r>
      <w:r/>
    </w:p>
    <w:p>
      <w:r/>
      <w:r>
        <w:rPr>
          <w:b/>
        </w:rPr>
        <w:t>Formes liquides — sirop :</w:t>
      </w:r>
      <w:r/>
    </w:p>
    <w:p>
      <w:pPr>
        <w:pStyle w:val="ListBullet"/>
      </w:pPr>
      <w:r/>
      <w:r>
        <w:rPr>
          <w:b/>
        </w:rPr>
        <w:t>SOPVAL</w:t>
      </w:r>
      <w:r>
        <w:t xml:space="preserve"> (EL KENDI INDUSTRIE DU MEDICAMENT)</w:t>
      </w:r>
    </w:p>
    <w:p>
      <w:pPr>
        <w:pStyle w:val="ListBullet"/>
      </w:pPr>
      <w:r>
        <w:t>Forme : Sirop</w:t>
      </w:r>
    </w:p>
    <w:p>
      <w:pPr>
        <w:pStyle w:val="ListBullet"/>
      </w:pPr>
      <w:r>
        <w:t>Dosage : 200 mg/5 mL (flacon ambré de 200 mL)</w:t>
      </w:r>
    </w:p>
    <w:p>
      <w:pPr>
        <w:pStyle w:val="ListBullet"/>
      </w:pPr>
      <w:r>
        <w:t>Liste : Liste II</w:t>
      </w:r>
    </w:p>
    <w:p>
      <w:pPr>
        <w:pStyle w:val="ListBullet"/>
      </w:pPr>
      <w:r>
        <w:t xml:space="preserve">Statut : </w:t>
      </w:r>
      <w:r>
        <w:rPr>
          <w:b/>
        </w:rPr>
        <w:t>ACTIF</w:t>
      </w:r>
      <w:r>
        <w:t xml:space="preserve"> — formulation adaptée à la pédiatrie</w:t>
      </w:r>
    </w:p>
    <w:p>
      <w:r/>
      <w:r>
        <w:rPr>
          <w:b/>
        </w:rPr>
        <w:t>Formes orales — comprimés (non renouvelables) :</w:t>
      </w:r>
      <w:r/>
    </w:p>
    <w:p>
      <w:pPr>
        <w:pStyle w:val="ListBullet"/>
      </w:pPr>
      <w:r/>
      <w:r>
        <w:rPr>
          <w:b/>
        </w:rPr>
        <w:t>EPIVAL</w:t>
      </w:r>
      <w:r>
        <w:t xml:space="preserve"> (EL KENDI INDUSTRIE DU MEDICAMENT)</w:t>
      </w:r>
    </w:p>
    <w:p>
      <w:pPr>
        <w:pStyle w:val="ListBullet"/>
      </w:pPr>
      <w:r>
        <w:t>Forme : Comprimé</w:t>
      </w:r>
    </w:p>
    <w:p>
      <w:pPr>
        <w:pStyle w:val="ListBullet"/>
      </w:pPr>
      <w:r>
        <w:t>Dosages : 200 mg (B/50), 500 mg (B/50)</w:t>
      </w:r>
    </w:p>
    <w:p>
      <w:pPr>
        <w:pStyle w:val="ListBullet"/>
      </w:pPr>
      <w:r>
        <w:t>Liste : Liste II</w:t>
      </w:r>
    </w:p>
    <w:p>
      <w:pPr>
        <w:pStyle w:val="ListBullet"/>
      </w:pPr>
      <w:r>
        <w:t xml:space="preserve">Statut : </w:t>
      </w:r>
      <w:r>
        <w:rPr>
          <w:b/>
        </w:rPr>
        <w:t>NON RENOUVELABLE</w:t>
      </w:r>
      <w:r>
        <w:t xml:space="preserve"> — épuisement stock, orienter vers DEPAKINE ou DEPAKINE CHRONO</w:t>
      </w:r>
    </w:p>
    <w:p>
      <w:pPr>
        <w:pStyle w:val="ListBullet"/>
      </w:pPr>
      <w:r/>
      <w:r>
        <w:rPr>
          <w:b/>
        </w:rPr>
        <w:t>VALKINE</w:t>
      </w:r>
      <w:r>
        <w:t xml:space="preserve"> (GROUPE SAIDAL)</w:t>
      </w:r>
    </w:p>
    <w:p>
      <w:pPr>
        <w:pStyle w:val="ListBullet"/>
      </w:pPr>
      <w:r>
        <w:t>Forme : Solution buvable</w:t>
      </w:r>
    </w:p>
    <w:p>
      <w:pPr>
        <w:pStyle w:val="ListBullet"/>
      </w:pPr>
      <w:r>
        <w:t>Dosage : 200 mg/mL (FL./60 mL avec seringue doseuse)</w:t>
      </w:r>
    </w:p>
    <w:p>
      <w:pPr>
        <w:pStyle w:val="ListBullet"/>
      </w:pPr>
      <w:r>
        <w:t>Liste : Liste II</w:t>
      </w:r>
    </w:p>
    <w:p>
      <w:pPr>
        <w:pStyle w:val="ListBullet"/>
      </w:pPr>
      <w:r>
        <w:t xml:space="preserve">Statut : </w:t>
      </w:r>
      <w:r>
        <w:rPr>
          <w:b/>
        </w:rPr>
        <w:t>NON RENOUVELABLE</w:t>
      </w:r>
      <w:r/>
    </w:p>
    <w:p>
      <w:r/>
      <w:r>
        <w:rPr>
          <w:b/>
        </w:rPr>
        <w:t>Formes retirées (R) — pour information historique :</w:t>
      </w:r>
      <w:r/>
    </w:p>
    <w:p>
      <w:pPr>
        <w:pStyle w:val="ListBullet"/>
      </w:pPr>
      <w:r/>
      <w:r>
        <w:rPr>
          <w:b/>
        </w:rPr>
        <w:t>CONVULEX</w:t>
      </w:r>
      <w:r>
        <w:t xml:space="preserve"> (GEROT) — *acide valproïque*</w:t>
      </w:r>
    </w:p>
    <w:p>
      <w:pPr>
        <w:pStyle w:val="ListBullet"/>
      </w:pPr>
      <w:r>
        <w:t>Formes : Capsules 200 mg (B/40 et B/100), capsules 500 mg (B/40 et B/100), solution buvable gouttes 200 mg/mL (FL/40 mL), sirop enfant 50 mg/mL (F/100 mL)</w:t>
      </w:r>
    </w:p>
    <w:p>
      <w:pPr>
        <w:pStyle w:val="ListBullet"/>
      </w:pPr>
      <w:r>
        <w:t>Liste : Liste II</w:t>
      </w:r>
    </w:p>
    <w:p>
      <w:pPr>
        <w:pStyle w:val="ListBullet"/>
      </w:pPr>
      <w:r>
        <w:t xml:space="preserve">Statut : </w:t>
      </w:r>
      <w:r>
        <w:rPr>
          <w:b/>
        </w:rPr>
        <w:t>RETRAIT (R)</w:t>
      </w:r>
      <w:r>
        <w:t xml:space="preserve"> — plus disponible sur le marché algérien</w:t>
      </w:r>
    </w:p>
    <w:p>
      <w:r/>
      <w:r>
        <w:rPr>
          <w:b/>
        </w:rPr>
        <w:t>Sous-classe et Mécanisme d'action :</w:t>
      </w:r>
      <w:r/>
    </w:p>
    <w:p>
      <w:pPr>
        <w:pStyle w:val="ListBullet"/>
      </w:pPr>
      <w:r/>
      <w:r>
        <w:rPr>
          <w:b/>
        </w:rPr>
        <w:t>Sous-classe</w:t>
      </w:r>
      <w:r>
        <w:t xml:space="preserve"> : Antiépileptique à large spectre — acide gras à chaîne courte (C8) — classe des acides carboxyliques à chaîne ramifiée. Première utilisation antiépileptique en 1963 (Meunier), extension à la psychiatrie dans les années 1990 (Bowden 1994, manie aiguë). DCI unique au sein de la sous-classe (valproate de sodium = sel sodique ; acide valproïque = forme libre ; divalproex = sel d-coordination US — non disponible Algérie, équivalent au valproate de sodium).</w:t>
      </w:r>
    </w:p>
    <w:p>
      <w:pPr>
        <w:pStyle w:val="ListBullet"/>
      </w:pPr>
      <w:r/>
      <w:r>
        <w:rPr>
          <w:b/>
        </w:rPr>
        <w:t>Mécanisme d'action</w:t>
      </w:r>
      <w:r>
        <w:t xml:space="preserve"> : Le mécanisme d'action du valproate est </w:t>
      </w:r>
      <w:r>
        <w:rPr>
          <w:b/>
        </w:rPr>
        <w:t>multifactoriel</w:t>
      </w:r>
      <w:r>
        <w:t xml:space="preserve"> et implique plusieurs cibles moléculaires :</w:t>
      </w:r>
    </w:p>
    <w:p>
      <w:pPr>
        <w:pStyle w:val="ListNumber"/>
      </w:pPr>
      <w:r/>
      <w:r>
        <w:rPr>
          <w:b/>
        </w:rPr>
        <w:t>Blocage des canaux sodiques voltage-dépendants (Na⁺-Vd)</w:t>
      </w:r>
      <w:r>
        <w:t xml:space="preserve"> : Le valproate se fixe sur la sous-unité α des canaux Na⁺ voltage-dépendants neuronaux, préférentiellement à l'état inactivé (pharmacologie « use-dependent »). Cette fixation maintient les canaux dans l'état inactivé, empêchant leur réouverture rapide — réduisant ainsi la fréquence des potentiels d'action rapides répétitifs (PA en salves) caractéristiques des neurones épileptiques. C'est le mécanisme antiépileptique principal, partagé avec la carbamazépine, la lamotrigine, la phénytoïne et le lacosamide.</w:t>
      </w:r>
    </w:p>
    <w:p>
      <w:pPr>
        <w:pStyle w:val="ListNumber"/>
      </w:pPr>
      <w:r/>
      <w:r>
        <w:rPr>
          <w:b/>
        </w:rPr>
        <w:t>Modulation des canaux calciques voltage-dépendants de type T (canaux T thalamiques)</w:t>
      </w:r>
      <w:r>
        <w:t xml:space="preserve"> : Le valproate réduit le courant calcique de type T (I_T) des neurones thalamiques — courant impliqué dans la genèse des pointes-ondes 3 Hz caractéristiques des absences typiques (épilepsie absence de l'enfant). Cette propriété est unique au valproate et à l'éthosuximide, et explique l'efficacité du valproate dans les absences.</w:t>
      </w:r>
    </w:p>
    <w:p>
      <w:pPr>
        <w:pStyle w:val="ListNumber"/>
      </w:pPr>
      <w:r/>
      <w:r>
        <w:rPr>
          <w:b/>
        </w:rPr>
        <w:t>Stimulation directe de la transmission GABAergique</w:t>
      </w:r>
      <w:r>
        <w:t xml:space="preserve"> : Le valproate augmente les concentrations cérébrales en GABA (acide gamma-aminobutyrique) par plusieurs mécanismes : (a) </w:t>
      </w:r>
      <w:r>
        <w:rPr>
          <w:b/>
        </w:rPr>
        <w:t>inhibition de la GABA-transaminase</w:t>
      </w:r>
      <w:r>
        <w:t xml:space="preserve"> (GABA-T — enzyme de dégradation du GABA), (b) </w:t>
      </w:r>
      <w:r>
        <w:rPr>
          <w:b/>
        </w:rPr>
        <w:t>stimulation de la glutamate décarboxylase</w:t>
      </w:r>
      <w:r>
        <w:t xml:space="preserve"> (GAD — enzyme de synthèse du GABA), (c) </w:t>
      </w:r>
      <w:r>
        <w:rPr>
          <w:b/>
        </w:rPr>
        <w:t>inhibition de la succinate semi-aldéhyde réductase</w:t>
      </w:r>
      <w:r>
        <w:t xml:space="preserve"> (voie de dégradation alternative du GABA). L'augmentation des concentrations cérébrales en GABA potentialise l'inhibition GABAergique postsynaptique (via les récepteurs GABA-A — canaux chlore Cl⁻) — effet antiépileptique et anxiolytique.</w:t>
      </w:r>
    </w:p>
    <w:p>
      <w:pPr>
        <w:pStyle w:val="ListNumber"/>
      </w:pPr>
      <w:r/>
      <w:r>
        <w:rPr>
          <w:b/>
        </w:rPr>
        <w:t>Inhibition de la GSK-3β (glycogène synthase kinase-3 bêta)</w:t>
      </w:r>
      <w:r>
        <w:t xml:space="preserve"> : propriété partagée avec le lithium (mais avec une affinité moindre — concentrations cérébrales plus élevées nécessaires). Cette inhibition contribue à l'effet thymorégulateur (neuroprotection, neurogenèse hippocampique) et explique en partie l'efficacité du valproate dans le trouble bipolaire.</w:t>
      </w:r>
    </w:p>
    <w:p>
      <w:pPr>
        <w:pStyle w:val="ListNumber"/>
      </w:pPr>
      <w:r/>
      <w:r>
        <w:rPr>
          <w:b/>
        </w:rPr>
        <w:t>Inhibition de l'histone déacétylase (HDAC)</w:t>
      </w:r>
      <w:r>
        <w:t xml:space="preserve"> : Le valproate est un inhibiteur des HDAC de classe I (HDAC1, HDAC2, HDAC3, HDAC8) à concentrations thérapeutiques. Cette inhibition majore l'acétylation des histones H3 et H4, favorisant la transcription de gènes impliqués dans la neuroprotection (BDNF, Bcl-2, p21). Cette propriété épigénétique est à l'origine de recherches dans le domaine des cancers et de la maladie d'Alzheimer.</w:t>
      </w:r>
    </w:p>
    <w:p>
      <w:pPr>
        <w:pStyle w:val="ListNumber"/>
      </w:pPr>
      <w:r/>
      <w:r>
        <w:rPr>
          <w:b/>
        </w:rPr>
        <w:t>Modulation de la signalisation inositol-triphosphate (IP3)</w:t>
      </w:r>
      <w:r>
        <w:t xml:space="preserve"> : réduction de la signalisation IP3/DAG (phospholipase C), similaire au lithium (mais avec une affinité moindre).</w:t>
      </w:r>
    </w:p>
    <w:p>
      <w:pPr>
        <w:pStyle w:val="ListNumber"/>
      </w:pPr>
      <w:r/>
      <w:r>
        <w:rPr>
          <w:b/>
        </w:rPr>
        <w:t>Réduction de la libération de glutamate</w:t>
      </w:r>
      <w:r>
        <w:t xml:space="preserve"> (acide aspartique excitateur) — effet anti-excitotoxicité.</w:t>
      </w:r>
    </w:p>
    <w:p>
      <w:pPr>
        <w:pStyle w:val="ListNumber"/>
      </w:pPr>
      <w:r/>
      <w:r>
        <w:rPr>
          <w:b/>
        </w:rPr>
        <w:t>Effet sur la transmission dopaminergique et sérotoninergique</w:t>
      </w:r>
      <w:r>
        <w:t xml:space="preserve"> : modulations complexes (augmentation 5-HT, diminution DA mésolimbique) — contribuent à l'effet thymorégulateur et anti-maniaque.</w:t>
      </w:r>
    </w:p>
    <w:p>
      <w:r/>
      <w:r>
        <w:rPr>
          <w:b/>
        </w:rPr>
        <w:t>Profil Pharmacologique :</w:t>
      </w:r>
      <w:r/>
    </w:p>
    <w:p>
      <w:pPr>
        <w:pStyle w:val="ListBullet"/>
      </w:pPr>
      <w:r/>
      <w:r>
        <w:rPr>
          <w:b/>
        </w:rPr>
        <w:t>Indications</w:t>
      </w:r>
      <w:r>
        <w:t xml:space="preserve"> :</w:t>
      </w:r>
    </w:p>
    <w:p>
      <w:pPr>
        <w:pStyle w:val="ListBullet"/>
      </w:pPr>
      <w:r/>
      <w:r>
        <w:rPr>
          <w:b/>
        </w:rPr>
        <w:t>Manie aiguë</w:t>
      </w:r>
      <w:r>
        <w:t xml:space="preserve"> du trouble bipolaire de type I (efficacité 50-60 % en 7-14 jours)</w:t>
      </w:r>
    </w:p>
    <w:p>
      <w:pPr>
        <w:pStyle w:val="ListBullet"/>
      </w:pPr>
      <w:r/>
      <w:r>
        <w:rPr>
          <w:b/>
        </w:rPr>
        <w:t>Prévention des rechutes</w:t>
      </w:r>
      <w:r>
        <w:t xml:space="preserve"> du trouble bipolaire (indication AMM Chrono) — maniaques et mixtes principalement</w:t>
      </w:r>
    </w:p>
    <w:p>
      <w:pPr>
        <w:pStyle w:val="ListBullet"/>
      </w:pPr>
      <w:r/>
      <w:r>
        <w:rPr>
          <w:b/>
        </w:rPr>
        <w:t>Troubles bipolaires à cycles rapides</w:t>
      </w:r>
      <w:r>
        <w:t xml:space="preserve"> (≥ 4 épisodes/an) — supériorité au lithium</w:t>
      </w:r>
    </w:p>
    <w:p>
      <w:pPr>
        <w:pStyle w:val="ListBullet"/>
      </w:pPr>
      <w:r/>
      <w:r>
        <w:rPr>
          <w:b/>
        </w:rPr>
        <w:t>Épisodes mixtes</w:t>
      </w:r>
      <w:r>
        <w:t xml:space="preserve"> (manie + dépression simultanées) — supériorité au lithium</w:t>
      </w:r>
    </w:p>
    <w:p>
      <w:pPr>
        <w:pStyle w:val="ListBullet"/>
      </w:pPr>
      <w:r/>
      <w:r>
        <w:rPr>
          <w:b/>
        </w:rPr>
        <w:t>Épilepsie</w:t>
      </w:r>
      <w:r>
        <w:t xml:space="preserve"> (indication initiale) : crises généralisées tonico-cloniques, absences, myoclonies, syndrome de Lennox-Gastaut</w:t>
      </w:r>
    </w:p>
    <w:p>
      <w:pPr>
        <w:pStyle w:val="ListBullet"/>
      </w:pPr>
      <w:r/>
      <w:r>
        <w:rPr>
          <w:b/>
        </w:rPr>
        <w:t>Prévention de la migraine</w:t>
      </w:r>
      <w:r>
        <w:t xml:space="preserve"> chronique (indication AMM)</w:t>
      </w:r>
    </w:p>
    <w:p>
      <w:pPr>
        <w:pStyle w:val="ListBullet"/>
      </w:pPr>
      <w:r/>
      <w:r>
        <w:rPr>
          <w:b/>
        </w:rPr>
        <w:t>Prévention de la migraine</w:t>
      </w:r>
      <w:r>
        <w:t xml:space="preserve"> chez l'enfant (indication limitée)</w:t>
      </w:r>
    </w:p>
    <w:p>
      <w:pPr>
        <w:pStyle w:val="ListBullet"/>
      </w:pPr>
      <w:r/>
      <w:r>
        <w:rPr>
          <w:b/>
        </w:rPr>
        <w:t>Contre-indications absolues</w:t>
      </w:r>
      <w:r>
        <w:t xml:space="preserve"> :</w:t>
      </w:r>
    </w:p>
    <w:p>
      <w:pPr>
        <w:pStyle w:val="ListBullet"/>
      </w:pPr>
      <w:r/>
      <w:r>
        <w:rPr>
          <w:b/>
        </w:rPr>
        <w:t>Femme en âge de procréer sans contraception efficace</w:t>
      </w:r>
      <w:r>
        <w:t xml:space="preserve"> — </w:t>
      </w:r>
      <w:r>
        <w:rPr>
          <w:b/>
        </w:rPr>
        <w:t>CI ABSOLUE EMA/ANSM 2018</w:t>
      </w:r>
      <w:r>
        <w:t xml:space="preserve"> (programme PPP obligatoire) — risque tératogène majeur (spina bifida 6-9 %, syndrome d'alcoolisme fœtal valproate 10-40 %)</w:t>
      </w:r>
    </w:p>
    <w:p>
      <w:pPr>
        <w:pStyle w:val="ListBullet"/>
      </w:pPr>
      <w:r/>
      <w:r>
        <w:rPr>
          <w:b/>
        </w:rPr>
        <w:t>Hépatopathie active</w:t>
      </w:r>
      <w:r>
        <w:t xml:space="preserve"> (hépatite, cirrhose) ou antécédent d'hépatotoxicité au valproate</w:t>
      </w:r>
    </w:p>
    <w:p>
      <w:pPr>
        <w:pStyle w:val="ListBullet"/>
      </w:pPr>
      <w:r/>
      <w:r>
        <w:rPr>
          <w:b/>
        </w:rPr>
        <w:t>Porphyrie hépatique</w:t>
      </w:r>
      <w:r>
        <w:t xml:space="preserve"> (intermittente aiguë, variegata, coproporphyrie) — déclenchement de crise aiguë</w:t>
      </w:r>
    </w:p>
    <w:p>
      <w:pPr>
        <w:pStyle w:val="ListBullet"/>
      </w:pPr>
      <w:r/>
      <w:r>
        <w:rPr>
          <w:b/>
        </w:rPr>
        <w:t>Troubles du cycle de l'urée</w:t>
      </w:r>
      <w:r>
        <w:t xml:space="preserve"> (déficit en ornithine transcarbamylase) — hyperammoniémie sévère</w:t>
      </w:r>
    </w:p>
    <w:p>
      <w:pPr>
        <w:pStyle w:val="ListBullet"/>
      </w:pPr>
      <w:r/>
      <w:r>
        <w:rPr>
          <w:b/>
        </w:rPr>
        <w:t>Antécédent de pancréatite</w:t>
      </w:r>
      <w:r>
        <w:t xml:space="preserve"> sous valproate</w:t>
      </w:r>
    </w:p>
    <w:p>
      <w:pPr>
        <w:pStyle w:val="ListBullet"/>
      </w:pPr>
      <w:r/>
      <w:r>
        <w:rPr>
          <w:b/>
        </w:rPr>
        <w:t>Thrombopénie sévère</w:t>
      </w:r>
      <w:r>
        <w:t xml:space="preserve"> (&lt; 100 G/L) ou trouble de la coagulation (allongement du TP)</w:t>
      </w:r>
    </w:p>
    <w:p>
      <w:pPr>
        <w:pStyle w:val="ListBullet"/>
      </w:pPr>
      <w:r/>
      <w:r>
        <w:rPr>
          <w:b/>
        </w:rPr>
        <w:t>Allaitement</w:t>
      </w:r>
      <w:r>
        <w:t xml:space="preserve"> (prudence chez nourrisson — hypotonie, troubles hépatiques)</w:t>
      </w:r>
    </w:p>
    <w:p>
      <w:pPr>
        <w:pStyle w:val="ListBullet"/>
      </w:pPr>
      <w:r/>
      <w:r>
        <w:rPr>
          <w:b/>
        </w:rPr>
        <w:t>Association avec méfloquine</w:t>
      </w:r>
      <w:r>
        <w:t xml:space="preserve"> (efficacité diminuée + toxicité), </w:t>
      </w:r>
      <w:r>
        <w:rPr>
          <w:b/>
        </w:rPr>
        <w:t>avec millepertuis</w:t>
      </w:r>
      <w:r>
        <w:t xml:space="preserve"> (efficacité diminuée)</w:t>
      </w:r>
    </w:p>
    <w:p>
      <w:pPr>
        <w:pStyle w:val="ListBullet"/>
      </w:pPr>
      <w:r/>
      <w:r>
        <w:rPr>
          <w:b/>
        </w:rPr>
        <w:t>Contre-indications relatives</w:t>
      </w:r>
      <w:r>
        <w:t xml:space="preserve"> :</w:t>
      </w:r>
    </w:p>
    <w:p>
      <w:pPr>
        <w:pStyle w:val="ListBullet"/>
      </w:pPr>
      <w:r>
        <w:t>Sujet âgé (&gt; 65 ans) — surveillance accrue (somnolence, déshydratation, troubles cognitifs)</w:t>
      </w:r>
    </w:p>
    <w:p>
      <w:pPr>
        <w:pStyle w:val="ListBullet"/>
      </w:pPr>
      <w:r>
        <w:t>Insuffisance rénale (adaptation posologique — dosage fonction de la clairance)</w:t>
      </w:r>
    </w:p>
    <w:p>
      <w:pPr>
        <w:pStyle w:val="ListBullet"/>
      </w:pPr>
      <w:r>
        <w:t>Association avec aspirine (déplacement de la liaison aux protéines — majoration de la fraction libre toxique)</w:t>
      </w:r>
    </w:p>
    <w:p>
      <w:pPr>
        <w:pStyle w:val="ListBullet"/>
      </w:pPr>
      <w:r>
        <w:t>Association avec lamotrigine (interaction — titration réduite de moitié)</w:t>
      </w:r>
    </w:p>
    <w:p>
      <w:pPr>
        <w:pStyle w:val="ListBullet"/>
      </w:pPr>
      <w:r/>
      <w:r>
        <w:rPr>
          <w:b/>
        </w:rPr>
        <w:t>Effets indésirables</w:t>
      </w:r>
      <w:r>
        <w:t xml:space="preserve"> :</w:t>
      </w:r>
    </w:p>
    <w:p>
      <w:r>
        <w:t xml:space="preserve">  </w:t>
      </w:r>
      <w:r>
        <w:rPr>
          <w:i/>
        </w:rPr>
        <w:t>Gastro-intestinaux (30-40 %)</w:t>
      </w:r>
      <w:r>
        <w:t xml:space="preserve"> :</w:t>
      </w:r>
    </w:p>
    <w:p>
      <w:pPr>
        <w:pStyle w:val="ListBullet"/>
      </w:pPr>
      <w:r>
        <w:t>Nausées, vomissements, diarrhée, douleurs épigastriques — réduits par formes gastro-résistantes (DEPAKINE) ou LP (CHRONO)</w:t>
      </w:r>
    </w:p>
    <w:p>
      <w:pPr>
        <w:pStyle w:val="ListBullet"/>
      </w:pPr>
      <w:r>
        <w:t>Prise au cours des repas pour minimiser</w:t>
      </w:r>
    </w:p>
    <w:p>
      <w:r>
        <w:t xml:space="preserve">  </w:t>
      </w:r>
      <w:r>
        <w:rPr>
          <w:i/>
        </w:rPr>
        <w:t>Neurologiques (20-30 %)</w:t>
      </w:r>
      <w:r>
        <w:t xml:space="preserve"> :</w:t>
      </w:r>
    </w:p>
    <w:p>
      <w:pPr>
        <w:pStyle w:val="ListBullet"/>
      </w:pPr>
      <w:r>
        <w:t>Tremblements fins (30 %) — dose-dépendants — bêta-bloquant si gênants</w:t>
      </w:r>
    </w:p>
    <w:p>
      <w:pPr>
        <w:pStyle w:val="ListBullet"/>
      </w:pPr>
      <w:r>
        <w:t>Somnolence, asthénie, sédation (surtout en initiation ou en association)</w:t>
      </w:r>
    </w:p>
    <w:p>
      <w:pPr>
        <w:pStyle w:val="ListBullet"/>
      </w:pPr>
      <w:r>
        <w:t>Ataxie, dysarthrie (aux fortes doses &gt; 1500 mg/j)</w:t>
      </w:r>
    </w:p>
    <w:p>
      <w:pPr>
        <w:pStyle w:val="ListBullet"/>
      </w:pPr>
      <w:r>
        <w:t>Confusion, désorientation (sujet âgé)</w:t>
      </w:r>
    </w:p>
    <w:p>
      <w:pPr>
        <w:pStyle w:val="ListBullet"/>
      </w:pPr>
      <w:r>
        <w:t>Céphalées</w:t>
      </w:r>
    </w:p>
    <w:p>
      <w:r>
        <w:t xml:space="preserve">  </w:t>
      </w:r>
      <w:r>
        <w:rPr>
          <w:i/>
        </w:rPr>
        <w:t>Métaboliques (30-50 %)</w:t>
      </w:r>
      <w:r>
        <w:t xml:space="preserve"> :</w:t>
      </w:r>
    </w:p>
    <w:p>
      <w:pPr>
        <w:pStyle w:val="ListBullet"/>
      </w:pPr>
      <w:r/>
      <w:r>
        <w:rPr>
          <w:b/>
        </w:rPr>
        <w:t>Prise de poids</w:t>
      </w:r>
      <w:r>
        <w:t xml:space="preserve"> (30-50 %) — 3-10 kg en moyenne, parfois plus — particulièrement chez la femme jeune — mécanisme : hyperphagie (modification du goût et de l'appétit), baisse du métabolisme de base, hyperinsulinémie</w:t>
      </w:r>
    </w:p>
    <w:p>
      <w:pPr>
        <w:pStyle w:val="ListBullet"/>
      </w:pPr>
      <w:r/>
      <w:r>
        <w:rPr>
          <w:b/>
        </w:rPr>
        <w:t>Hyperammoniémie</w:t>
      </w:r>
      <w:r>
        <w:t xml:space="preserve"> (asymptomatique le plus souvent — parfois encéphalopathie hyperammoniémique avec confusion, léthargie, vomissements — favorisée par association avec topiramate)</w:t>
      </w:r>
    </w:p>
    <w:p>
      <w:pPr>
        <w:pStyle w:val="ListBullet"/>
      </w:pPr>
      <w:r/>
      <w:r>
        <w:rPr>
          <w:b/>
        </w:rPr>
        <w:t>Hyperinsulinémie</w:t>
      </w:r>
      <w:r>
        <w:t xml:space="preserve"> et insulinorésistance (prédisposition au syndrome métabolique)</w:t>
      </w:r>
    </w:p>
    <w:p>
      <w:pPr>
        <w:pStyle w:val="ListBullet"/>
      </w:pPr>
      <w:r/>
      <w:r>
        <w:rPr>
          <w:b/>
        </w:rPr>
        <w:t>Hyponatrémie</w:t>
      </w:r>
      <w:r>
        <w:t xml:space="preserve"> (rare, moins fréquente que carbamazépine)</w:t>
      </w:r>
    </w:p>
    <w:p>
      <w:r>
        <w:t xml:space="preserve">  </w:t>
      </w:r>
      <w:r>
        <w:rPr>
          <w:i/>
        </w:rPr>
        <w:t>Hépatiques (10-20 % modérée, 1/10 000 sévère)</w:t>
      </w:r>
      <w:r>
        <w:t xml:space="preserve"> :</w:t>
      </w:r>
    </w:p>
    <w:p>
      <w:pPr>
        <w:pStyle w:val="ListBullet"/>
      </w:pPr>
      <w:r/>
      <w:r>
        <w:rPr>
          <w:b/>
        </w:rPr>
        <w:t>Cytolyse hépatique modérée transitoire</w:t>
      </w:r>
      <w:r>
        <w:t xml:space="preserve"> (10-20 %) — élévation ALAT/ASAT × 2-3 N — surveillance mensuelle 6 mois</w:t>
      </w:r>
    </w:p>
    <w:p>
      <w:pPr>
        <w:pStyle w:val="ListBullet"/>
      </w:pPr>
      <w:r/>
      <w:r>
        <w:rPr>
          <w:b/>
        </w:rPr>
        <w:t>Hépatite fulminante</w:t>
      </w:r>
      <w:r>
        <w:t xml:space="preserve"> (1/10 000 — particulièrement chez enfant &lt; 2 ans, polythérapie anticonvulsivante, terrain mitochondrial) — signes : asthénie, anorexie, vomissements, ictère, hépatomégalie — arrêt immédiat, hospitalisation urgente</w:t>
      </w:r>
    </w:p>
    <w:p>
      <w:pPr>
        <w:pStyle w:val="ListBullet"/>
      </w:pPr>
      <w:r>
        <w:t>Microvésiculaire (stéatose) ou cytolytique</w:t>
      </w:r>
    </w:p>
    <w:p>
      <w:r>
        <w:t xml:space="preserve">  </w:t>
      </w:r>
      <w:r>
        <w:rPr>
          <w:i/>
        </w:rPr>
        <w:t>Hématologiques (5-15 %)</w:t>
      </w:r>
      <w:r>
        <w:t xml:space="preserve"> :</w:t>
      </w:r>
    </w:p>
    <w:p>
      <w:pPr>
        <w:pStyle w:val="ListBullet"/>
      </w:pPr>
      <w:r/>
      <w:r>
        <w:rPr>
          <w:b/>
        </w:rPr>
        <w:t>Thrombopénie</w:t>
      </w:r>
      <w:r>
        <w:t xml:space="preserve"> dose-dépendante (5-15 %) — surveiller plaquettes si &gt; 1000 mg/j</w:t>
      </w:r>
    </w:p>
    <w:p>
      <w:pPr>
        <w:pStyle w:val="ListBullet"/>
      </w:pPr>
      <w:r>
        <w:t>Leucopénie, neutropénie (5 %)</w:t>
      </w:r>
    </w:p>
    <w:p>
      <w:pPr>
        <w:pStyle w:val="ListBullet"/>
      </w:pPr>
      <w:r>
        <w:t>Anémie aplasique (rare, 1/20 000)</w:t>
      </w:r>
    </w:p>
    <w:p>
      <w:pPr>
        <w:pStyle w:val="ListBullet"/>
      </w:pPr>
      <w:r>
        <w:t>Allongement du temps de saignement (anti-agrégant plaquettaire — inhibition de la cyclo-oxygénase plaquettaire)</w:t>
      </w:r>
    </w:p>
    <w:p>
      <w:r>
        <w:t xml:space="preserve">  </w:t>
      </w:r>
      <w:r>
        <w:rPr>
          <w:i/>
        </w:rPr>
        <w:t>Pancréas (rare, 1/1000 — parfois mortelle)</w:t>
      </w:r>
      <w:r>
        <w:t xml:space="preserve"> :</w:t>
      </w:r>
    </w:p>
    <w:p>
      <w:pPr>
        <w:pStyle w:val="ListBullet"/>
      </w:pPr>
      <w:r/>
      <w:r>
        <w:rPr>
          <w:b/>
        </w:rPr>
        <w:t>Pancréatite aiguë</w:t>
      </w:r>
      <w:r>
        <w:t xml:space="preserve"> — signes : douleur abdominale violente épigastrique irradiant en barre, vomissements — arrêt immédiat du valproate, hospitalisation urgente — CI définitive</w:t>
      </w:r>
    </w:p>
    <w:p>
      <w:r>
        <w:t xml:space="preserve">  </w:t>
      </w:r>
      <w:r>
        <w:rPr>
          <w:i/>
        </w:rPr>
        <w:t>Endocriniens (prépubères et femmes jeunes)</w:t>
      </w:r>
      <w:r>
        <w:t xml:space="preserve"> :</w:t>
      </w:r>
    </w:p>
    <w:p>
      <w:pPr>
        <w:pStyle w:val="ListBullet"/>
      </w:pPr>
      <w:r/>
      <w:r>
        <w:rPr>
          <w:b/>
        </w:rPr>
        <w:t>Syndrome des ovaires polykystiques</w:t>
      </w:r>
      <w:r>
        <w:t xml:space="preserve"> (50 % des filles prépubères traitées à long terme — hyperandrogénie, oligoménorrhée, ovaires polykystiques à l'échographie)</w:t>
      </w:r>
    </w:p>
    <w:p>
      <w:pPr>
        <w:pStyle w:val="ListBullet"/>
      </w:pPr>
      <w:r>
        <w:t>Aménorrhée secondaire</w:t>
      </w:r>
    </w:p>
    <w:p>
      <w:pPr>
        <w:pStyle w:val="ListBullet"/>
      </w:pPr>
      <w:r>
        <w:t>Hyperandrogénie (hirsutisme, acné, alopécie androgénique)</w:t>
      </w:r>
    </w:p>
    <w:p>
      <w:r>
        <w:t xml:space="preserve">  </w:t>
      </w:r>
      <w:r>
        <w:rPr>
          <w:i/>
        </w:rPr>
        <w:t>Dermatologiques (5 %)</w:t>
      </w:r>
      <w:r>
        <w:t xml:space="preserve"> :</w:t>
      </w:r>
    </w:p>
    <w:p>
      <w:pPr>
        <w:pStyle w:val="ListBullet"/>
      </w:pPr>
      <w:r>
        <w:t>Alopécie transitoire (5-10 %) — réversible à l'arrêt</w:t>
      </w:r>
    </w:p>
    <w:p>
      <w:pPr>
        <w:pStyle w:val="ListBullet"/>
      </w:pPr>
      <w:r>
        <w:t>Rash cutané (rare, &lt; 1 %)</w:t>
      </w:r>
    </w:p>
    <w:p>
      <w:pPr>
        <w:pStyle w:val="ListBullet"/>
      </w:pPr>
      <w:r>
        <w:t>Syndrome de Stevens-Johnson / Lyell (très rare, &lt; 1/10 000)</w:t>
      </w:r>
    </w:p>
    <w:p>
      <w:r>
        <w:t xml:space="preserve">  </w:t>
      </w:r>
      <w:r>
        <w:rPr>
          <w:i/>
        </w:rPr>
        <w:t>Psychiatriques</w:t>
      </w:r>
      <w:r>
        <w:t xml:space="preserve"> :</w:t>
      </w:r>
    </w:p>
    <w:p>
      <w:pPr>
        <w:pStyle w:val="ListBullet"/>
      </w:pPr>
      <w:r>
        <w:t>Confusion, irritabilité, hyperactivité (paradoxaux — surtout chez l'enfant)</w:t>
      </w:r>
    </w:p>
    <w:p>
      <w:r>
        <w:t xml:space="preserve">  </w:t>
      </w:r>
      <w:r>
        <w:rPr>
          <w:i/>
        </w:rPr>
        <w:t>Tératogénicité majeure</w:t>
      </w:r>
      <w:r>
        <w:t xml:space="preserve"> : voir section Grossesse</w:t>
      </w:r>
    </w:p>
    <w:p>
      <w:r/>
      <w:r>
        <w:rPr>
          <w:b/>
        </w:rPr>
        <w:t>Prévention et Gestion des Effets Indésirables :</w:t>
      </w:r>
      <w:r/>
    </w:p>
    <w:p>
      <w:pPr>
        <w:pStyle w:val="ListBullet"/>
      </w:pPr>
      <w:r/>
      <w:r>
        <w:rPr>
          <w:b/>
        </w:rPr>
        <w:t>Mesures Préventives systématiques</w:t>
      </w:r>
      <w:r>
        <w:t xml:space="preserve"> :</w:t>
      </w:r>
    </w:p>
    <w:p>
      <w:r>
        <w:t xml:space="preserve">  </w:t>
      </w:r>
      <w:r>
        <w:rPr>
          <w:i/>
        </w:rPr>
        <w:t>Bilan pré-thérapeutique complet obligatoire avant initiation :</w:t>
      </w:r>
      <w:r/>
    </w:p>
    <w:p>
      <w:pPr>
        <w:pStyle w:val="ListBullet"/>
      </w:pPr>
      <w:r>
        <w:t>Bilan hépatique complet : ALAT, ASAT, γ-GT, phosphatases alcalines, bilirubine totale et conjuguée</w:t>
      </w:r>
    </w:p>
    <w:p>
      <w:pPr>
        <w:pStyle w:val="ListBullet"/>
      </w:pPr>
      <w:r>
        <w:t>NFS-plaquettes (référence)</w:t>
      </w:r>
    </w:p>
    <w:p>
      <w:pPr>
        <w:pStyle w:val="ListBullet"/>
      </w:pPr>
      <w:r>
        <w:t>TP, TCA (coagulation)</w:t>
      </w:r>
    </w:p>
    <w:p>
      <w:pPr>
        <w:pStyle w:val="ListBullet"/>
      </w:pPr>
      <w:r>
        <w:t>Ionogramme sanguin (Na⁺, K⁺)</w:t>
      </w:r>
    </w:p>
    <w:p>
      <w:pPr>
        <w:pStyle w:val="ListBullet"/>
      </w:pPr>
      <w:r>
        <w:t>Ammoniémie (si suspicion de trouble du cycle de l'urée)</w:t>
      </w:r>
    </w:p>
    <w:p>
      <w:pPr>
        <w:pStyle w:val="ListBullet"/>
      </w:pPr>
      <w:r>
        <w:t>β-hCG chez la femme en âge de procréer (grossesse)</w:t>
      </w:r>
    </w:p>
    <w:p>
      <w:pPr>
        <w:pStyle w:val="ListBullet"/>
      </w:pPr>
      <w:r>
        <w:t>Glycémie à jeun + HbA1c</w:t>
      </w:r>
    </w:p>
    <w:p>
      <w:pPr>
        <w:pStyle w:val="ListBullet"/>
      </w:pPr>
      <w:r>
        <w:t>Bilan lipidique (TG, cholestérol total, HDL, LDL)</w:t>
      </w:r>
    </w:p>
    <w:p>
      <w:pPr>
        <w:pStyle w:val="ListBullet"/>
      </w:pPr>
      <w:r>
        <w:t>Poids, taille, IMC, tour de taille</w:t>
      </w:r>
    </w:p>
    <w:p>
      <w:pPr>
        <w:pStyle w:val="ListBullet"/>
      </w:pPr>
      <w:r>
        <w:t>Chez femme en âge de procréer : contraception efficace documentée (DIU, implant, ou double contraception orale + préservatif) — formulaire PPP signé</w:t>
      </w:r>
    </w:p>
    <w:p>
      <w:r>
        <w:t xml:space="preserve">  </w:t>
      </w:r>
      <w:r>
        <w:rPr>
          <w:i/>
        </w:rPr>
        <w:t>Surveillance biologique en cours de traitement :</w:t>
      </w:r>
      <w:r/>
    </w:p>
    <w:p>
      <w:pPr>
        <w:pStyle w:val="ListBullet"/>
      </w:pPr>
      <w:r/>
      <w:r>
        <w:rPr>
          <w:b/>
        </w:rPr>
        <w:t>Bilan hépatique (ALAT, ASAT)</w:t>
      </w:r>
      <w:r>
        <w:t xml:space="preserve"> : mensuel 6 premiers mois, puis trimestrielle</w:t>
      </w:r>
    </w:p>
    <w:p>
      <w:pPr>
        <w:pStyle w:val="ListBullet"/>
      </w:pPr>
      <w:r/>
      <w:r>
        <w:rPr>
          <w:b/>
        </w:rPr>
        <w:t>NFS-plaquettes</w:t>
      </w:r>
      <w:r>
        <w:t xml:space="preserve"> : mensuelle 3 mois, puis trimestrielle</w:t>
      </w:r>
    </w:p>
    <w:p>
      <w:pPr>
        <w:pStyle w:val="ListBullet"/>
      </w:pPr>
      <w:r/>
      <w:r>
        <w:rPr>
          <w:b/>
        </w:rPr>
        <w:t>Valprémie</w:t>
      </w:r>
      <w:r>
        <w:t xml:space="preserve"> : à J5-J7 après initiation, puis mensuelle 3 mois, puis semestrielle — cible 50-100 mg/L (350-700 µmol/L) en épilepsie ; moins stricte en psychiatrie (40-100 mg/L)</w:t>
      </w:r>
    </w:p>
    <w:p>
      <w:pPr>
        <w:pStyle w:val="ListBullet"/>
      </w:pPr>
      <w:r/>
      <w:r>
        <w:rPr>
          <w:b/>
        </w:rPr>
        <w:t>Ammoniémie</w:t>
      </w:r>
      <w:r>
        <w:t xml:space="preserve"> : si symptomatologie évocatrice (confusion, léthargie)</w:t>
      </w:r>
    </w:p>
    <w:p>
      <w:pPr>
        <w:pStyle w:val="ListBullet"/>
      </w:pPr>
      <w:r/>
      <w:r>
        <w:rPr>
          <w:b/>
        </w:rPr>
        <w:t>Glycémie, HbA1c, bilan lipidique</w:t>
      </w:r>
      <w:r>
        <w:t xml:space="preserve"> : annuel (dépistage syndrome métabolique)</w:t>
      </w:r>
    </w:p>
    <w:p>
      <w:pPr>
        <w:pStyle w:val="ListBullet"/>
      </w:pPr>
      <w:r/>
      <w:r>
        <w:rPr>
          <w:b/>
        </w:rPr>
        <w:t>TSH</w:t>
      </w:r>
      <w:r>
        <w:t xml:space="preserve"> : annuel (prudence — hypothyroïdie rare)</w:t>
      </w:r>
    </w:p>
    <w:p>
      <w:pPr>
        <w:pStyle w:val="ListBullet"/>
      </w:pPr>
      <w:r/>
      <w:r>
        <w:rPr>
          <w:b/>
        </w:rPr>
        <w:t>Conduite à tenir selon l'effet indésirable</w:t>
      </w:r>
      <w:r>
        <w:t xml:space="preserve"> :</w:t>
      </w:r>
    </w:p>
    <w:p>
      <w:r>
        <w:t xml:space="preserve">  </w:t>
      </w:r>
      <w:r>
        <w:rPr>
          <w:i/>
        </w:rPr>
        <w:t>Troubles digestifs précoces</w:t>
      </w:r>
      <w:r>
        <w:t xml:space="preserve"> : ne pas arrêter — préférer forme gastro-résistante (DEPAKINE) ou LP (CHRONO) — prise pendant repas — surveillance 1-2 semaines (souvent transitoire).</w:t>
      </w:r>
    </w:p>
    <w:p>
      <w:r>
        <w:t xml:space="preserve">  </w:t>
      </w:r>
      <w:r>
        <w:rPr>
          <w:i/>
        </w:rPr>
        <w:t>Tremblements fins</w:t>
      </w:r>
      <w:r>
        <w:t xml:space="preserve"> : propranolol 20-40 mg × 2/jour — vérifier valprémie (&gt; 100 mg/L → réduire dose).</w:t>
      </w:r>
    </w:p>
    <w:p>
      <w:r>
        <w:t xml:space="preserve">  </w:t>
      </w:r>
      <w:r>
        <w:rPr>
          <w:i/>
        </w:rPr>
        <w:t>Prise de poids excessive (&gt; 5 kg en 3 mois)</w:t>
      </w:r>
      <w:r>
        <w:t xml:space="preserve"> : conseils diététiques (régime hypocalorique, activité physique), surveillance métabolique — envisager switch vers lamotrigine (profil métabolique neutre).</w:t>
      </w:r>
    </w:p>
    <w:p>
      <w:r>
        <w:t xml:space="preserve">  </w:t>
      </w:r>
      <w:r>
        <w:rPr>
          <w:i/>
        </w:rPr>
        <w:t>Thrombopénie (&lt; 100 G/L)</w:t>
      </w:r>
      <w:r>
        <w:t xml:space="preserve"> : diminution dose de 25-50 % — surveillance plaquettes hebdomadaire — si &lt; 50 G/L : arrêt temporaire, recherche autre cause (auto-immune, médicamenteuse).</w:t>
      </w:r>
    </w:p>
    <w:p>
      <w:r>
        <w:t xml:space="preserve">  </w:t>
      </w:r>
      <w:r>
        <w:rPr>
          <w:i/>
        </w:rPr>
        <w:t>Cytolyse hépatique (ALAT × 3 N)</w:t>
      </w:r>
      <w:r>
        <w:t xml:space="preserve"> : surveillance rapprochée hebdomadaire — si ALAT × 5 N ou symptômes (asthénie, anorexie, ictère) : </w:t>
      </w:r>
      <w:r>
        <w:rPr>
          <w:b/>
        </w:rPr>
        <w:t>arrêt immédiat du valproate</w:t>
      </w:r>
      <w:r>
        <w:t>.</w:t>
      </w:r>
    </w:p>
    <w:p>
      <w:r>
        <w:t xml:space="preserve">  </w:t>
      </w:r>
      <w:r>
        <w:rPr>
          <w:i/>
        </w:rPr>
        <w:t>Hyperammoniémie symptomatique (confusion, léthargie)</w:t>
      </w:r>
      <w:r>
        <w:t xml:space="preserve"> : arrêt du valproate (ou diminution), recherche trouble du cycle de l'urée, traitement L-carnitine 100 mg/kg/jour (favorise élimination ammoniaque).</w:t>
      </w:r>
    </w:p>
    <w:p>
      <w:r>
        <w:t xml:space="preserve">  </w:t>
      </w:r>
      <w:r>
        <w:rPr>
          <w:i/>
        </w:rPr>
        <w:t>Pancréatite aiguë</w:t>
      </w:r>
      <w:r>
        <w:t xml:space="preserve"> : </w:t>
      </w:r>
      <w:r>
        <w:rPr>
          <w:b/>
        </w:rPr>
        <w:t>arrêt définitif du valproate</w:t>
      </w:r>
      <w:r>
        <w:t xml:space="preserve"> — hospitalisation urgente — CI définitive.</w:t>
      </w:r>
    </w:p>
    <w:p>
      <w:r>
        <w:t xml:space="preserve">  </w:t>
      </w:r>
      <w:r>
        <w:rPr>
          <w:i/>
        </w:rPr>
        <w:t>Éducation du patient</w:t>
      </w:r>
      <w:r>
        <w:t xml:space="preserve"> : carte de patient mentionnant le traitement, information sur les signes d'hépatotoxicité (asthénie, anorexie, vomissements, ictère), information sur les signes de pancréatite (douleur abdominale violente), information sur le programme PPP chez la femme en âge de procréer.</w:t>
      </w:r>
    </w:p>
    <w:p>
      <w:r/>
      <w:r>
        <w:rPr>
          <w:b/>
        </w:rPr>
        <w:t>Interactions Importantes :</w:t>
      </w:r>
      <w:r/>
    </w:p>
    <w:p>
      <w:pPr>
        <w:pStyle w:val="ListBullet"/>
      </w:pPr>
      <w:r/>
      <w:r>
        <w:rPr>
          <w:b/>
        </w:rPr>
        <w:t>Valproate + Lamotrigine</w:t>
      </w:r>
      <w:r>
        <w:t xml:space="preserve"> : </w:t>
      </w:r>
      <w:r>
        <w:rPr>
          <w:b/>
        </w:rPr>
        <w:t>interaction majeure</w:t>
      </w:r>
      <w:r>
        <w:t xml:space="preserve"> — le valproate inhibe la glucuronoconjugaison de la lamotrigine (UGT1A4, UGT2B7) → </w:t>
      </w:r>
      <w:r>
        <w:rPr>
          <w:b/>
        </w:rPr>
        <w:t>demi-vie de la lamotrigine × 2</w:t>
      </w:r>
      <w:r>
        <w:t xml:space="preserve"> (de 25 h à 50 h) → risque majoré de rash cutané sévère (Stevens-Johnson, Lyell). </w:t>
      </w:r>
      <w:r>
        <w:rPr>
          <w:b/>
        </w:rPr>
        <w:t>Adapter la dose de lamotrigine : titration réduite de moitié</w:t>
      </w:r>
      <w:r>
        <w:t xml:space="preserve"> (schéma à 25 mg tous les 2 semaines au lieu de 50 mg) — surveillance étroite.</w:t>
      </w:r>
    </w:p>
    <w:p>
      <w:pPr>
        <w:pStyle w:val="ListBullet"/>
      </w:pPr>
      <w:r/>
      <w:r>
        <w:rPr>
          <w:b/>
        </w:rPr>
        <w:t>Valproate + Aspirine (acide acétylsalicylique)</w:t>
      </w:r>
      <w:r>
        <w:t xml:space="preserve"> : déplacement de la liaison aux protéines plasmatiques (les deux fortement liés à l'albumine &gt; 90 %) → augmentation de la fraction libre de valproate → toxicité. </w:t>
      </w:r>
      <w:r>
        <w:rPr>
          <w:b/>
        </w:rPr>
        <w:t>Éviter</w:t>
      </w:r>
      <w:r>
        <w:t xml:space="preserve"> ou surveiller étroitement.</w:t>
      </w:r>
    </w:p>
    <w:p>
      <w:pPr>
        <w:pStyle w:val="ListBullet"/>
      </w:pPr>
      <w:r/>
      <w:r>
        <w:rPr>
          <w:b/>
        </w:rPr>
        <w:t>Valproate + Carbamazépine</w:t>
      </w:r>
      <w:r>
        <w:t xml:space="preserve"> : métabolisme hépatique compétitif (CYP450) → augmentation des concentrations de carbamazépine-époxyde (métabolite actif toxique) → toxicité neurologique (ataxie, somnolence). Surveillance clinique.</w:t>
      </w:r>
    </w:p>
    <w:p>
      <w:pPr>
        <w:pStyle w:val="ListBullet"/>
      </w:pPr>
      <w:r/>
      <w:r>
        <w:rPr>
          <w:b/>
        </w:rPr>
        <w:t>Valproate + Phénytoïne</w:t>
      </w:r>
      <w:r>
        <w:t xml:space="preserve"> : déplacement de la liaison aux protéines + inhibition du métabolisme → augmentation de la fraction libre de phénytoïne → toxicité. Surveillance phénytoïnémie.</w:t>
      </w:r>
    </w:p>
    <w:p>
      <w:pPr>
        <w:pStyle w:val="ListBullet"/>
      </w:pPr>
      <w:r/>
      <w:r>
        <w:rPr>
          <w:b/>
        </w:rPr>
        <w:t>Valproate + Phénobarbital</w:t>
      </w:r>
      <w:r>
        <w:t xml:space="preserve"> : inhibition du métabolisme du phénobarbital → sédation excessive.</w:t>
      </w:r>
    </w:p>
    <w:p>
      <w:pPr>
        <w:pStyle w:val="ListBullet"/>
      </w:pPr>
      <w:r/>
      <w:r>
        <w:rPr>
          <w:b/>
        </w:rPr>
        <w:t>Valproate + Lithium</w:t>
      </w:r>
      <w:r>
        <w:t xml:space="preserve"> : pas d'interaction pharmacocinétique significative, mais neurotoxicité synergique possible (léthargie, tremblements) — surveillance clinique.</w:t>
      </w:r>
    </w:p>
    <w:p>
      <w:pPr>
        <w:pStyle w:val="ListBullet"/>
      </w:pPr>
      <w:r/>
      <w:r>
        <w:rPr>
          <w:b/>
        </w:rPr>
        <w:t>Valproate + Anticoagulants oraux (warfarine)</w:t>
      </w:r>
      <w:r>
        <w:t xml:space="preserve"> : déplacement de la liaison aux protéines → augmentation INR — surveillance INR hebdomadaire pendant ajustement.</w:t>
      </w:r>
    </w:p>
    <w:p>
      <w:pPr>
        <w:pStyle w:val="ListBullet"/>
      </w:pPr>
      <w:r/>
      <w:r>
        <w:rPr>
          <w:b/>
        </w:rPr>
        <w:t>Valproate + Topiramate</w:t>
      </w:r>
      <w:r>
        <w:t xml:space="preserve"> : risque d'hyperammoniémie et d'encéphalopathie — surveillance clinique.</w:t>
      </w:r>
    </w:p>
    <w:p>
      <w:pPr>
        <w:pStyle w:val="ListBullet"/>
      </w:pPr>
      <w:r/>
      <w:r>
        <w:rPr>
          <w:b/>
        </w:rPr>
        <w:t>Valproate + Zidovudine (antirétroviral)</w:t>
      </w:r>
      <w:r>
        <w:t xml:space="preserve"> : augmentation des concentrations de zidovudine (inhibition du métabolisme) — surveillance.</w:t>
      </w:r>
    </w:p>
    <w:p>
      <w:pPr>
        <w:pStyle w:val="ListBullet"/>
      </w:pPr>
      <w:r/>
      <w:r>
        <w:rPr>
          <w:b/>
        </w:rPr>
        <w:t>Valproate + Méfloquine</w:t>
      </w:r>
      <w:r>
        <w:t xml:space="preserve"> : efficacité diminuée du valproate — surveiller rechute épileptique.</w:t>
      </w:r>
    </w:p>
    <w:p>
      <w:pPr>
        <w:pStyle w:val="ListBullet"/>
      </w:pPr>
      <w:r/>
      <w:r>
        <w:rPr>
          <w:b/>
        </w:rPr>
        <w:t>Valproate + Millepertuis (Hypericum perforatum)</w:t>
      </w:r>
      <w:r>
        <w:t xml:space="preserve"> : induction enzymatique (CYP3A4) — efficacité diminuée du valproate — éviter.</w:t>
      </w:r>
    </w:p>
    <w:p>
      <w:pPr>
        <w:pStyle w:val="ListBullet"/>
      </w:pPr>
      <w:r/>
      <w:r>
        <w:rPr>
          <w:b/>
        </w:rPr>
        <w:t>Valproate + Cimétidine</w:t>
      </w:r>
      <w:r>
        <w:t xml:space="preserve"> : inhibition du métabolisme du valproate — surveillance valprémie.</w:t>
      </w:r>
    </w:p>
    <w:p>
      <w:pPr>
        <w:pStyle w:val="ListBullet"/>
      </w:pPr>
      <w:r/>
      <w:r>
        <w:rPr>
          <w:b/>
        </w:rPr>
        <w:t>Valproate + Érythromycine/Clarithromycine</w:t>
      </w:r>
      <w:r>
        <w:t xml:space="preserve"> : inhibition du métabolisme hépatique — surveillance.</w:t>
      </w:r>
    </w:p>
    <w:p>
      <w:pPr>
        <w:pStyle w:val="ListBullet"/>
      </w:pPr>
      <w:r/>
      <w:r>
        <w:rPr>
          <w:b/>
        </w:rPr>
        <w:t>Valproate + Alcool</w:t>
      </w:r>
      <w:r>
        <w:t xml:space="preserve"> : majoration de la sédation et de la toxicité hépatique.</w:t>
      </w:r>
    </w:p>
    <w:p>
      <w:pPr>
        <w:pStyle w:val="ListBullet"/>
      </w:pPr>
      <w:r/>
      <w:r>
        <w:rPr>
          <w:b/>
        </w:rPr>
        <w:t>Valproate + Contraception orale</w:t>
      </w:r>
      <w:r>
        <w:t xml:space="preserve"> : pas d'interaction significative avec les estroprogestatifs (à la différence de la carbamazépine) — la contraception orale reste efficace sous valproate, mais le valproate reste CONTRE-INDIQUÉ chez la femme en âge de procréer (teratogénicité majeure indépendante de l'efficacité contraceptive).</w:t>
      </w:r>
    </w:p>
    <w:p>
      <w:r/>
      <w:r>
        <w:rPr>
          <w:b/>
        </w:rPr>
        <w:t>Grossesse et Allaitement :</w:t>
      </w:r>
      <w:r/>
    </w:p>
    <w:p>
      <w:pPr>
        <w:pStyle w:val="ListBullet"/>
      </w:pPr>
      <w:r/>
      <w:r>
        <w:rPr>
          <w:b/>
        </w:rPr>
        <w:t>Grossesse</w:t>
      </w:r>
      <w:r>
        <w:t xml:space="preserve"> : Le valproate passe librement le placenta (rapport fœto-maternel ~ 1,5-2). Selon CRAT, ANSM, EMA et recommandations internationales, le valproate est l'un des </w:t>
      </w:r>
      <w:r>
        <w:rPr>
          <w:b/>
        </w:rPr>
        <w:t>médicaments les plus tératogènes</w:t>
      </w:r>
      <w:r>
        <w:t xml:space="preserve"> de la pharmacopée :</w:t>
      </w:r>
    </w:p>
    <w:p>
      <w:pPr>
        <w:pStyle w:val="ListBullet"/>
      </w:pPr>
      <w:r/>
      <w:r>
        <w:rPr>
          <w:b/>
        </w:rPr>
        <w:t>CONTRE-INDICATION ABSOLUE chez la femme en âge de procréer sans contraception efficace</w:t>
      </w:r>
      <w:r>
        <w:t xml:space="preserve"> (programme PPP — Pregnancy Prevention Programme — obligatoire depuis 2018 EMA/ANSM) :</w:t>
      </w:r>
    </w:p>
    <w:p>
      <w:pPr>
        <w:pStyle w:val="ListBullet"/>
      </w:pPr>
      <w:r>
        <w:t>Contraception efficace documentée (DIU, implant sous-cutané, ou double contraception orale + préservatif)</w:t>
      </w:r>
    </w:p>
    <w:p>
      <w:pPr>
        <w:pStyle w:val="ListBullet"/>
      </w:pPr>
      <w:r>
        <w:t>Test de grossesse pré-thérapeutique (β-hCG)</w:t>
      </w:r>
    </w:p>
    <w:p>
      <w:pPr>
        <w:pStyle w:val="ListBullet"/>
      </w:pPr>
      <w:r>
        <w:t>Formulaire d'accord de soins signé par la patiente (information éclairée sur les risques)</w:t>
      </w:r>
    </w:p>
    <w:p>
      <w:pPr>
        <w:pStyle w:val="ListBullet"/>
      </w:pPr>
      <w:r>
        <w:t>Réévaluation annuelle du traitement par le psychiatre</w:t>
      </w:r>
    </w:p>
    <w:p>
      <w:pPr>
        <w:pStyle w:val="ListBullet"/>
      </w:pPr>
      <w:r>
        <w:t>Délivrance conditionnée à la présentation du formulaire signé</w:t>
      </w:r>
    </w:p>
    <w:p>
      <w:pPr>
        <w:pStyle w:val="ListBullet"/>
      </w:pPr>
      <w:r/>
      <w:r>
        <w:rPr>
          <w:b/>
        </w:rPr>
        <w:t>Risques tératogènes majeurs</w:t>
      </w:r>
      <w:r>
        <w:t xml:space="preserve"> :</w:t>
      </w:r>
    </w:p>
    <w:p>
      <w:pPr>
        <w:pStyle w:val="ListBullet"/>
      </w:pPr>
      <w:r/>
      <w:r>
        <w:rPr>
          <w:b/>
        </w:rPr>
        <w:t>Spina bifida</w:t>
      </w:r>
      <w:r>
        <w:t xml:space="preserve"> (anomalie de fermeture du tube neural) : 6-9 % des nouveau-nés exposés au 1er trimestre (vs 0,1 % population générale — risque relatif × 60-90)</w:t>
      </w:r>
    </w:p>
    <w:p>
      <w:pPr>
        <w:pStyle w:val="ListBullet"/>
      </w:pPr>
      <w:r/>
      <w:r>
        <w:rPr>
          <w:b/>
        </w:rPr>
        <w:t>Syndrome d'alcoolisme fœtal valproate (Fetal Valproate Syndrome)</w:t>
      </w:r>
      <w:r>
        <w:t xml:space="preserve"> : 10-40 % des nouveau-nés exposés — dysmorphie faciale caractéristique (front bombé, hypertélorisme, fentes palpébrales obliques, philtrum lisse, lèvres minces), retard de croissance intra-utérin, microcéphalie, malformations cardiaques (septum), membres (hypoplasie radiale, clinodactylie)</w:t>
      </w:r>
    </w:p>
    <w:p>
      <w:pPr>
        <w:pStyle w:val="ListBullet"/>
      </w:pPr>
      <w:r/>
      <w:r>
        <w:rPr>
          <w:b/>
        </w:rPr>
        <w:t>Troubles du spectre autistique</w:t>
      </w:r>
      <w:r>
        <w:t xml:space="preserve"> (TSA) : risque relatif × 5 (étude JAMA 2013, Christensen et al. — 8,9 % d'enfants exposés vs 1,5 % population générale)</w:t>
      </w:r>
    </w:p>
    <w:p>
      <w:pPr>
        <w:pStyle w:val="ListBullet"/>
      </w:pPr>
      <w:r/>
      <w:r>
        <w:rPr>
          <w:b/>
        </w:rPr>
        <w:t>Retard mental</w:t>
      </w:r>
      <w:r>
        <w:t xml:space="preserve"> : QI moyen diminué de 9-12 points vs témoins (étude NEJM 2009, Meador et al.)</w:t>
      </w:r>
    </w:p>
    <w:p>
      <w:pPr>
        <w:pStyle w:val="ListBullet"/>
      </w:pPr>
      <w:r/>
      <w:r>
        <w:rPr>
          <w:b/>
        </w:rPr>
        <w:t>Craniofaciosténose</w:t>
      </w:r>
      <w:r>
        <w:t xml:space="preserve"> (prémature fusion des sutures crâniennes)</w:t>
      </w:r>
    </w:p>
    <w:p>
      <w:pPr>
        <w:pStyle w:val="ListBullet"/>
      </w:pPr>
      <w:r/>
      <w:r>
        <w:rPr>
          <w:b/>
        </w:rPr>
        <w:t>Malformations cardiaques</w:t>
      </w:r>
      <w:r>
        <w:t xml:space="preserve"> (CIV, CIA, transposition)</w:t>
      </w:r>
    </w:p>
    <w:p>
      <w:pPr>
        <w:pStyle w:val="ListBullet"/>
      </w:pPr>
      <w:r/>
      <w:r>
        <w:rPr>
          <w:b/>
        </w:rPr>
        <w:t>Malformations urogénitales</w:t>
      </w:r>
      <w:r>
        <w:t xml:space="preserve"> (hypospadias)</w:t>
      </w:r>
    </w:p>
    <w:p>
      <w:pPr>
        <w:pStyle w:val="ListBullet"/>
      </w:pPr>
      <w:r/>
      <w:r>
        <w:rPr>
          <w:b/>
        </w:rPr>
        <w:t>Conduite à tenir en cas de grossesse programmée</w:t>
      </w:r>
      <w:r>
        <w:t xml:space="preserve"> : </w:t>
      </w:r>
      <w:r>
        <w:rPr>
          <w:b/>
        </w:rPr>
        <w:t>arrêt progressif du valproate 6 mois avant conception</w:t>
      </w:r>
      <w:r>
        <w:t xml:space="preserve"> (wash-out pour éliminer le valproate du pool lipidique tissulaire) avec switch vers une alternative plus sûre (lamotrigine — profil tératogène le plus favorable ; antipsychotique atypique — aripiprazole, olanzapine)</w:t>
      </w:r>
    </w:p>
    <w:p>
      <w:pPr>
        <w:pStyle w:val="ListBullet"/>
      </w:pPr>
      <w:r/>
      <w:r>
        <w:rPr>
          <w:b/>
        </w:rPr>
        <w:t>En cas de grossesse non programmée</w:t>
      </w:r>
      <w:r>
        <w:t xml:space="preserve"> sous valproate : </w:t>
      </w:r>
      <w:r>
        <w:rPr>
          <w:b/>
        </w:rPr>
        <w:t>ne pas arrêter brutalement</w:t>
      </w:r>
      <w:r>
        <w:t xml:space="preserve"> (risque de rechute maniaque aiguë menaçant le pronostic fœtal) — orientation urgente psychiatrie-périnatale spécialisée — décision collégiale (poursuite à dose minimale efficace si bénéfice &gt; risque, ou switch vers lamotrigine)</w:t>
      </w:r>
    </w:p>
    <w:p>
      <w:pPr>
        <w:pStyle w:val="ListBullet"/>
      </w:pPr>
      <w:r/>
      <w:r>
        <w:rPr>
          <w:b/>
        </w:rPr>
        <w:t>Supplémentation acide folique</w:t>
      </w:r>
      <w:r>
        <w:t xml:space="preserve"> 5 mg/jour préconceptionnelle et pendant 1er trimestre (réduction du risque de spina bifida de 70 %)</w:t>
      </w:r>
    </w:p>
    <w:p>
      <w:pPr>
        <w:pStyle w:val="ListBullet"/>
      </w:pPr>
      <w:r/>
      <w:r>
        <w:rPr>
          <w:b/>
        </w:rPr>
        <w:t>Échographie morphologique spécialisée</w:t>
      </w:r>
      <w:r>
        <w:t xml:space="preserve"> à 18-22 SA (recherche spina bifida, malformations cardiaques, craniofaciosténose)</w:t>
      </w:r>
    </w:p>
    <w:p>
      <w:pPr>
        <w:pStyle w:val="ListBullet"/>
      </w:pPr>
      <w:r/>
      <w:r>
        <w:rPr>
          <w:b/>
        </w:rPr>
        <w:t>Allaitement</w:t>
      </w:r>
      <w:r>
        <w:t xml:space="preserve"> : Le valproate passe dans le lait maternel (rapport lait/plasma ~ 5-10 %, soit concentrations lactées 0,1-1 % de la dose maternelle). Selon CRAT :</w:t>
      </w:r>
    </w:p>
    <w:p>
      <w:pPr>
        <w:pStyle w:val="ListBullet"/>
      </w:pPr>
      <w:r/>
      <w:r>
        <w:rPr>
          <w:b/>
        </w:rPr>
        <w:t>Compatible avec l'allaitement</w:t>
      </w:r>
      <w:r>
        <w:t xml:space="preserve"> à doses usuelles (500-1500 mg/jour) sous surveillance de l'enfant (somnolence, hypotonie, troubles digestifs, prise de poids)</w:t>
      </w:r>
    </w:p>
    <w:p>
      <w:pPr>
        <w:pStyle w:val="ListBullet"/>
      </w:pPr>
      <w:r>
        <w:t>Surveillance : examen clinique hebdomadaire les 2 premiers mois, NFS et bilan hépatique de l'enfant à 1 et 3 mois</w:t>
      </w:r>
    </w:p>
    <w:p>
      <w:pPr>
        <w:pStyle w:val="ListBullet"/>
      </w:pPr>
      <w:r/>
      <w:r>
        <w:rPr>
          <w:b/>
        </w:rPr>
        <w:t>Contre-indication relative</w:t>
      </w:r>
      <w:r>
        <w:t xml:space="preserve"> si doses &gt; 2000 mg/jour, prématurité, hyperbilirubinémie néonatale, trouble métabolique</w:t>
      </w:r>
    </w:p>
    <w:p>
      <w:pPr>
        <w:pStyle w:val="ListBullet"/>
      </w:pPr>
      <w:r/>
      <w:r>
        <w:rPr>
          <w:b/>
        </w:rPr>
        <w:t>Précisions importantes pour le pharmacien d'officine algérien</w:t>
      </w:r>
      <w:r>
        <w:t xml:space="preserve"> :</w:t>
      </w:r>
    </w:p>
    <w:p>
      <w:pPr>
        <w:pStyle w:val="ListBullet"/>
      </w:pPr>
      <w:r/>
      <w:r>
        <w:rPr>
          <w:b/>
        </w:rPr>
        <w:t>Toute prescription de valproate chez une femme en âge de procréer doit déclencher une vigilance immédiate</w:t>
      </w:r>
      <w:r>
        <w:t xml:space="preserve"> du pharmacien — vérifier :</w:t>
      </w:r>
    </w:p>
    <w:p>
      <w:pPr>
        <w:pStyle w:val="ListNumber"/>
      </w:pPr>
      <w:r>
        <w:t>Contraception efficace documentée (DIU, implant, ou double contraception)</w:t>
      </w:r>
    </w:p>
    <w:p>
      <w:pPr>
        <w:pStyle w:val="ListNumber"/>
      </w:pPr>
      <w:r>
        <w:t>Test de grossesse négatif récent</w:t>
      </w:r>
    </w:p>
    <w:p>
      <w:pPr>
        <w:pStyle w:val="ListNumber"/>
      </w:pPr>
      <w:r>
        <w:t>Formulaire d'accord de soins signé par la patiente (programme PPP)</w:t>
      </w:r>
    </w:p>
    <w:p>
      <w:pPr>
        <w:pStyle w:val="ListBullet"/>
      </w:pPr>
      <w:r>
        <w:t>Si un de ces éléments manque : refuser la délivrance et orientation vers le médecin prescripteur</w:t>
      </w:r>
    </w:p>
    <w:p>
      <w:pPr>
        <w:pStyle w:val="ListBullet"/>
      </w:pPr>
      <w:r>
        <w:t>En cas de doute : consulter le CRAT ou orientation vers centre de pharmacovigilance</w:t>
      </w:r>
    </w:p>
    <w:p>
      <w:pPr>
        <w:pStyle w:val="ListBullet"/>
      </w:pPr>
      <w:r>
        <w:t>Sensibiliser la patiente aux signes de grossesse (retard de règles, nausées matinales) et à l'importance d'un test de grossesse précoce en cas de doute</w:t>
      </w:r>
    </w:p>
    <w:p>
      <w:r/>
      <w:r>
        <w:rPr>
          <w:b/>
        </w:rPr>
        <w:t>Posologie et Mode d'administration (Standard) :</w:t>
      </w:r>
      <w:r/>
    </w:p>
    <w:p>
      <w:pPr>
        <w:pStyle w:val="ListBullet"/>
      </w:pPr>
      <w:r/>
      <w:r>
        <w:rPr>
          <w:b/>
        </w:rPr>
        <w:t>Adulte</w:t>
      </w:r>
      <w:r>
        <w:t xml:space="preserve"> :</w:t>
      </w:r>
    </w:p>
    <w:p>
      <w:pPr>
        <w:pStyle w:val="ListBullet"/>
      </w:pPr>
      <w:r/>
      <w:r>
        <w:rPr>
          <w:b/>
        </w:rPr>
        <w:t>Initiation</w:t>
      </w:r>
      <w:r>
        <w:t xml:space="preserve"> : 500 mg/jour (1 comprimé LP à 500 mg, ou 2 comprimés gastro-résistants à 200 mg + 1 × 100 mg)</w:t>
      </w:r>
    </w:p>
    <w:p>
      <w:pPr>
        <w:pStyle w:val="ListBullet"/>
      </w:pPr>
      <w:r/>
      <w:r>
        <w:rPr>
          <w:b/>
        </w:rPr>
        <w:t>Adaptation posologique</w:t>
      </w:r>
      <w:r>
        <w:t xml:space="preserve"> : augmentation par paliers de 3-7 jours, par increments de 200-500 mg/jour</w:t>
      </w:r>
    </w:p>
    <w:p>
      <w:pPr>
        <w:pStyle w:val="ListBullet"/>
      </w:pPr>
      <w:r/>
      <w:r>
        <w:rPr>
          <w:b/>
        </w:rPr>
        <w:t>Dose d'entretien habituelle</w:t>
      </w:r>
      <w:r>
        <w:t xml:space="preserve"> : 1000-2000 mg/jour (soit 20-30 mg/kg/jour) — en 1 prise (LP) ou 2-3 prises (LI gastro-résistant)</w:t>
      </w:r>
    </w:p>
    <w:p>
      <w:pPr>
        <w:pStyle w:val="ListBullet"/>
      </w:pPr>
      <w:r/>
      <w:r>
        <w:rPr>
          <w:b/>
        </w:rPr>
        <w:t>Manie aiguë</w:t>
      </w:r>
      <w:r>
        <w:t xml:space="preserve"> : 1500-2500 mg/jour — efficacité en 7-14 jours</w:t>
      </w:r>
    </w:p>
    <w:p>
      <w:pPr>
        <w:pStyle w:val="ListBullet"/>
      </w:pPr>
      <w:r/>
      <w:r>
        <w:rPr>
          <w:b/>
        </w:rPr>
        <w:t>Prévention des rechutes</w:t>
      </w:r>
      <w:r>
        <w:t xml:space="preserve"> : 500-1500 mg/jour — valprémie cible 50-100 mg/L</w:t>
      </w:r>
    </w:p>
    <w:p>
      <w:pPr>
        <w:pStyle w:val="ListBullet"/>
      </w:pPr>
      <w:r/>
      <w:r>
        <w:rPr>
          <w:b/>
        </w:rPr>
        <w:t>Épilepsie</w:t>
      </w:r>
      <w:r>
        <w:t xml:space="preserve"> : 20-30 mg/kg/jour (soit 1500-2000 mg/jour adulte moyen)</w:t>
      </w:r>
    </w:p>
    <w:p>
      <w:pPr>
        <w:pStyle w:val="ListBullet"/>
      </w:pPr>
      <w:r/>
      <w:r>
        <w:rPr>
          <w:b/>
        </w:rPr>
        <w:t>Sujet âgé (&gt; 65 ans)</w:t>
      </w:r>
      <w:r>
        <w:t xml:space="preserve"> : dose initiale réduite à 250-500 mg/jour — augmentation progressive — surveillance accrue (somnolence, déshydratation, hyponatrémie) — valprémie cible plus basse (40-80 mg/L)</w:t>
      </w:r>
    </w:p>
    <w:p>
      <w:pPr>
        <w:pStyle w:val="ListBullet"/>
      </w:pPr>
      <w:r/>
      <w:r>
        <w:rPr>
          <w:b/>
        </w:rPr>
        <w:t>Insuffisance rénale</w:t>
      </w:r>
      <w:r>
        <w:t xml:space="preserve"> : pas d'adaptation posologique stricte (métabolisme hépatique dominant) — mais surveillance accrue en IR sévère (DFG &lt; 30 mL/min) — risque d'accumulation de métabolites</w:t>
      </w:r>
    </w:p>
    <w:p>
      <w:pPr>
        <w:pStyle w:val="ListBullet"/>
      </w:pPr>
      <w:r/>
      <w:r>
        <w:rPr>
          <w:b/>
        </w:rPr>
        <w:t>Insuffisance hépatique</w:t>
      </w:r>
      <w:r>
        <w:t xml:space="preserve"> : </w:t>
      </w:r>
      <w:r>
        <w:rPr>
          <w:b/>
        </w:rPr>
        <w:t>CI absolue</w:t>
      </w:r>
      <w:r>
        <w:t xml:space="preserve"> (hépatopathie active, antécédent d'hépatotoxicité au valproate)</w:t>
      </w:r>
    </w:p>
    <w:p>
      <w:pPr>
        <w:pStyle w:val="ListBullet"/>
      </w:pPr>
      <w:r/>
      <w:r>
        <w:rPr>
          <w:b/>
        </w:rPr>
        <w:t>Durée</w:t>
      </w:r>
      <w:r>
        <w:t xml:space="preserve"> : traitement </w:t>
      </w:r>
      <w:r>
        <w:rPr>
          <w:b/>
        </w:rPr>
        <w:t>au long cours à vie</w:t>
      </w:r>
      <w:r>
        <w:t xml:space="preserve"> dans le trouble bipolaire (l'arrêt expose à un risque de rechute &gt; 50 % à 1 an) — arrêt éventuel à décider avec psychiatre, progressif sur 4-6 semaines minimum</w:t>
      </w:r>
    </w:p>
    <w:p>
      <w:pPr>
        <w:pStyle w:val="ListBullet"/>
      </w:pPr>
      <w:r/>
      <w:r>
        <w:rPr>
          <w:b/>
        </w:rPr>
        <w:t>Moment de la prise</w:t>
      </w:r>
      <w:r>
        <w:t xml:space="preserve"> :</w:t>
      </w:r>
    </w:p>
    <w:p>
      <w:pPr>
        <w:pStyle w:val="ListBullet"/>
      </w:pPr>
      <w:r/>
      <w:r>
        <w:rPr>
          <w:b/>
        </w:rPr>
        <w:t>Forme gastro-résistante (DEPAKINE)</w:t>
      </w:r>
      <w:r>
        <w:t xml:space="preserve"> : 2-3 prises par jour pendant ou après les repas (réduit les nausées)</w:t>
      </w:r>
    </w:p>
    <w:p>
      <w:pPr>
        <w:pStyle w:val="ListBullet"/>
      </w:pPr>
      <w:r/>
      <w:r>
        <w:rPr>
          <w:b/>
        </w:rPr>
        <w:t>Forme LP (DEPAKINE CHRONO)</w:t>
      </w:r>
      <w:r>
        <w:t xml:space="preserve"> : monoprise vespérale (préférentielle) ou biprise (matin et soir) — espacement pour minimiser les pics sériques</w:t>
      </w:r>
    </w:p>
    <w:p>
      <w:pPr>
        <w:pStyle w:val="ListBullet"/>
      </w:pPr>
      <w:r/>
      <w:r>
        <w:rPr>
          <w:b/>
        </w:rPr>
        <w:t>Solution buvable</w:t>
      </w:r>
      <w:r>
        <w:t xml:space="preserve"> : 2-3 prises par jour — utiliser la seringue doseuse fournie (pas de cuillère à café — erreur de dosage majeure)</w:t>
      </w:r>
    </w:p>
    <w:p>
      <w:pPr>
        <w:pStyle w:val="ListBullet"/>
      </w:pPr>
      <w:r/>
      <w:r>
        <w:rPr>
          <w:b/>
        </w:rPr>
        <w:t>Sirop</w:t>
      </w:r>
      <w:r>
        <w:t xml:space="preserve"> : principalement réservé à l'enfant — utilisation seringue doseuse</w:t>
      </w:r>
    </w:p>
    <w:p>
      <w:r/>
      <w:r>
        <w:rPr>
          <w:b/>
        </w:rPr>
        <w:t>Arbitrage et Bénéfices des Formes Galéniques :</w:t>
      </w:r>
      <w:r/>
    </w:p>
    <w:p>
      <w:pPr>
        <w:pStyle w:val="ListBullet"/>
      </w:pPr>
      <w:r/>
      <w:r>
        <w:rPr>
          <w:b/>
        </w:rPr>
        <w:t>Forme gastro-résistante (DEPAKINE, ENCORATE)</w:t>
      </w:r>
      <w:r>
        <w:t xml:space="preserve"> : comprimé à enrobage gastro-résistant — libération du principe actif dans le duodénum — réduit les nausées et douleurs épigastriques (vs comprimé classique non gastro-résistant) — pic sérique 3-5 h après prise — 2-3 prises par jour</w:t>
      </w:r>
    </w:p>
    <w:p>
      <w:pPr>
        <w:pStyle w:val="ListBullet"/>
      </w:pPr>
      <w:r/>
      <w:r>
        <w:rPr>
          <w:b/>
        </w:rPr>
        <w:t>Forme LP (DEPAKINE CHRONO, EPILKINE CHRONO, VALPROATE CHRONO, VALPROCIDE GS CHRONO)</w:t>
      </w:r>
      <w:r>
        <w:t xml:space="preserve"> : comprimé pelliculé à libération prolongée — profil sérique plus stable — pic sérique réduit et retardé (6-12 h) — monoprise ou biprise — meilleure tolérance digestive et neurologique (tremblements réduits) — observance améliorée — </w:t>
      </w:r>
      <w:r>
        <w:rPr>
          <w:b/>
        </w:rPr>
        <w:t>forme à privilégier en entretien</w:t>
      </w:r>
      <w:r>
        <w:t xml:space="preserve"> selon recommandations internationales</w:t>
      </w:r>
    </w:p>
    <w:p>
      <w:pPr>
        <w:pStyle w:val="ListBullet"/>
      </w:pPr>
      <w:r/>
      <w:r>
        <w:rPr>
          <w:b/>
        </w:rPr>
        <w:t>Solution buvable (CONVEP, IPAKINE, ISOLEP, MEVAKINE, PAKEDAL, PHYSIOLONE, VALPROATE AFRO, VALPROATE DE SODIUM BGL)</w:t>
      </w:r>
      <w:r>
        <w:t xml:space="preserve"> : indiquée pour adaptation fine de dose (sujet âgé, enfant, dose fractionnée) — utilisation seringue doseuse obligatoire — conservation 1 mois après ouverture (recommandation)</w:t>
      </w:r>
    </w:p>
    <w:p>
      <w:pPr>
        <w:pStyle w:val="ListBullet"/>
      </w:pPr>
      <w:r/>
      <w:r>
        <w:rPr>
          <w:b/>
        </w:rPr>
        <w:t>Sirop (SOPVAL 200 mg/5 mL)</w:t>
      </w:r>
      <w:r>
        <w:t xml:space="preserve"> : principalement réservé à la pédiatrie (épilepsie de l'enfant) — goût acceptable — utilisation cuillère mesure ou seringue doseuse</w:t>
      </w:r>
    </w:p>
    <w:p>
      <w:r/>
      <w:r>
        <w:rPr>
          <w:b/>
        </w:rPr>
        <w:t>Instructions et Conseils au Patient :</w:t>
      </w:r>
      <w:r/>
    </w:p>
    <w:p>
      <w:pPr>
        <w:pStyle w:val="ListBullet"/>
      </w:pPr>
      <w:r/>
      <w:r>
        <w:rPr>
          <w:b/>
        </w:rPr>
        <w:t>Communication au comptoir</w:t>
      </w:r>
      <w:r>
        <w:t xml:space="preserve"> :</w:t>
      </w:r>
    </w:p>
    <w:p>
      <w:pPr>
        <w:pStyle w:val="ListBullet"/>
      </w:pPr>
      <w:r>
        <w:t>« Ce médicament est un régulateur d'humeur qui doit être pris tous les jours, même quand vous vous sentez bien »</w:t>
      </w:r>
    </w:p>
    <w:p>
      <w:pPr>
        <w:pStyle w:val="ListBullet"/>
      </w:pPr>
      <w:r/>
      <w:r>
        <w:rPr>
          <w:b/>
        </w:rPr>
        <w:t>Chez la femme en âge de procréer</w:t>
      </w:r>
      <w:r>
        <w:t xml:space="preserve"> (information systématique et obligatoire) :</w:t>
      </w:r>
    </w:p>
    <w:p>
      <w:pPr>
        <w:pStyle w:val="ListBullet"/>
      </w:pPr>
      <w:r>
        <w:t>« Le valproate peut causer des malformations graves chez le bébé à naître (spina bifida, malformations cardiaques, troubles du développement) »</w:t>
      </w:r>
    </w:p>
    <w:p>
      <w:pPr>
        <w:pStyle w:val="ListBullet"/>
      </w:pPr>
      <w:r>
        <w:t>« Vous devez utiliser une contraception efficace pendant tout le traitement et jusqu'à 1 mois après l'arrêt »</w:t>
      </w:r>
    </w:p>
    <w:p>
      <w:pPr>
        <w:pStyle w:val="ListBullet"/>
      </w:pPr>
      <w:r>
        <w:t>« Si vous souhaitez être enceinte, parlez-en à votre médecin AU MOINS 6 MOIS avant d'arrêter la contraception »</w:t>
      </w:r>
    </w:p>
    <w:p>
      <w:pPr>
        <w:pStyle w:val="ListBullet"/>
      </w:pPr>
      <w:r>
        <w:t>« Si vous pensez être enceinte, ne pas arrêter le traitement brutalement — consultez immédiatement votre médecin »</w:t>
      </w:r>
    </w:p>
    <w:p>
      <w:pPr>
        <w:pStyle w:val="ListBullet"/>
      </w:pPr>
      <w:r>
        <w:t>Présenter le formulaire d'accord de soins (programme PPP) à signer</w:t>
      </w:r>
    </w:p>
    <w:p>
      <w:pPr>
        <w:pStyle w:val="ListBullet"/>
      </w:pPr>
      <w:r>
        <w:t>« Prenez le médicament pendant les repas pour réduire les nausées »</w:t>
      </w:r>
    </w:p>
    <w:p>
      <w:pPr>
        <w:pStyle w:val="ListBullet"/>
      </w:pPr>
      <w:r>
        <w:t>« Faites les prises de sang régulières (bilan hépatique, NFS, plaquettes) selon le planning de votre médecin »</w:t>
      </w:r>
    </w:p>
    <w:p>
      <w:pPr>
        <w:pStyle w:val="ListBullet"/>
      </w:pPr>
      <w:r>
        <w:t>« Signalez immédiatement ces signes : fatigue intense, jaunisse, douleurs au ventre intenses, vomissements importants, ecchymoses, saignements »</w:t>
      </w:r>
    </w:p>
    <w:p>
      <w:pPr>
        <w:pStyle w:val="ListBullet"/>
      </w:pPr>
      <w:r>
        <w:t>« Évitez l'alcool (augmente la toxicité hépatique) »</w:t>
      </w:r>
    </w:p>
    <w:p>
      <w:pPr>
        <w:pStyle w:val="ListBullet"/>
      </w:pPr>
      <w:r>
        <w:t>« Signalez à tout médecin consulté que vous êtes sous valproate »</w:t>
      </w:r>
    </w:p>
    <w:p>
      <w:pPr>
        <w:pStyle w:val="ListBullet"/>
      </w:pPr>
      <w:r/>
      <w:r>
        <w:rPr>
          <w:b/>
        </w:rPr>
        <w:t>Mode d'utilisation pratique</w:t>
      </w:r>
      <w:r>
        <w:t xml:space="preserve"> :</w:t>
      </w:r>
    </w:p>
    <w:p>
      <w:pPr>
        <w:pStyle w:val="ListNumber"/>
      </w:pPr>
      <w:r>
        <w:t>Prendre le médicament à heure fixe chaque jour (soir pour LP ; matin/soir pour LI)</w:t>
      </w:r>
    </w:p>
    <w:p>
      <w:pPr>
        <w:pStyle w:val="ListNumber"/>
      </w:pPr>
      <w:r>
        <w:t>Avaler les comprimés LP entiers (ne pas écraser ni croquer — détruit la matrice LP)</w:t>
      </w:r>
    </w:p>
    <w:p>
      <w:pPr>
        <w:pStyle w:val="ListNumber"/>
      </w:pPr>
      <w:r>
        <w:t>Utiliser la seringue doseuse pour solution buvable (jamais de cuillère à café)</w:t>
      </w:r>
    </w:p>
    <w:p>
      <w:pPr>
        <w:pStyle w:val="ListNumber"/>
      </w:pPr>
      <w:r>
        <w:t>Effectuer la valprémie le matin à jeun, 12 h après la dernière prise</w:t>
      </w:r>
    </w:p>
    <w:p>
      <w:pPr>
        <w:pStyle w:val="ListNumber"/>
      </w:pPr>
      <w:r>
        <w:t>Noter les résultats dans un carnet de suivi</w:t>
      </w:r>
    </w:p>
    <w:p>
      <w:pPr>
        <w:pStyle w:val="ListNumber"/>
      </w:pPr>
      <w:r>
        <w:t>En cas d'oubli : ne pas doubler la dose suivante — prendre la dose oubliée si &lt; 4 h, sinon sauter</w:t>
      </w:r>
    </w:p>
    <w:p>
      <w:pPr>
        <w:pStyle w:val="ListNumber"/>
      </w:pPr>
      <w:r>
        <w:t>Femme en âge de procréer : test de grossesse si retard de règles &gt; 5 jours</w:t>
      </w:r>
    </w:p>
    <w:p>
      <w:pPr>
        <w:pStyle w:val="ListNumber"/>
      </w:pPr>
      <w:r>
        <w:t>Éviter la consommation d'alcool (toxicité hépatique additive)</w:t>
      </w:r>
    </w:p>
    <w:p>
      <w:r/>
      <w:r>
        <w:rPr>
          <w:b/>
        </w:rPr>
        <w:t>Notes, Règles d'Or &amp; Pièges au Comptoir :</w:t>
      </w:r>
      <w:r/>
    </w:p>
    <w:p>
      <w:pPr>
        <w:pStyle w:val="ListBullet"/>
      </w:pPr>
      <w:r/>
      <w:r>
        <w:rPr>
          <w:b/>
        </w:rPr>
        <w:t>Piège classique</w:t>
      </w:r>
      <w:r>
        <w:t xml:space="preserve"> :</w:t>
      </w:r>
    </w:p>
    <w:p>
      <w:pPr>
        <w:pStyle w:val="ListBullet"/>
      </w:pPr>
      <w:r/>
      <w:r>
        <w:rPr>
          <w:b/>
        </w:rPr>
        <w:t>Prescription chez femme en âge de procréer sans contraception documentée</w:t>
      </w:r>
      <w:r>
        <w:t xml:space="preserve"> (programme PPP) — refus de délivrance et orientation médicale obligatoire</w:t>
      </w:r>
    </w:p>
    <w:p>
      <w:pPr>
        <w:pStyle w:val="ListBullet"/>
      </w:pPr>
      <w:r/>
      <w:r>
        <w:rPr>
          <w:b/>
        </w:rPr>
        <w:t>Découverte de grossesse</w:t>
      </w:r>
      <w:r>
        <w:t xml:space="preserve"> sous valproate — ne pas arrêter brutalement (risque de rechute maniaque) — orientation urgente psychiatrie-périnatale — supplémentation acide folique 5 mg/jour</w:t>
      </w:r>
    </w:p>
    <w:p>
      <w:pPr>
        <w:pStyle w:val="ListBullet"/>
      </w:pPr>
      <w:r/>
      <w:r>
        <w:rPr>
          <w:b/>
        </w:rPr>
        <w:t>Thrombopénie non surveillée</w:t>
      </w:r>
      <w:r>
        <w:t xml:space="preserve"> — patient présentant ecchymoses, saignements gingivaux, épistaxis sous valproate — demander NFS-plaquettes en urgence</w:t>
      </w:r>
    </w:p>
    <w:p>
      <w:pPr>
        <w:pStyle w:val="ListBullet"/>
      </w:pPr>
      <w:r/>
      <w:r>
        <w:rPr>
          <w:b/>
        </w:rPr>
        <w:t>Hépatotoxicité</w:t>
      </w:r>
      <w:r>
        <w:t xml:space="preserve"> — patient présentant asthénie marquée, anorexie, vomissements, ictère — arrêt immédiat et bilan hépatique urgent</w:t>
      </w:r>
    </w:p>
    <w:p>
      <w:pPr>
        <w:pStyle w:val="ListBullet"/>
      </w:pPr>
      <w:r/>
      <w:r>
        <w:rPr>
          <w:b/>
        </w:rPr>
        <w:t>Pancréatite aiguë</w:t>
      </w:r>
      <w:r>
        <w:t xml:space="preserve"> — patient présentant douleur abdominale violente épigastrique irradiant en barre + vomissements — urgence chirurgicale — arrêt définitif du valproate (CI définitive)</w:t>
      </w:r>
    </w:p>
    <w:p>
      <w:pPr>
        <w:pStyle w:val="ListBullet"/>
      </w:pPr>
      <w:r/>
      <w:r>
        <w:rPr>
          <w:b/>
        </w:rPr>
        <w:t>Interaction avec lamotrigine</w:t>
      </w:r>
      <w:r>
        <w:t xml:space="preserve"> — titration réduite de moitié (rash cutané si oubli)</w:t>
      </w:r>
    </w:p>
    <w:p>
      <w:pPr>
        <w:pStyle w:val="ListBullet"/>
      </w:pPr>
      <w:r/>
      <w:r>
        <w:rPr>
          <w:b/>
        </w:rPr>
        <w:t>Confusion des formes</w:t>
      </w:r>
      <w:r>
        <w:t xml:space="preserve"> — gastro-résistant (LI) vs LP (CHRONO) — vérification à la délivrance (les LP ne doivent pas être écrasés)</w:t>
      </w:r>
    </w:p>
    <w:p>
      <w:pPr>
        <w:pStyle w:val="ListBullet"/>
      </w:pPr>
      <w:r/>
      <w:r>
        <w:rPr>
          <w:b/>
        </w:rPr>
        <w:t>Substitution de marques non renouvelables</w:t>
      </w:r>
      <w:r>
        <w:t xml:space="preserve"> (EPIVAL, VALKINE) → orientation vers DEPAKINE ou générique actif (CONVEP, DEPAKINE CHRONO, etc.)</w:t>
      </w:r>
    </w:p>
    <w:p>
      <w:pPr>
        <w:pStyle w:val="ListBullet"/>
      </w:pPr>
      <w:r/>
      <w:r>
        <w:rPr>
          <w:b/>
        </w:rPr>
        <w:t>Acide valproique (CONVULEX Gerot) RETIRÉ</w:t>
      </w:r>
      <w:r>
        <w:t xml:space="preserve"> — orientation vers valproate de sodium (DEPAKINE)</w:t>
      </w:r>
    </w:p>
    <w:p>
      <w:pPr>
        <w:pStyle w:val="ListBullet"/>
      </w:pPr>
      <w:r/>
      <w:r>
        <w:rPr>
          <w:b/>
        </w:rPr>
        <w:t>Règle de prise</w:t>
      </w:r>
      <w:r>
        <w:t xml:space="preserve"> : prise pendant ou après repas (réduit nausées) — monoprise vespérale pour forme LP — hydratation régulière 1,5 L/jour</w:t>
      </w:r>
    </w:p>
    <w:p>
      <w:pPr>
        <w:pStyle w:val="ListBullet"/>
      </w:pPr>
      <w:r/>
      <w:r>
        <w:rPr>
          <w:b/>
        </w:rPr>
        <w:t>Préparation et Conservation</w:t>
      </w:r>
      <w:r>
        <w:t xml:space="preserve"> : conservation à température ambiante &lt; 25 °C, à l'abri de l'humidité — solution buvable : conservation 1 mois après ouverture (recommandation) — sirop : conservation 1 mois après ouverture — ne pas congeler</w:t>
      </w:r>
    </w:p>
    <w:p>
      <w:pPr>
        <w:pStyle w:val="ListBullet"/>
      </w:pPr>
      <w:r/>
      <w:r>
        <w:rPr>
          <w:b/>
        </w:rPr>
        <w:t>Piège du surdosage / Substitution</w:t>
      </w:r>
      <w:r>
        <w:t xml:space="preserve"> :</w:t>
      </w:r>
    </w:p>
    <w:p>
      <w:pPr>
        <w:pStyle w:val="ListBullet"/>
      </w:pPr>
      <w:r/>
      <w:r>
        <w:rPr>
          <w:b/>
        </w:rPr>
        <w:t>Surdosage volontaire</w:t>
      </w:r>
      <w:r>
        <w:t xml:space="preserve"> (tentative de suicide) — urgence médicale — hospitalisation réanimation — symptômes : somnolence, coma, dépression respiratoire, hypotension, hyporéflexie — traitement symptomatique (réhydratation IV, surveillance ECG) — hémodialyse peu efficace (liaison protéique élevée)</w:t>
      </w:r>
    </w:p>
    <w:p>
      <w:pPr>
        <w:pStyle w:val="ListBullet"/>
      </w:pPr>
      <w:r/>
      <w:r>
        <w:rPr>
          <w:b/>
        </w:rPr>
        <w:t>Substitution EPIVAL (non renouvelable)</w:t>
      </w:r>
      <w:r>
        <w:t xml:space="preserve"> → DEPAKINE ou générique actif (CONVEP, IPAKINE, etc.) — équivalence dose-pour-dose</w:t>
      </w:r>
    </w:p>
    <w:p>
      <w:pPr>
        <w:pStyle w:val="ListBullet"/>
      </w:pPr>
      <w:r/>
      <w:r>
        <w:rPr>
          <w:b/>
        </w:rPr>
        <w:t>Substitution VALKINE (non renouvelable)</w:t>
      </w:r>
      <w:r>
        <w:t xml:space="preserve"> → autre solution buvable (CONVEP, IPAKINE, ISOLEP, MEVAKINE, etc.) — équivalence dose-pour-dose</w:t>
      </w:r>
    </w:p>
    <w:p>
      <w:pPr>
        <w:pStyle w:val="ListBullet"/>
      </w:pPr>
      <w:r/>
      <w:r>
        <w:rPr>
          <w:b/>
        </w:rPr>
        <w:t>Substitution acide valproique CONVULEX (retiré)</w:t>
      </w:r>
      <w:r>
        <w:t xml:space="preserve"> → valproate de sodium (DEPAKINE) — équivalence approximative en mmol (acide valproique 200 mg ≈ valproate de sodium 222 mg)</w:t>
      </w:r>
    </w:p>
    <w:p>
      <w:pPr>
        <w:pStyle w:val="ListBullet"/>
      </w:pPr>
      <w:r/>
      <w:r>
        <w:rPr>
          <w:b/>
        </w:rPr>
        <w:t>Erreur de dosage par confusion solution buvable 200 mg/mL vs sirop 200 mg/5 mL</w:t>
      </w:r>
      <w:r>
        <w:t xml:space="preserve"> — vérifier systématiquement l'unité à la délivrance — risque de surdosage × 5</w:t>
      </w:r>
    </w:p>
    <w:p>
      <w:pPr>
        <w:pStyle w:val="Heading2"/>
      </w:pPr>
      <w:r>
        <w:t>85.3 — Sous-classe : Thymorégulateurs - Antiépileptiques (carbamazépine)</w:t>
      </w:r>
    </w:p>
    <w:p>
      <w:pPr>
        <w:pStyle w:val="Heading3"/>
      </w:pPr>
      <w:r>
        <w:t>Introduction à la sous-classe</w:t>
      </w:r>
    </w:p>
    <w:p>
      <w:r>
        <w:t xml:space="preserve">Les </w:t>
      </w:r>
      <w:r>
        <w:rPr>
          <w:b/>
        </w:rPr>
        <w:t>antiépileptiques de la classe de la carbamazépine</w:t>
      </w:r>
      <w:r>
        <w:t xml:space="preserve"> constituent une sous-classe d'antiépileptiques tricycliques apparentés chimiquement aux antidépresseurs tricycliques (imipramine, amitriptyline). La carbamazépine fut synthétisée en 1953 par Schindler chez Geigy (Suisse) comme antidépresseur potentiel, mais son efficacité antidépressive s'avéra décevante et elle fut développée comme antiépileptique (AMM 1963 — crises partielles et généralisées tonico-cloniques). Son utilisation comme thymorégulateur a émergé dans les années 1980 (Okuma et al. 1973, Ballenger et Post 1978 — efficacité dans la manie aiguë et la prévention des rechutes bipolaires), avec une AMM spécifique pour la manie aiguë et la prévention des rechutes du trouble bipolaire obtenue dans les années 1990.</w:t>
      </w:r>
    </w:p>
    <w:p>
      <w:r/>
      <w:r>
        <w:rPr>
          <w:b/>
        </w:rPr>
        <w:t>Caractéristiques pharmacologiques fondamentales de la carbamazépine :</w:t>
      </w:r>
      <w:r/>
    </w:p>
    <w:p>
      <w:pPr>
        <w:pStyle w:val="ListBullet"/>
      </w:pPr>
      <w:r/>
      <w:r>
        <w:rPr>
          <w:b/>
        </w:rPr>
        <w:t>Structure tricyclique</w:t>
      </w:r>
      <w:r>
        <w:t xml:space="preserve"> (dibenzazépine — apparentée chimiquement à l'imipramine) — formule chimique C₁₅H₁₂N₂O, PM 236,27 g/mol — explique le profil d'effets indésirables communs aux tricycliques : sédation, anticholinergique, allongement QT, prise de poids</w:t>
      </w:r>
    </w:p>
    <w:p>
      <w:pPr>
        <w:pStyle w:val="ListBullet"/>
      </w:pPr>
      <w:r/>
      <w:r>
        <w:rPr>
          <w:b/>
        </w:rPr>
        <w:t>Inducteur enzymatique massif</w:t>
      </w:r>
      <w:r>
        <w:t xml:space="preserve"> (CYP3A4, CYP2C9, CYP2C19, UGT1A4, P-gp) — plus de 100 interactions médicamenteuses cliniquement significatives — cette propriété est à la fois une caractéristique pharmacologique majeure et un piège clinique permanent (baisse d'efficacité de nombreux médicaments co-prescrits : contraception orale, anticoagulants oraux, antirétroviraux, corticoïdes, etc.)</w:t>
      </w:r>
    </w:p>
    <w:p>
      <w:pPr>
        <w:pStyle w:val="ListBullet"/>
      </w:pPr>
      <w:r/>
      <w:r>
        <w:rPr>
          <w:b/>
        </w:rPr>
        <w:t>Auto-induction enzymatique</w:t>
      </w:r>
      <w:r>
        <w:t xml:space="preserve"> (phénomène unique) : la carbamazépine induit son propre métabolisme hépatique — la demi-vie diminue de 30-40 h (première dose) à 12-15 h (état d'équilibre à 3-4 semaines) — ce qui impose une adaptation posologique progressive (augmentation posologique nécessaire après 2-3 semaines pour maintenir l'efficacité)</w:t>
      </w:r>
    </w:p>
    <w:p>
      <w:pPr>
        <w:pStyle w:val="ListBullet"/>
      </w:pPr>
      <w:r/>
      <w:r>
        <w:rPr>
          <w:b/>
        </w:rPr>
        <w:t>Index thérapeutique étroit</w:t>
      </w:r>
      <w:r>
        <w:t xml:space="preserve"> : zone thérapeutique 4-12 mg/L (17-50 µmol/L) — zone toxique &gt; 12 mg/L</w:t>
      </w:r>
    </w:p>
    <w:p>
      <w:pPr>
        <w:pStyle w:val="ListBullet"/>
      </w:pPr>
      <w:r>
        <w:t>**Allèle HLA-B\*1502** : facteur génétique de risque de Stevens-Johnson (SJS) et syndrome de Lyell — dépistage systématique recommandé chez les populations asiatiques (Chine, Thaïlande, Malaisie, Indonésie, Philippines, Vietnam, Inde du Sud) avant instauration — prévalence allèle HLA-B\*1502 ≈ 10-15 % en Asie du Sud-Est (vs &lt; 1 % en Europe) — risque SJS × 100 chez porteurs de l'allèle (recommandation FDA 2007, EMA 2008). Pour le Maghreb (Algérie, Tunisie, Maroc), la prévalence de l'allèle est faible (&lt; 1 %) mais le dépistage peut être discuté en cas d'antécédent de réaction cutanée médicamenteuse</w:t>
      </w:r>
    </w:p>
    <w:p>
      <w:pPr>
        <w:pStyle w:val="ListBullet"/>
      </w:pPr>
      <w:r/>
      <w:r>
        <w:rPr>
          <w:b/>
        </w:rPr>
        <w:t>Métabolite actif</w:t>
      </w:r>
      <w:r>
        <w:t xml:space="preserve"> : carbamazépine-10,11-époxyde (10-20 % de l'activité — toxique neurologique)</w:t>
      </w:r>
    </w:p>
    <w:p>
      <w:pPr>
        <w:pStyle w:val="ListBullet"/>
      </w:pPr>
      <w:r/>
      <w:r>
        <w:rPr>
          <w:b/>
        </w:rPr>
        <w:t>Demi-vie d'élimination</w:t>
      </w:r>
      <w:r>
        <w:t xml:space="preserve"> : 12-15 h (état d'équilibre après auto-induction) — 2 à 3 prises par jour</w:t>
      </w:r>
    </w:p>
    <w:p>
      <w:pPr>
        <w:pStyle w:val="ListBullet"/>
      </w:pPr>
      <w:r/>
      <w:r>
        <w:rPr>
          <w:b/>
        </w:rPr>
        <w:t>Tératogénicité</w:t>
      </w:r>
      <w:r>
        <w:t xml:space="preserve"> : spina bifida 0,5-1 %, hypoplasie unguéale — à éviter au 1er trimestre de grossesse (CI relative)</w:t>
      </w:r>
    </w:p>
    <w:p>
      <w:r/>
      <w:r>
        <w:rPr>
          <w:b/>
        </w:rPr>
        <w:t>Profil d'efficacité :</w:t>
      </w:r>
      <w:r/>
    </w:p>
    <w:p>
      <w:pPr>
        <w:pStyle w:val="ListBullet"/>
      </w:pPr>
      <w:r/>
      <w:r>
        <w:rPr>
          <w:b/>
        </w:rPr>
        <w:t>Manie aiguë</w:t>
      </w:r>
      <w:r>
        <w:t xml:space="preserve"> : efficace dans 50-60 % des cas (efficacité comparable au lithium selon Weisler 2006)</w:t>
      </w:r>
    </w:p>
    <w:p>
      <w:pPr>
        <w:pStyle w:val="ListBullet"/>
      </w:pPr>
      <w:r/>
      <w:r>
        <w:rPr>
          <w:b/>
        </w:rPr>
        <w:t>Prévention des rechutes bipolaires</w:t>
      </w:r>
      <w:r>
        <w:t xml:space="preserve"> : efficacité démontrée — alternative de 2e intention après lithium ou valproate</w:t>
      </w:r>
    </w:p>
    <w:p>
      <w:pPr>
        <w:pStyle w:val="ListBullet"/>
      </w:pPr>
      <w:r/>
      <w:r>
        <w:rPr>
          <w:b/>
        </w:rPr>
        <w:t>Troubles bipolaires à cycles rapides</w:t>
      </w:r>
      <w:r>
        <w:t xml:space="preserve"> : efficacité moindre que valproate</w:t>
      </w:r>
    </w:p>
    <w:p>
      <w:pPr>
        <w:pStyle w:val="ListBullet"/>
      </w:pPr>
      <w:r/>
      <w:r>
        <w:rPr>
          <w:b/>
        </w:rPr>
        <w:t>Épilepsie</w:t>
      </w:r>
      <w:r>
        <w:t xml:space="preserve"> (indication initiale) : crises partielles et généralisées tonico-cloniques</w:t>
      </w:r>
    </w:p>
    <w:p>
      <w:pPr>
        <w:pStyle w:val="ListBullet"/>
      </w:pPr>
      <w:r/>
      <w:r>
        <w:rPr>
          <w:b/>
        </w:rPr>
        <w:t>Névralgie essentielle du trijumeau</w:t>
      </w:r>
      <w:r>
        <w:t xml:space="preserve"> (indication spécifique — référence)</w:t>
      </w:r>
    </w:p>
    <w:p>
      <w:pPr>
        <w:pStyle w:val="ListBullet"/>
      </w:pPr>
      <w:r/>
      <w:r>
        <w:rPr>
          <w:b/>
        </w:rPr>
        <w:t>Névralgie du glossopharyngien</w:t>
      </w:r>
      <w:r/>
    </w:p>
    <w:p>
      <w:pPr>
        <w:pStyle w:val="ListBullet"/>
      </w:pPr>
      <w:r/>
      <w:r>
        <w:rPr>
          <w:b/>
        </w:rPr>
        <w:t>Diabète insipide central</w:t>
      </w:r>
      <w:r>
        <w:t xml:space="preserve"> (mécanisme — potentialise l'ADH)</w:t>
      </w:r>
    </w:p>
    <w:p>
      <w:pPr>
        <w:pStyle w:val="ListBullet"/>
      </w:pPr>
      <w:r/>
      <w:r>
        <w:rPr>
          <w:b/>
        </w:rPr>
        <w:t>Psychose cycloïde</w:t>
      </w:r>
      <w:r>
        <w:t>, trouble schizo-affectif (2e intention)</w:t>
      </w:r>
    </w:p>
    <w:p>
      <w:r/>
      <w:r>
        <w:rPr>
          <w:b/>
        </w:rPr>
        <w:t>Profil d'effets indésirables :</w:t>
      </w:r>
      <w:r/>
    </w:p>
    <w:p>
      <w:pPr>
        <w:pStyle w:val="ListBullet"/>
      </w:pPr>
      <w:r/>
      <w:r>
        <w:rPr>
          <w:b/>
        </w:rPr>
        <w:t>Neurologiques</w:t>
      </w:r>
      <w:r>
        <w:t xml:space="preserve"> (30-40 %) : somnolence, vertiges, ataxie, diplopie, céphalées — dose-dépendants</w:t>
      </w:r>
    </w:p>
    <w:p>
      <w:pPr>
        <w:pStyle w:val="ListBullet"/>
      </w:pPr>
      <w:r/>
      <w:r>
        <w:rPr>
          <w:b/>
        </w:rPr>
        <w:t>Gastro-intestinaux</w:t>
      </w:r>
      <w:r>
        <w:t xml:space="preserve"> (15-20 %) : nausées, vomissements, constipation (effet anticholinergique)</w:t>
      </w:r>
    </w:p>
    <w:p>
      <w:pPr>
        <w:pStyle w:val="ListBullet"/>
      </w:pPr>
      <w:r/>
      <w:r>
        <w:rPr>
          <w:b/>
        </w:rPr>
        <w:t>Cutanés</w:t>
      </w:r>
      <w:r>
        <w:t xml:space="preserve"> (5-10 %) : rash maculopapuleux bénin (5-10 %), Stevens-Johnson/Lyell (rare mais grave — 1/10 000 — particulièrement chez porteurs HLA-B\*1502), DRESS (Drug Rash with Eosinophilia and Systemic Symptoms — 1/10 000)</w:t>
      </w:r>
    </w:p>
    <w:p>
      <w:pPr>
        <w:pStyle w:val="ListBullet"/>
      </w:pPr>
      <w:r/>
      <w:r>
        <w:rPr>
          <w:b/>
        </w:rPr>
        <w:t>Hématologiques</w:t>
      </w:r>
      <w:r>
        <w:t xml:space="preserve"> (5-10 %) : leucopénie, thrombopénie, anémie aplasique (rare, 1/50 000), agranulocytose</w:t>
      </w:r>
    </w:p>
    <w:p>
      <w:pPr>
        <w:pStyle w:val="ListBullet"/>
      </w:pPr>
      <w:r/>
      <w:r>
        <w:rPr>
          <w:b/>
        </w:rPr>
        <w:t>Hyponatrémie</w:t>
      </w:r>
      <w:r>
        <w:t xml:space="preserve"> (SIADH) : 5-15 % des patients — parfois symptomatique (céphalées, confusion, convulsions)</w:t>
      </w:r>
    </w:p>
    <w:p>
      <w:pPr>
        <w:pStyle w:val="ListBullet"/>
      </w:pPr>
      <w:r/>
      <w:r>
        <w:rPr>
          <w:b/>
        </w:rPr>
        <w:t>Hépatiques</w:t>
      </w:r>
      <w:r>
        <w:t xml:space="preserve"> (5 %) : cytolyse modérée transitoire, hépatite cholestatique (rare)</w:t>
      </w:r>
    </w:p>
    <w:p>
      <w:pPr>
        <w:pStyle w:val="ListBullet"/>
      </w:pPr>
      <w:r/>
      <w:r>
        <w:rPr>
          <w:b/>
        </w:rPr>
        <w:t>Endocriniens</w:t>
      </w:r>
      <w:r>
        <w:t xml:space="preserve"> : hypothyroïdie, hyponatrémie, ostéomalacie (induction du métabolisme de la vitamine D)</w:t>
      </w:r>
    </w:p>
    <w:p>
      <w:pPr>
        <w:pStyle w:val="Heading3"/>
      </w:pPr>
      <w:r>
        <w:t>3. DCI : Carbamazépine (Seule)</w:t>
      </w:r>
    </w:p>
    <w:p>
      <w:r/>
      <w:r>
        <w:rPr>
          <w:b/>
        </w:rPr>
        <w:t>Liste des Catégories :</w:t>
      </w:r>
      <w:r>
        <w:t xml:space="preserve"> Thymorégulateurs - Antiépileptiques (carbamazépine) — Liste II (comprimés 200 mg) / Liste I (formes LP 400 mg) — sur prescription médicale — </w:t>
      </w:r>
      <w:r>
        <w:rPr>
          <w:b/>
        </w:rPr>
        <w:t>INDUCTEUR ENZYMATIQUE MASSIF</w:t>
      </w:r>
      <w:r>
        <w:t xml:space="preserve"> (CYP3A4) — dépistage HLA-B\*1502 recommandé chez populations asiatiques</w:t>
      </w:r>
    </w:p>
    <w:p>
      <w:r>
        <w:t xml:space="preserve">La </w:t>
      </w:r>
      <w:r>
        <w:rPr>
          <w:b/>
        </w:rPr>
        <w:t>carbamazépine</w:t>
      </w:r>
      <w:r>
        <w:t xml:space="preserve"> est un antiépileptique tricyclique utilisé comme thymorégulateur de 2e-3e intention dans le trouble bipolaire (manie aiguë, prévention des rechutes), après échec ou intolérance au lithium ou au valproate. Sa particularité pharmacologique majeure est son </w:t>
      </w:r>
      <w:r>
        <w:rPr>
          <w:b/>
        </w:rPr>
        <w:t>effet inducteur enzymatique massif</w:t>
      </w:r>
      <w:r>
        <w:t xml:space="preserve"> (CYP3A4, CYP2C9, CYP2C19, UGT1A4, P-gp), responsable de plus de 100 interactions médicamenteuses cliniquement significatives, qui en font l'une des molécules les plus difficiles à manier en thérapeutique. Cette propriété impose une </w:t>
      </w:r>
      <w:r>
        <w:rPr>
          <w:b/>
        </w:rPr>
        <w:t>vérification systématique des co-prescriptions</w:t>
      </w:r>
      <w:r>
        <w:t xml:space="preserve"> par le pharmacien à chaque délivrance (contraception orale, anticoagulants oraux, antirétroviraux, corticoïdes, antifongiques azolés, macrolides, etc.).</w:t>
      </w:r>
    </w:p>
    <w:p>
      <w:r>
        <w:t xml:space="preserve">L'autre particularité de la carbamazépine est le </w:t>
      </w:r>
      <w:r>
        <w:rPr>
          <w:b/>
        </w:rPr>
        <w:t>risque de réactions cutanées sévères</w:t>
      </w:r>
      <w:r>
        <w:t xml:space="preserve"> (Stevens-Johnson, syndrome de Lyell) — risque majoré chez les porteurs de l'allèle *</w:t>
      </w:r>
      <w:r>
        <w:rPr>
          <w:i/>
        </w:rPr>
        <w:t>HLA-B\</w:t>
      </w:r>
      <w:r>
        <w:t>1502*</w:t>
      </w:r>
      <w:r>
        <w:rPr>
          <w:i/>
        </w:rPr>
        <w:t xml:space="preserve"> (prévalence 10-15 % en Asie du Sud-Est vs &lt; 1 % en Europe). Le dépistage HLA-B\</w:t>
      </w:r>
      <w:r>
        <w:t xml:space="preserve">1502 est </w:t>
      </w:r>
      <w:r>
        <w:rPr>
          <w:b/>
        </w:rPr>
        <w:t>recommandé systématiquement avant instauration</w:t>
      </w:r>
      <w:r>
        <w:t xml:space="preserve"> chez les patients d'origine asiatique (recommandation FDA 2007, EMA 2008). En cas de réaction cutanée sous carbamazépine : </w:t>
      </w:r>
      <w:r>
        <w:rPr>
          <w:b/>
        </w:rPr>
        <w:t>arrêt immédiat définitif, sans réintroduction</w:t>
      </w:r>
      <w:r>
        <w:t xml:space="preserve"> (risque de récidive grave potentiellement létale).</w:t>
      </w:r>
    </w:p>
    <w:p>
      <w:r/>
      <w:r>
        <w:rPr>
          <w:b/>
        </w:rPr>
        <w:t>Médicaments disponibles en Algérie (Marques, Laboratoires, Formes et Dosages) :</w:t>
      </w:r>
      <w:r/>
    </w:p>
    <w:p>
      <w:r/>
      <w:r>
        <w:rPr>
          <w:b/>
        </w:rPr>
        <w:t>Formes orales — comprimés (libération immédiate) à 200 mg :</w:t>
      </w:r>
      <w:r/>
    </w:p>
    <w:p>
      <w:pPr>
        <w:pStyle w:val="ListBullet"/>
      </w:pPr>
      <w:r/>
      <w:r>
        <w:rPr>
          <w:b/>
        </w:rPr>
        <w:t>AZEPAL</w:t>
      </w:r>
      <w:r>
        <w:t xml:space="preserve"> (LAD PHARMA)</w:t>
      </w:r>
    </w:p>
    <w:p>
      <w:pPr>
        <w:pStyle w:val="ListBullet"/>
      </w:pPr>
      <w:r>
        <w:t xml:space="preserve">Forme : Comprimé — Dosage : 200 mg (B/20) — Liste : Liste II — Statut : </w:t>
      </w:r>
      <w:r>
        <w:rPr>
          <w:b/>
        </w:rPr>
        <w:t>ACTIF</w:t>
      </w:r>
      <w:r/>
    </w:p>
    <w:p>
      <w:pPr>
        <w:pStyle w:val="ListBullet"/>
      </w:pPr>
      <w:r/>
      <w:r>
        <w:rPr>
          <w:b/>
        </w:rPr>
        <w:t>CARBATOL</w:t>
      </w:r>
      <w:r>
        <w:t xml:space="preserve"> (DAR AL DAWA)</w:t>
      </w:r>
    </w:p>
    <w:p>
      <w:pPr>
        <w:pStyle w:val="ListBullet"/>
      </w:pPr>
      <w:r>
        <w:t xml:space="preserve">Forme : Comprimé — Dosage : 200 mg (B/30) — Liste : Liste II — Statut : </w:t>
      </w:r>
      <w:r>
        <w:rPr>
          <w:b/>
        </w:rPr>
        <w:t>ACTIF</w:t>
      </w:r>
      <w:r/>
    </w:p>
    <w:p>
      <w:pPr>
        <w:pStyle w:val="ListBullet"/>
      </w:pPr>
      <w:r/>
      <w:r>
        <w:rPr>
          <w:b/>
        </w:rPr>
        <w:t>CARBIMOL</w:t>
      </w:r>
      <w:r>
        <w:t xml:space="preserve"> (BIOGALENIC)</w:t>
      </w:r>
    </w:p>
    <w:p>
      <w:pPr>
        <w:pStyle w:val="ListBullet"/>
      </w:pPr>
      <w:r>
        <w:t xml:space="preserve">Forme : Comprimé — Dosage : 200 mg (B/30) — Liste : Liste II — Statut : </w:t>
      </w:r>
      <w:r>
        <w:rPr>
          <w:b/>
        </w:rPr>
        <w:t>ACTIF</w:t>
      </w:r>
      <w:r/>
    </w:p>
    <w:p>
      <w:pPr>
        <w:pStyle w:val="ListBullet"/>
      </w:pPr>
      <w:r/>
      <w:r>
        <w:rPr>
          <w:b/>
        </w:rPr>
        <w:t>NEUPAX</w:t>
      </w:r>
      <w:r>
        <w:t xml:space="preserve"> (BIOPHARM)</w:t>
      </w:r>
    </w:p>
    <w:p>
      <w:pPr>
        <w:pStyle w:val="ListBullet"/>
      </w:pPr>
      <w:r>
        <w:t xml:space="preserve">Forme : Comprimé sécable — Dosage : 200 mg (B/30) — Liste : Liste II — Statut : </w:t>
      </w:r>
      <w:r>
        <w:rPr>
          <w:b/>
        </w:rPr>
        <w:t>ACTIF</w:t>
      </w:r>
      <w:r/>
    </w:p>
    <w:p>
      <w:pPr>
        <w:pStyle w:val="ListBullet"/>
      </w:pPr>
      <w:r/>
      <w:r>
        <w:rPr>
          <w:b/>
        </w:rPr>
        <w:t>TAVER</w:t>
      </w:r>
      <w:r>
        <w:t xml:space="preserve"> (MEDOCHEMIE LTD)</w:t>
      </w:r>
    </w:p>
    <w:p>
      <w:pPr>
        <w:pStyle w:val="ListBullet"/>
      </w:pPr>
      <w:r>
        <w:t xml:space="preserve">Forme : Comprimé — Dosage : 200 mg (B/50) — Liste : Liste II — Statut : </w:t>
      </w:r>
      <w:r>
        <w:rPr>
          <w:b/>
        </w:rPr>
        <w:t>ACTIF</w:t>
      </w:r>
      <w:r/>
    </w:p>
    <w:p>
      <w:pPr>
        <w:pStyle w:val="ListBullet"/>
      </w:pPr>
      <w:r/>
      <w:r>
        <w:rPr>
          <w:b/>
        </w:rPr>
        <w:t>TEGRETOL</w:t>
      </w:r>
      <w:r>
        <w:t xml:space="preserve"> (NOVARTIS PHARMA SCHWEIZ AG)</w:t>
      </w:r>
    </w:p>
    <w:p>
      <w:pPr>
        <w:pStyle w:val="ListBullet"/>
      </w:pPr>
      <w:r>
        <w:t xml:space="preserve">Forme : Comprimé sécable — Dosage : 200 mg (B/50) — Liste : Liste II — Statut : </w:t>
      </w:r>
      <w:r>
        <w:rPr>
          <w:b/>
        </w:rPr>
        <w:t>ACTIF</w:t>
      </w:r>
      <w:r>
        <w:t xml:space="preserve"> — </w:t>
      </w:r>
      <w:r>
        <w:rPr>
          <w:b/>
        </w:rPr>
        <w:t>princeps de référence internationale</w:t>
      </w:r>
      <w:r/>
    </w:p>
    <w:p>
      <w:r/>
      <w:r>
        <w:rPr>
          <w:b/>
        </w:rPr>
        <w:t>Formes liquides — suspensions buvables :</w:t>
      </w:r>
      <w:r/>
    </w:p>
    <w:p>
      <w:pPr>
        <w:pStyle w:val="ListBullet"/>
      </w:pPr>
      <w:r/>
      <w:r>
        <w:rPr>
          <w:b/>
        </w:rPr>
        <w:t>NEUPAX</w:t>
      </w:r>
      <w:r>
        <w:t xml:space="preserve"> (BIOPHARM)</w:t>
      </w:r>
    </w:p>
    <w:p>
      <w:pPr>
        <w:pStyle w:val="ListBullet"/>
      </w:pPr>
      <w:r>
        <w:t>Forme : Suspension buvable — Dosage : 20 mg/mL (B/01 FL. 180 mL + seringue pour administration orale de 10 mL graduée)</w:t>
      </w:r>
    </w:p>
    <w:p>
      <w:pPr>
        <w:pStyle w:val="ListBullet"/>
      </w:pPr>
      <w:r>
        <w:t xml:space="preserve">Liste : Liste II — Statut : </w:t>
      </w:r>
      <w:r>
        <w:rPr>
          <w:b/>
        </w:rPr>
        <w:t>ACTIF</w:t>
      </w:r>
      <w:r/>
    </w:p>
    <w:p>
      <w:pPr>
        <w:pStyle w:val="ListBullet"/>
      </w:pPr>
      <w:r/>
      <w:r>
        <w:rPr>
          <w:b/>
        </w:rPr>
        <w:t>TEGRETOL</w:t>
      </w:r>
      <w:r>
        <w:t xml:space="preserve"> (NOVARTIS PHARMA SCHWEIZ AG)</w:t>
      </w:r>
    </w:p>
    <w:p>
      <w:pPr>
        <w:pStyle w:val="ListBullet"/>
      </w:pPr>
      <w:r>
        <w:t xml:space="preserve">Forme : Suspension buvable — Dosage : 100 mg/5 mL (FL/150 mL) — Liste : Liste II — Statut : </w:t>
      </w:r>
      <w:r>
        <w:rPr>
          <w:b/>
        </w:rPr>
        <w:t>ACTIF</w:t>
      </w:r>
      <w:r/>
    </w:p>
    <w:p>
      <w:pPr>
        <w:pStyle w:val="ListBullet"/>
      </w:pPr>
      <w:r/>
      <w:r>
        <w:rPr>
          <w:b/>
        </w:rPr>
        <w:t>TEGRIDIS</w:t>
      </w:r>
      <w:r>
        <w:t xml:space="preserve"> (INPHA-MEDIS)</w:t>
      </w:r>
    </w:p>
    <w:p>
      <w:pPr>
        <w:pStyle w:val="ListBullet"/>
      </w:pPr>
      <w:r>
        <w:t>Forme : Suspension buvable — Dosage : 20 mg/mL (B/01 FL. 150 mL + seringue pour administration orale de 10 mL graduée à 0,25 mL)</w:t>
      </w:r>
    </w:p>
    <w:p>
      <w:pPr>
        <w:pStyle w:val="ListBullet"/>
      </w:pPr>
      <w:r>
        <w:t xml:space="preserve">Liste : Liste II — Statut : </w:t>
      </w:r>
      <w:r>
        <w:rPr>
          <w:b/>
        </w:rPr>
        <w:t>ACTIF</w:t>
      </w:r>
      <w:r/>
    </w:p>
    <w:p>
      <w:r/>
      <w:r>
        <w:rPr>
          <w:b/>
        </w:rPr>
        <w:t>Formes orales — comprimés à libération prolongée (LP) à 400 mg :</w:t>
      </w:r>
      <w:r/>
    </w:p>
    <w:p>
      <w:pPr>
        <w:pStyle w:val="ListBullet"/>
      </w:pPr>
      <w:r/>
      <w:r>
        <w:rPr>
          <w:b/>
        </w:rPr>
        <w:t>CARBIMOL LP</w:t>
      </w:r>
      <w:r>
        <w:t xml:space="preserve"> (BIOGALENIC)</w:t>
      </w:r>
    </w:p>
    <w:p>
      <w:pPr>
        <w:pStyle w:val="ListBullet"/>
      </w:pPr>
      <w:r>
        <w:t xml:space="preserve">Forme : Comprimé pelliculé sécable à libération prolongée — Dosage : 400 mg (B/30) — Liste : Liste I — Statut : </w:t>
      </w:r>
      <w:r>
        <w:rPr>
          <w:b/>
        </w:rPr>
        <w:t>ACTIF</w:t>
      </w:r>
      <w:r/>
    </w:p>
    <w:p>
      <w:pPr>
        <w:pStyle w:val="ListBullet"/>
      </w:pPr>
      <w:r/>
      <w:r>
        <w:rPr>
          <w:b/>
        </w:rPr>
        <w:t>MAZETOL QUADRI</w:t>
      </w:r>
      <w:r>
        <w:t xml:space="preserve"> (CHIMIE PHARMACIE COMMERCE MULTIPLE SARL — CPCM)</w:t>
      </w:r>
    </w:p>
    <w:p>
      <w:pPr>
        <w:pStyle w:val="ListBullet"/>
      </w:pPr>
      <w:r>
        <w:t xml:space="preserve">Forme : Comprimé sécable à libération prolongée — Dosage : 400 mg (B/30) — Liste : Liste I — Statut : </w:t>
      </w:r>
      <w:r>
        <w:rPr>
          <w:b/>
        </w:rPr>
        <w:t>ACTIF</w:t>
      </w:r>
      <w:r/>
    </w:p>
    <w:p>
      <w:pPr>
        <w:pStyle w:val="ListBullet"/>
      </w:pPr>
      <w:r/>
      <w:r>
        <w:rPr>
          <w:b/>
        </w:rPr>
        <w:t>TEGRETOL LP</w:t>
      </w:r>
      <w:r>
        <w:t xml:space="preserve"> (NOVARTIS PHARMA SCHWEIZ AG)</w:t>
      </w:r>
    </w:p>
    <w:p>
      <w:pPr>
        <w:pStyle w:val="ListBullet"/>
      </w:pPr>
      <w:r>
        <w:t xml:space="preserve">Forme : Comprimé pelliculé sécable à libération prolongée — Dosage : 400 mg (B/30) — Liste : Liste I — Statut : </w:t>
      </w:r>
      <w:r>
        <w:rPr>
          <w:b/>
        </w:rPr>
        <w:t>ACTIF</w:t>
      </w:r>
      <w:r>
        <w:t xml:space="preserve"> — </w:t>
      </w:r>
      <w:r>
        <w:rPr>
          <w:b/>
        </w:rPr>
        <w:t>princeps LP de référence</w:t>
      </w:r>
      <w:r/>
    </w:p>
    <w:p>
      <w:pPr>
        <w:pStyle w:val="ListBullet"/>
      </w:pPr>
      <w:r/>
      <w:r>
        <w:rPr>
          <w:b/>
        </w:rPr>
        <w:t>ZEPTOL CR 400</w:t>
      </w:r>
      <w:r>
        <w:t xml:space="preserve"> (SUN PHARMACEUTICALS INDUSTRIES LTD)</w:t>
      </w:r>
    </w:p>
    <w:p>
      <w:pPr>
        <w:pStyle w:val="ListBullet"/>
      </w:pPr>
      <w:r>
        <w:t xml:space="preserve">Forme : Comprimé à libération prolongée — Dosage : 400 mg (B/30 et B/50) — Liste : Liste I — Statut : </w:t>
      </w:r>
      <w:r>
        <w:rPr>
          <w:b/>
        </w:rPr>
        <w:t>ACTIF</w:t>
      </w:r>
      <w:r/>
    </w:p>
    <w:p>
      <w:r/>
      <w:r>
        <w:rPr>
          <w:b/>
        </w:rPr>
        <w:t>Formes orales — comprimés (non renouvelables) :</w:t>
      </w:r>
      <w:r/>
    </w:p>
    <w:p>
      <w:pPr>
        <w:pStyle w:val="ListBullet"/>
      </w:pPr>
      <w:r/>
      <w:r>
        <w:rPr>
          <w:b/>
        </w:rPr>
        <w:t>CARBAZINE</w:t>
      </w:r>
      <w:r>
        <w:t xml:space="preserve"> (UNITED PHARMACEUTICAL MANUFACTURING — UPM)</w:t>
      </w:r>
    </w:p>
    <w:p>
      <w:pPr>
        <w:pStyle w:val="ListBullet"/>
      </w:pPr>
      <w:r>
        <w:t xml:space="preserve">Forme : Comprimé — Dosage : 200 mg (B/30) — Liste : Liste II — Statut : </w:t>
      </w:r>
      <w:r>
        <w:rPr>
          <w:b/>
        </w:rPr>
        <w:t>NON RENOUVELABLE</w:t>
      </w:r>
      <w:r/>
    </w:p>
    <w:p>
      <w:pPr>
        <w:pStyle w:val="ListBullet"/>
      </w:pPr>
      <w:r/>
      <w:r>
        <w:rPr>
          <w:b/>
        </w:rPr>
        <w:t>EPTOL</w:t>
      </w:r>
      <w:r>
        <w:t xml:space="preserve"> (EL KENDI INDUSTRIE DU MEDICAMENT)</w:t>
      </w:r>
    </w:p>
    <w:p>
      <w:pPr>
        <w:pStyle w:val="ListBullet"/>
      </w:pPr>
      <w:r>
        <w:t xml:space="preserve">Forme : Comprimé — Dosage : 200 mg (B/30) — Liste : Liste II — Statut : </w:t>
      </w:r>
      <w:r>
        <w:rPr>
          <w:b/>
        </w:rPr>
        <w:t>NON RENOUVELABLE</w:t>
      </w:r>
      <w:r/>
    </w:p>
    <w:p>
      <w:pPr>
        <w:pStyle w:val="ListBullet"/>
      </w:pPr>
      <w:r/>
      <w:r>
        <w:rPr>
          <w:b/>
        </w:rPr>
        <w:t>NEUROZEPINE</w:t>
      </w:r>
      <w:r>
        <w:t xml:space="preserve"> (GROUPE SAIDAL)</w:t>
      </w:r>
    </w:p>
    <w:p>
      <w:pPr>
        <w:pStyle w:val="ListBullet"/>
      </w:pPr>
      <w:r>
        <w:t xml:space="preserve">Forme : Comprimé sécable — Dosage : 200 mg (B/50) — Liste : Liste II — Statut : </w:t>
      </w:r>
      <w:r>
        <w:rPr>
          <w:b/>
        </w:rPr>
        <w:t>NON RENOUVELABLE</w:t>
      </w:r>
      <w:r/>
    </w:p>
    <w:p>
      <w:pPr>
        <w:pStyle w:val="ListBullet"/>
      </w:pPr>
      <w:r/>
      <w:r>
        <w:rPr>
          <w:b/>
        </w:rPr>
        <w:t>NOVACARBIN</w:t>
      </w:r>
      <w:r>
        <w:t xml:space="preserve"> (NOVA ARGENTIA)</w:t>
      </w:r>
    </w:p>
    <w:p>
      <w:pPr>
        <w:pStyle w:val="ListBullet"/>
      </w:pPr>
      <w:r>
        <w:t xml:space="preserve">Forme : Comprimé — Dosage : 200 mg (B/50) — Liste : Liste II — Statut : </w:t>
      </w:r>
      <w:r>
        <w:rPr>
          <w:b/>
        </w:rPr>
        <w:t>NON RENOUVELABLE</w:t>
      </w:r>
      <w:r/>
    </w:p>
    <w:p>
      <w:pPr>
        <w:pStyle w:val="ListBullet"/>
      </w:pPr>
      <w:r/>
      <w:r>
        <w:rPr>
          <w:b/>
        </w:rPr>
        <w:t>ZEPTOL 200</w:t>
      </w:r>
      <w:r>
        <w:t xml:space="preserve"> (SUN PHARMACEUTICAL INDUSTRIES LTD)</w:t>
      </w:r>
    </w:p>
    <w:p>
      <w:pPr>
        <w:pStyle w:val="ListBullet"/>
      </w:pPr>
      <w:r>
        <w:t xml:space="preserve">Forme : Comprimé — Dosage : 200 mg (B/50 et B/100) — Liste : Liste II — Statut : </w:t>
      </w:r>
      <w:r>
        <w:rPr>
          <w:b/>
        </w:rPr>
        <w:t>NON RENOUVELABLE</w:t>
      </w:r>
      <w:r/>
    </w:p>
    <w:p>
      <w:r/>
      <w:r>
        <w:rPr>
          <w:b/>
        </w:rPr>
        <w:t>Formes retirées (R) — pour information historique :</w:t>
      </w:r>
      <w:r/>
    </w:p>
    <w:p>
      <w:pPr>
        <w:pStyle w:val="ListBullet"/>
      </w:pPr>
      <w:r/>
      <w:r>
        <w:rPr>
          <w:b/>
        </w:rPr>
        <w:t>DEGRANOL</w:t>
      </w:r>
      <w:r>
        <w:t xml:space="preserve"> (PHARMACARE LIMITED)</w:t>
      </w:r>
    </w:p>
    <w:p>
      <w:pPr>
        <w:pStyle w:val="ListBullet"/>
      </w:pPr>
      <w:r>
        <w:t xml:space="preserve">Forme : Comprimé — Dosage : 200 mg (B/50) — Liste : Liste II — Statut : </w:t>
      </w:r>
      <w:r>
        <w:rPr>
          <w:b/>
        </w:rPr>
        <w:t>RETRAIT (R)</w:t>
      </w:r>
      <w:r/>
    </w:p>
    <w:p>
      <w:pPr>
        <w:pStyle w:val="ListBullet"/>
      </w:pPr>
      <w:r/>
      <w:r>
        <w:rPr>
          <w:b/>
        </w:rPr>
        <w:t>NEUROTOP</w:t>
      </w:r>
      <w:r>
        <w:t xml:space="preserve"> (GEROT)</w:t>
      </w:r>
    </w:p>
    <w:p>
      <w:pPr>
        <w:pStyle w:val="ListBullet"/>
      </w:pPr>
      <w:r>
        <w:t xml:space="preserve">Forme : Comprimé — Dosage : 200 mg (B/50) — Liste : Liste II — Statut : </w:t>
      </w:r>
      <w:r>
        <w:rPr>
          <w:b/>
        </w:rPr>
        <w:t>RETRAIT (R)</w:t>
      </w:r>
      <w:r/>
    </w:p>
    <w:p>
      <w:pPr>
        <w:pStyle w:val="ListBullet"/>
      </w:pPr>
      <w:r/>
      <w:r>
        <w:rPr>
          <w:b/>
        </w:rPr>
        <w:t>NEUROTOP RETARD</w:t>
      </w:r>
      <w:r>
        <w:t xml:space="preserve"> (GEROT)</w:t>
      </w:r>
    </w:p>
    <w:p>
      <w:pPr>
        <w:pStyle w:val="ListBullet"/>
      </w:pPr>
      <w:r>
        <w:t xml:space="preserve">Formes : Comprimé LP — Dosages : 300 mg et 600 mg (B/50) — Liste : Liste II — Statut : </w:t>
      </w:r>
      <w:r>
        <w:rPr>
          <w:b/>
        </w:rPr>
        <w:t>RETRAIT (R)</w:t>
      </w:r>
      <w:r/>
    </w:p>
    <w:p>
      <w:r/>
      <w:r>
        <w:rPr>
          <w:b/>
        </w:rPr>
        <w:t>Sous-classe et Mécanisme d'action :</w:t>
      </w:r>
      <w:r/>
    </w:p>
    <w:p>
      <w:pPr>
        <w:pStyle w:val="ListBullet"/>
      </w:pPr>
      <w:r/>
      <w:r>
        <w:rPr>
          <w:b/>
        </w:rPr>
        <w:t>Sous-classe</w:t>
      </w:r>
      <w:r>
        <w:t xml:space="preserve"> : Antiépileptique tricyclique (dibenzazépine — apparenté chimiquement à l'imipramine) — première utilisation antiépileptique en 1963, extension à la psychiatrie dans les années 1980 (Okuma, Ballenger et Post). DCI unique au sein de la sous-classe — les apparentés chimiques (oxcarbazépine, éslicarbazépine) ont des profils d'effets indésirables et d'interactions différents (induction enzymatique moindre).</w:t>
      </w:r>
    </w:p>
    <w:p>
      <w:pPr>
        <w:pStyle w:val="ListBullet"/>
      </w:pPr>
      <w:r/>
      <w:r>
        <w:rPr>
          <w:b/>
        </w:rPr>
        <w:t>Mécanisme d'action</w:t>
      </w:r>
      <w:r>
        <w:t xml:space="preserve"> : Le mécanisme d'action principal de la carbamazépine est le </w:t>
      </w:r>
      <w:r>
        <w:rPr>
          <w:b/>
        </w:rPr>
        <w:t>blocage des canaux sodiques voltage-dépendants (Na⁺-Vd)</w:t>
      </w:r>
      <w:r>
        <w:t>, similaire à la phénytoïne et à la lamotrigine :</w:t>
      </w:r>
    </w:p>
    <w:p>
      <w:pPr>
        <w:pStyle w:val="ListNumber"/>
      </w:pPr>
      <w:r/>
      <w:r>
        <w:rPr>
          <w:b/>
        </w:rPr>
        <w:t>Blocage des canaux Na⁺ voltage-dépendants</w:t>
      </w:r>
      <w:r>
        <w:t xml:space="preserve"> : La carbamazépine se fixe sur la sous-unité α des canaux Na⁺ voltage-dépendants neuronaux, préférentiellement à l'état inactivé (pharmacologie « use-dependent »). Cette fixation maintient les canaux dans l'état inactivé, empêchant leur réouverture rapide — réduisant ainsi la fréquence des potentiels d'action rapides répétitifs (PA en salves) caractéristiques des neurones épileptiques (décharges hypersynchrones). C'est le mécanisme antiépileptique principal. La fixation est voltage-dépendante (préférentielle pour les neurones dépolarisés des foyers épileptiques) et use-dependent (renouvelée à chaque potentiel d'action), ce qui explique la sélectivité d'action pour les foyers épileptiques avec préservation de la transmission physiologique.</w:t>
      </w:r>
    </w:p>
    <w:p>
      <w:pPr>
        <w:pStyle w:val="ListNumber"/>
      </w:pPr>
      <w:r/>
      <w:r>
        <w:rPr>
          <w:b/>
        </w:rPr>
        <w:t>Modulation des canaux calciques voltage-dépendants</w:t>
      </w:r>
      <w:r>
        <w:t xml:space="preserve"> : réduction du courant calcique présynaptique (N et P/Q), réduisant la libération de neurotransmetteurs excitateurs (glutamate).</w:t>
      </w:r>
    </w:p>
    <w:p>
      <w:pPr>
        <w:pStyle w:val="ListNumber"/>
      </w:pPr>
      <w:r/>
      <w:r>
        <w:rPr>
          <w:b/>
        </w:rPr>
        <w:t>Modulation des récepteurs adénosine A1</w:t>
      </w:r>
      <w:r>
        <w:t xml:space="preserve"> : la carbamazépine est un antagoniste des récepteurs adénosine A1 — cette propriété contribue à l'effet anti-maniaque (l'adenosine a un rôle modulateur inhibiteur de la libération de dopamine) — mais aussi à certains effets indésirables (tachycardie, flushing).</w:t>
      </w:r>
    </w:p>
    <w:p>
      <w:pPr>
        <w:pStyle w:val="ListNumber"/>
      </w:pPr>
      <w:r/>
      <w:r>
        <w:rPr>
          <w:b/>
        </w:rPr>
        <w:t>Modulation des récepteurs GABA-A et GABA-B</w:t>
      </w:r>
      <w:r>
        <w:t xml:space="preserve"> : la carbamazépine potentialise légèrement l'inhibition GABAergique (effet modéré comparé au valproate).</w:t>
      </w:r>
    </w:p>
    <w:p>
      <w:pPr>
        <w:pStyle w:val="ListNumber"/>
      </w:pPr>
      <w:r/>
      <w:r>
        <w:rPr>
          <w:b/>
        </w:rPr>
        <w:t>Augmentation de la concentration cérébrale en GABA</w:t>
      </w:r>
      <w:r>
        <w:t xml:space="preserve"> (effet modéré, indirect via inhibition de la libération de glutamate qui excite les interneurones GABAergiques).</w:t>
      </w:r>
    </w:p>
    <w:p>
      <w:pPr>
        <w:pStyle w:val="ListNumber"/>
      </w:pPr>
      <w:r/>
      <w:r>
        <w:rPr>
          <w:b/>
        </w:rPr>
        <w:t>Effets sur la transmission dopaminergique et sérotoninergique</w:t>
      </w:r>
      <w:r>
        <w:t xml:space="preserve"> : diminution de la libération de dopamine mésolimbique (effet anti-maniaque) et augmentation de la transmission sérotoninergique (effet thymorégulateur).</w:t>
      </w:r>
    </w:p>
    <w:p>
      <w:pPr>
        <w:pStyle w:val="ListNumber"/>
      </w:pPr>
      <w:r/>
      <w:r>
        <w:rPr>
          <w:b/>
        </w:rPr>
        <w:t>Effet anti-diurétique</w:t>
      </w:r>
      <w:r>
        <w:t xml:space="preserve"> (potentialisation de l'ADH sur le récepteur V2 rénal — utilisé dans le diabète insipide central).</w:t>
      </w:r>
    </w:p>
    <w:p>
      <w:pPr>
        <w:pStyle w:val="ListBullet"/>
      </w:pPr>
      <w:r/>
      <w:r>
        <w:rPr>
          <w:b/>
        </w:rPr>
        <w:t>Métabolisme et auto-induction enzymatique</w:t>
      </w:r>
      <w:r>
        <w:t xml:space="preserve"> : la carbamazépine est métabolisée par le CYP3A4 en carbamazépine-10,11-époxyde (métabolite actif — 10-20 % de l'activité), puis en carbamazépine-10,11-trans-diol (inactif). La carbamazépine </w:t>
      </w:r>
      <w:r>
        <w:rPr>
          <w:b/>
        </w:rPr>
        <w:t>induit son propre métabolisme</w:t>
      </w:r>
      <w:r>
        <w:t xml:space="preserve"> (auto-induction) — la demi-vie passe de 30-40 h (première dose) à 12-15 h (état d'équilibre à 3-4 semaines) — ce qui impose une augmentation posologique progressive après 2-3 semaines de traitement pour maintenir l'efficacité.</w:t>
      </w:r>
    </w:p>
    <w:p>
      <w:pPr>
        <w:pStyle w:val="ListBullet"/>
      </w:pPr>
      <w:r/>
      <w:r>
        <w:rPr>
          <w:b/>
        </w:rPr>
        <w:t>Induction enzymatique massive</w:t>
      </w:r>
      <w:r>
        <w:t xml:space="preserve"> : la carbamazépine est un inducteur puissant du CYP3A4, CYP2C9, CYP2C19, UGT1A4 et de la P-glycoprotéine (P-gp) — responsable de plus de 100 interactions médicamenteuses cliniquement significatives (baisse d'efficacité de la contraception orale, des anticoagulants oraux, des antirétroviraux, des corticoïdes, des antifongiques azolés, etc.).</w:t>
      </w:r>
    </w:p>
    <w:p>
      <w:r/>
      <w:r>
        <w:rPr>
          <w:b/>
        </w:rPr>
        <w:t>Profil Pharmacologique :</w:t>
      </w:r>
      <w:r/>
    </w:p>
    <w:p>
      <w:pPr>
        <w:pStyle w:val="ListBullet"/>
      </w:pPr>
      <w:r/>
      <w:r>
        <w:rPr>
          <w:b/>
        </w:rPr>
        <w:t>Indications</w:t>
      </w:r>
      <w:r>
        <w:t xml:space="preserve"> :</w:t>
      </w:r>
    </w:p>
    <w:p>
      <w:pPr>
        <w:pStyle w:val="ListBullet"/>
      </w:pPr>
      <w:r/>
      <w:r>
        <w:rPr>
          <w:b/>
        </w:rPr>
        <w:t>Manie aiguë</w:t>
      </w:r>
      <w:r>
        <w:t xml:space="preserve"> du trouble bipolaire (alternative 2e intention au lithium ou valproate)</w:t>
      </w:r>
    </w:p>
    <w:p>
      <w:pPr>
        <w:pStyle w:val="ListBullet"/>
      </w:pPr>
      <w:r/>
      <w:r>
        <w:rPr>
          <w:b/>
        </w:rPr>
        <w:t>Prévention des rechutes</w:t>
      </w:r>
      <w:r>
        <w:t xml:space="preserve"> du trouble bipolaire (alternative 2e intention)</w:t>
      </w:r>
    </w:p>
    <w:p>
      <w:pPr>
        <w:pStyle w:val="ListBullet"/>
      </w:pPr>
      <w:r/>
      <w:r>
        <w:rPr>
          <w:b/>
        </w:rPr>
        <w:t>Épilepsie</w:t>
      </w:r>
      <w:r>
        <w:t xml:space="preserve"> (indication initiale) : crises partielles (simples, complexes, secondairement généralisées) et crises généralisées tonico-cloniques</w:t>
      </w:r>
    </w:p>
    <w:p>
      <w:pPr>
        <w:pStyle w:val="ListBullet"/>
      </w:pPr>
      <w:r/>
      <w:r>
        <w:rPr>
          <w:b/>
        </w:rPr>
        <w:t>Névralgie essentielle du trijumeau</w:t>
      </w:r>
      <w:r>
        <w:t xml:space="preserve"> (indication spécifique — traitement de référence)</w:t>
      </w:r>
    </w:p>
    <w:p>
      <w:pPr>
        <w:pStyle w:val="ListBullet"/>
      </w:pPr>
      <w:r/>
      <w:r>
        <w:rPr>
          <w:b/>
        </w:rPr>
        <w:t>Névralgie du glossopharyngien</w:t>
      </w:r>
      <w:r/>
    </w:p>
    <w:p>
      <w:pPr>
        <w:pStyle w:val="ListBullet"/>
      </w:pPr>
      <w:r/>
      <w:r>
        <w:rPr>
          <w:b/>
        </w:rPr>
        <w:t>Diabète insipide central</w:t>
      </w:r>
      <w:r>
        <w:t xml:space="preserve"> (potentialisation de l'ADH)</w:t>
      </w:r>
    </w:p>
    <w:p>
      <w:pPr>
        <w:pStyle w:val="ListBullet"/>
      </w:pPr>
      <w:r/>
      <w:r>
        <w:rPr>
          <w:b/>
        </w:rPr>
        <w:t>Psychose cycloïde</w:t>
      </w:r>
      <w:r>
        <w:t>, trouble schizo-affectif (2e intention)</w:t>
      </w:r>
    </w:p>
    <w:p>
      <w:pPr>
        <w:pStyle w:val="ListBullet"/>
      </w:pPr>
      <w:r/>
      <w:r>
        <w:rPr>
          <w:b/>
        </w:rPr>
        <w:t>Sevrage alcoolique</w:t>
      </w:r>
      <w:r>
        <w:t xml:space="preserve"> (2e intention, après benzodiazépines)</w:t>
      </w:r>
    </w:p>
    <w:p>
      <w:pPr>
        <w:pStyle w:val="ListBullet"/>
      </w:pPr>
      <w:r/>
      <w:r>
        <w:rPr>
          <w:b/>
        </w:rPr>
        <w:t>Troubles borderline</w:t>
      </w:r>
      <w:r>
        <w:t xml:space="preserve"> avec impulsivité (hors AMM)</w:t>
      </w:r>
    </w:p>
    <w:p>
      <w:pPr>
        <w:pStyle w:val="ListBullet"/>
      </w:pPr>
      <w:r/>
      <w:r>
        <w:rPr>
          <w:b/>
        </w:rPr>
        <w:t>Contre-indications absolues</w:t>
      </w:r>
      <w:r>
        <w:t xml:space="preserve"> :</w:t>
      </w:r>
    </w:p>
    <w:p>
      <w:pPr>
        <w:pStyle w:val="ListBullet"/>
      </w:pPr>
      <w:r/>
      <w:r>
        <w:rPr>
          <w:b/>
        </w:rPr>
        <w:t>Porphyrie hépatique</w:t>
      </w:r>
      <w:r>
        <w:t xml:space="preserve"> (intermittente aiguë, variegata, coproporphyrie) — déclenchement de crise aiguë par induction enzymatique</w:t>
      </w:r>
    </w:p>
    <w:p>
      <w:pPr>
        <w:pStyle w:val="ListBullet"/>
      </w:pPr>
      <w:r/>
      <w:r>
        <w:rPr>
          <w:b/>
        </w:rPr>
        <w:t>Bloc auriculo-ventriculaire (BAV) non appareillé</w:t>
      </w:r>
      <w:r>
        <w:t xml:space="preserve"> — effet dépresseur sur la conduction cardiaque</w:t>
      </w:r>
    </w:p>
    <w:p>
      <w:pPr>
        <w:pStyle w:val="ListBullet"/>
      </w:pPr>
      <w:r/>
      <w:r>
        <w:rPr>
          <w:b/>
        </w:rPr>
        <w:t>Antécédent de troubles de la conduction cardiaque</w:t>
      </w:r>
      <w:r>
        <w:t xml:space="preserve"> (allongement QT, BAV)</w:t>
      </w:r>
    </w:p>
    <w:p>
      <w:pPr>
        <w:pStyle w:val="ListBullet"/>
      </w:pPr>
      <w:r/>
      <w:r>
        <w:rPr>
          <w:b/>
        </w:rPr>
        <w:t>Antécédent de réaction cutanée sévère</w:t>
      </w:r>
      <w:r>
        <w:t xml:space="preserve"> à la carbamazépine (Stevens-Johnson, Lyell, DRESS) — CI définitive absolue — dépistage HLA-B\*1502</w:t>
      </w:r>
    </w:p>
    <w:p>
      <w:pPr>
        <w:pStyle w:val="ListBullet"/>
      </w:pPr>
      <w:r/>
      <w:r>
        <w:rPr>
          <w:b/>
        </w:rPr>
        <w:t>Allergie à la carbamazépine</w:t>
      </w:r>
      <w:r>
        <w:t xml:space="preserve"> ou aux tricycliques (imipramine, amitriptyline, clomipramine)</w:t>
      </w:r>
    </w:p>
    <w:p>
      <w:pPr>
        <w:pStyle w:val="ListBullet"/>
      </w:pPr>
      <w:r/>
      <w:r>
        <w:rPr>
          <w:b/>
        </w:rPr>
        <w:t>Association avec IMAO non sélectif</w:t>
      </w:r>
      <w:r>
        <w:t xml:space="preserve"> (risque d'hypertension maligne, syndrome sérotoninergique) — wash-out 15 jours</w:t>
      </w:r>
    </w:p>
    <w:p>
      <w:pPr>
        <w:pStyle w:val="ListBullet"/>
      </w:pPr>
      <w:r/>
      <w:r>
        <w:rPr>
          <w:b/>
        </w:rPr>
        <w:t>Association avec voriconazole</w:t>
      </w:r>
      <w:r>
        <w:t xml:space="preserve"> (métabolisme de la carbamazépine inhibé → toxicité) — CI absolue</w:t>
      </w:r>
    </w:p>
    <w:p>
      <w:pPr>
        <w:pStyle w:val="ListBullet"/>
      </w:pPr>
      <w:r/>
      <w:r>
        <w:rPr>
          <w:b/>
        </w:rPr>
        <w:t>Association avec télithromycine</w:t>
      </w:r>
      <w:r>
        <w:t xml:space="preserve"> (idem) — CI absolue</w:t>
      </w:r>
    </w:p>
    <w:p>
      <w:pPr>
        <w:pStyle w:val="ListBullet"/>
      </w:pPr>
      <w:r/>
      <w:r>
        <w:rPr>
          <w:b/>
        </w:rPr>
        <w:t>Association avec inhibiteurs de protéase du VIH</w:t>
      </w:r>
      <w:r>
        <w:t xml:space="preserve"> (baisse d'efficacité antirétrovirale par induction)</w:t>
      </w:r>
    </w:p>
    <w:p>
      <w:pPr>
        <w:pStyle w:val="ListBullet"/>
      </w:pPr>
      <w:r/>
      <w:r>
        <w:rPr>
          <w:b/>
        </w:rPr>
        <w:t>Grossesse 1er trimestre</w:t>
      </w:r>
      <w:r>
        <w:t xml:space="preserve"> (CI relative — spina bifida 0,5-1 %, hypoplasie unguéale) — à éviter si possible (préférer lamotrigine)</w:t>
      </w:r>
    </w:p>
    <w:p>
      <w:pPr>
        <w:pStyle w:val="ListBullet"/>
      </w:pPr>
      <w:r/>
      <w:r>
        <w:rPr>
          <w:b/>
        </w:rPr>
        <w:t>Contre-indications relatives</w:t>
      </w:r>
      <w:r>
        <w:t xml:space="preserve"> :</w:t>
      </w:r>
    </w:p>
    <w:p>
      <w:pPr>
        <w:pStyle w:val="ListBullet"/>
      </w:pPr>
      <w:r>
        <w:t>Sujet âgé (&gt; 65 ans) — surveillance accrue (somnolence, hyponatrémie, ataxie)</w:t>
      </w:r>
    </w:p>
    <w:p>
      <w:pPr>
        <w:pStyle w:val="ListBullet"/>
      </w:pPr>
      <w:r>
        <w:t>Insuffisance hépatique (adaptation posologique)</w:t>
      </w:r>
    </w:p>
    <w:p>
      <w:pPr>
        <w:pStyle w:val="ListBullet"/>
      </w:pPr>
      <w:r>
        <w:t>Insuffisance rénale (adaptation posologique)</w:t>
      </w:r>
    </w:p>
    <w:p>
      <w:pPr>
        <w:pStyle w:val="ListBullet"/>
      </w:pPr>
      <w:r>
        <w:t>Hyponatrémie préexistante (risque de majoration)</w:t>
      </w:r>
    </w:p>
    <w:p>
      <w:pPr>
        <w:pStyle w:val="ListBullet"/>
      </w:pPr>
      <w:r>
        <w:t>Antécédent de troubles hématologiques (cytopénies)</w:t>
      </w:r>
    </w:p>
    <w:p>
      <w:pPr>
        <w:pStyle w:val="ListBullet"/>
      </w:pPr>
      <w:r>
        <w:t>Glaucome à angle fermé (effet anticholinergique)</w:t>
      </w:r>
    </w:p>
    <w:p>
      <w:pPr>
        <w:pStyle w:val="ListBullet"/>
      </w:pPr>
      <w:r>
        <w:t>Adénome de prostate (effet anticholinergique — rétention urinaire)</w:t>
      </w:r>
    </w:p>
    <w:p>
      <w:pPr>
        <w:pStyle w:val="ListBullet"/>
      </w:pPr>
      <w:r/>
      <w:r>
        <w:rPr>
          <w:b/>
        </w:rPr>
        <w:t>Effets indésirables</w:t>
      </w:r>
      <w:r>
        <w:t xml:space="preserve"> :</w:t>
      </w:r>
    </w:p>
    <w:p>
      <w:r>
        <w:t xml:space="preserve">  </w:t>
      </w:r>
      <w:r>
        <w:rPr>
          <w:i/>
        </w:rPr>
        <w:t>Neurologiques (30-40 % — dose-dépendants)</w:t>
      </w:r>
      <w:r>
        <w:t xml:space="preserve"> :</w:t>
      </w:r>
    </w:p>
    <w:p>
      <w:pPr>
        <w:pStyle w:val="ListBullet"/>
      </w:pPr>
      <w:r/>
      <w:r>
        <w:rPr>
          <w:b/>
        </w:rPr>
        <w:t>Somnolence, sédation</w:t>
      </w:r>
      <w:r>
        <w:t xml:space="preserve"> (20-30 %) — particulièrement en début de traitement</w:t>
      </w:r>
    </w:p>
    <w:p>
      <w:pPr>
        <w:pStyle w:val="ListBullet"/>
      </w:pPr>
      <w:r/>
      <w:r>
        <w:rPr>
          <w:b/>
        </w:rPr>
        <w:t>Vertiges, étourdissements</w:t>
      </w:r>
      <w:r>
        <w:t xml:space="preserve"> (15-25 %)</w:t>
      </w:r>
    </w:p>
    <w:p>
      <w:pPr>
        <w:pStyle w:val="ListBullet"/>
      </w:pPr>
      <w:r/>
      <w:r>
        <w:rPr>
          <w:b/>
        </w:rPr>
        <w:t>Ataxie</w:t>
      </w:r>
      <w:r>
        <w:t xml:space="preserve"> (10-15 %) — troubles de la coordination</w:t>
      </w:r>
    </w:p>
    <w:p>
      <w:pPr>
        <w:pStyle w:val="ListBullet"/>
      </w:pPr>
      <w:r/>
      <w:r>
        <w:rPr>
          <w:b/>
        </w:rPr>
        <w:t>Diplopie, vision floue</w:t>
      </w:r>
      <w:r>
        <w:t xml:space="preserve"> (10-15 %) — effet sur la conduction nerveuse oculomotrice</w:t>
      </w:r>
    </w:p>
    <w:p>
      <w:pPr>
        <w:pStyle w:val="ListBullet"/>
      </w:pPr>
      <w:r/>
      <w:r>
        <w:rPr>
          <w:b/>
        </w:rPr>
        <w:t>Céphalées</w:t>
      </w:r>
      <w:r>
        <w:t xml:space="preserve"> (10 %)</w:t>
      </w:r>
    </w:p>
    <w:p>
      <w:pPr>
        <w:pStyle w:val="ListBullet"/>
      </w:pPr>
      <w:r/>
      <w:r>
        <w:rPr>
          <w:b/>
        </w:rPr>
        <w:t>Tremblements</w:t>
      </w:r>
      <w:r>
        <w:t xml:space="preserve"> (5-10 %)</w:t>
      </w:r>
    </w:p>
    <w:p>
      <w:pPr>
        <w:pStyle w:val="ListBullet"/>
      </w:pPr>
      <w:r/>
      <w:r>
        <w:rPr>
          <w:b/>
        </w:rPr>
        <w:t>Dyskinésies orofaciales</w:t>
      </w:r>
      <w:r>
        <w:t xml:space="preserve"> (rares, à long terme)</w:t>
      </w:r>
    </w:p>
    <w:p>
      <w:pPr>
        <w:pStyle w:val="ListBullet"/>
      </w:pPr>
      <w:r/>
      <w:r>
        <w:rPr>
          <w:b/>
        </w:rPr>
        <w:t>Troubles cognitifs</w:t>
      </w:r>
      <w:r>
        <w:t xml:space="preserve"> (mémoire, attention) — sujet âgé particulièrement sensible</w:t>
      </w:r>
    </w:p>
    <w:p>
      <w:r>
        <w:t xml:space="preserve">  </w:t>
      </w:r>
      <w:r>
        <w:rPr>
          <w:i/>
        </w:rPr>
        <w:t>Gastro-intestinaux (15-20 %)</w:t>
      </w:r>
      <w:r>
        <w:t xml:space="preserve"> :</w:t>
      </w:r>
    </w:p>
    <w:p>
      <w:pPr>
        <w:pStyle w:val="ListBullet"/>
      </w:pPr>
      <w:r/>
      <w:r>
        <w:rPr>
          <w:b/>
        </w:rPr>
        <w:t>Nausées, vomissements</w:t>
      </w:r>
      <w:r>
        <w:t xml:space="preserve"> (10-15 %)</w:t>
      </w:r>
    </w:p>
    <w:p>
      <w:pPr>
        <w:pStyle w:val="ListBullet"/>
      </w:pPr>
      <w:r/>
      <w:r>
        <w:rPr>
          <w:b/>
        </w:rPr>
        <w:t>Constipation</w:t>
      </w:r>
      <w:r>
        <w:t xml:space="preserve"> (10-15 %) — effet anticholinergique</w:t>
      </w:r>
    </w:p>
    <w:p>
      <w:pPr>
        <w:pStyle w:val="ListBullet"/>
      </w:pPr>
      <w:r/>
      <w:r>
        <w:rPr>
          <w:b/>
        </w:rPr>
        <w:t>Sécheresse buccale</w:t>
      </w:r>
      <w:r>
        <w:t xml:space="preserve"> (effet anticholinergique)</w:t>
      </w:r>
    </w:p>
    <w:p>
      <w:pPr>
        <w:pStyle w:val="ListBullet"/>
      </w:pPr>
      <w:r/>
      <w:r>
        <w:rPr>
          <w:b/>
        </w:rPr>
        <w:t>Douleurs abdominales</w:t>
      </w:r>
      <w:r/>
    </w:p>
    <w:p>
      <w:r>
        <w:t xml:space="preserve">  </w:t>
      </w:r>
      <w:r>
        <w:rPr>
          <w:i/>
        </w:rPr>
        <w:t>Cutanés (5-10 % bénins, 1/10 000 sévères)</w:t>
      </w:r>
      <w:r>
        <w:t xml:space="preserve"> :</w:t>
      </w:r>
    </w:p>
    <w:p>
      <w:pPr>
        <w:pStyle w:val="ListBullet"/>
      </w:pPr>
      <w:r/>
      <w:r>
        <w:rPr>
          <w:b/>
        </w:rPr>
        <w:t>Rash maculopapuleux bénin</w:t>
      </w:r>
      <w:r>
        <w:t xml:space="preserve"> (5-10 %) — survient dans les 2-8 premières semaines — souvent transitoire, mais surveillance étroite (risque d'évolution vers SJS)</w:t>
      </w:r>
    </w:p>
    <w:p>
      <w:pPr>
        <w:pStyle w:val="ListBullet"/>
      </w:pPr>
      <w:r/>
      <w:r>
        <w:rPr>
          <w:b/>
        </w:rPr>
        <w:t>Stevens-Johnson (SJS) et syndrome de Lyell</w:t>
      </w:r>
      <w:r>
        <w:t xml:space="preserve"> (1/10 000 — risque majoré × 100 chez porteurs HLA-B\*1502) — signes : éruption maculeuse en cibles, décollement cutané, atteinte des muqueuses (buccale, conjonctivale, génitale), fièvre — </w:t>
      </w:r>
      <w:r>
        <w:rPr>
          <w:b/>
        </w:rPr>
        <w:t>urgence dermatologique vitale</w:t>
      </w:r>
      <w:r>
        <w:t xml:space="preserve"> (mortalité 30 % pour SJS, 50 % pour Lyell) — arrêt immédiat définitif, hospitalisation urgente en réanimation dermatologique</w:t>
      </w:r>
    </w:p>
    <w:p>
      <w:pPr>
        <w:pStyle w:val="ListBullet"/>
      </w:pPr>
      <w:r/>
      <w:r>
        <w:rPr>
          <w:b/>
        </w:rPr>
        <w:t>DRESS</w:t>
      </w:r>
      <w:r>
        <w:t xml:space="preserve"> (Drug Rash with Eosinophilia and Systemic Symptoms — 1/10 000) — éruption fébrile, adénopathies, éosinophilie, atteinte multiviscérale (foie, rein, poumon, cœur) — survenue retardée (2-8 semaines) — arrêt immédiat définitif</w:t>
      </w:r>
    </w:p>
    <w:p>
      <w:pPr>
        <w:pStyle w:val="ListBullet"/>
      </w:pPr>
      <w:r/>
      <w:r>
        <w:rPr>
          <w:b/>
        </w:rPr>
        <w:t>Photosensibilité</w:t>
      </w:r>
      <w:r>
        <w:t xml:space="preserve"> (protection solaire)</w:t>
      </w:r>
    </w:p>
    <w:p>
      <w:r>
        <w:t xml:space="preserve">  </w:t>
      </w:r>
      <w:r>
        <w:rPr>
          <w:i/>
        </w:rPr>
        <w:t>Hématologiques (5-10 %)</w:t>
      </w:r>
      <w:r>
        <w:t xml:space="preserve"> :</w:t>
      </w:r>
    </w:p>
    <w:p>
      <w:pPr>
        <w:pStyle w:val="ListBullet"/>
      </w:pPr>
      <w:r/>
      <w:r>
        <w:rPr>
          <w:b/>
        </w:rPr>
        <w:t>Leucopénie</w:t>
      </w:r>
      <w:r>
        <w:t xml:space="preserve"> (5-10 %) — dose-dépendante — surveillance NFS</w:t>
      </w:r>
    </w:p>
    <w:p>
      <w:pPr>
        <w:pStyle w:val="ListBullet"/>
      </w:pPr>
      <w:r/>
      <w:r>
        <w:rPr>
          <w:b/>
        </w:rPr>
        <w:t>Thrombopénie</w:t>
      </w:r>
      <w:r>
        <w:t xml:space="preserve"> (2-5 %)</w:t>
      </w:r>
    </w:p>
    <w:p>
      <w:pPr>
        <w:pStyle w:val="ListBullet"/>
      </w:pPr>
      <w:r/>
      <w:r>
        <w:rPr>
          <w:b/>
        </w:rPr>
        <w:t>Anémie aplasique</w:t>
      </w:r>
      <w:r>
        <w:t xml:space="preserve"> (rare, 1/50 000 — signes : asthénie, pâleur, ecchymoses, infections) — arrêt immédiat, hospitalisation urgente</w:t>
      </w:r>
    </w:p>
    <w:p>
      <w:pPr>
        <w:pStyle w:val="ListBullet"/>
      </w:pPr>
      <w:r/>
      <w:r>
        <w:rPr>
          <w:b/>
        </w:rPr>
        <w:t>Agranulocytose</w:t>
      </w:r>
      <w:r>
        <w:t xml:space="preserve"> (rare, 1/100 000 — signes : angine, fièvre, ulcérations buccales) — arrêt immédiat définitif, hospitalisation urgente en milieu hématologique</w:t>
      </w:r>
    </w:p>
    <w:p>
      <w:r>
        <w:t xml:space="preserve">  </w:t>
      </w:r>
      <w:r>
        <w:rPr>
          <w:i/>
        </w:rPr>
        <w:t>Hyponatrémie (SIADH — 5-15 %)</w:t>
      </w:r>
      <w:r>
        <w:t xml:space="preserve"> :</w:t>
      </w:r>
    </w:p>
    <w:p>
      <w:pPr>
        <w:pStyle w:val="ListBullet"/>
      </w:pPr>
      <w:r/>
      <w:r>
        <w:rPr>
          <w:b/>
        </w:rPr>
        <w:t>Hyponatrémie</w:t>
      </w:r>
      <w:r>
        <w:t xml:space="preserve"> par sécrétion inappropriée d'hormone antidiurétique (SIADH) — particulièrement fréquente chez le sujet âgé et en association avec diurétiques thiazidiques ou ISRS — signes : céphalées, nausées, confusion, convulsions (si Na⁺ &lt; 120 mmol/L) — surveillance ionogramme</w:t>
      </w:r>
    </w:p>
    <w:p>
      <w:r>
        <w:t xml:space="preserve">  </w:t>
      </w:r>
      <w:r>
        <w:rPr>
          <w:i/>
        </w:rPr>
        <w:t>Hépatiques (5 %)</w:t>
      </w:r>
      <w:r>
        <w:t xml:space="preserve"> :</w:t>
      </w:r>
    </w:p>
    <w:p>
      <w:pPr>
        <w:pStyle w:val="ListBullet"/>
      </w:pPr>
      <w:r/>
      <w:r>
        <w:rPr>
          <w:b/>
        </w:rPr>
        <w:t>Cytolyse hépatique modérée transitoire</w:t>
      </w:r>
      <w:r>
        <w:t xml:space="preserve"> (5 %) — élévation ALAT/ASAT × 2 N — surveillance mensuelle</w:t>
      </w:r>
    </w:p>
    <w:p>
      <w:pPr>
        <w:pStyle w:val="ListBullet"/>
      </w:pPr>
      <w:r/>
      <w:r>
        <w:rPr>
          <w:b/>
        </w:rPr>
        <w:t>Hépatite cholestatique</w:t>
      </w:r>
      <w:r>
        <w:t xml:space="preserve"> (rare) — arrêt immédiat</w:t>
      </w:r>
    </w:p>
    <w:p>
      <w:r>
        <w:t xml:space="preserve">  </w:t>
      </w:r>
      <w:r>
        <w:rPr>
          <w:i/>
        </w:rPr>
        <w:t>Endocriniens</w:t>
      </w:r>
      <w:r>
        <w:t xml:space="preserve"> :</w:t>
      </w:r>
    </w:p>
    <w:p>
      <w:pPr>
        <w:pStyle w:val="ListBullet"/>
      </w:pPr>
      <w:r/>
      <w:r>
        <w:rPr>
          <w:b/>
        </w:rPr>
        <w:t>Hypothyroïdie</w:t>
      </w:r>
      <w:r>
        <w:t xml:space="preserve"> (rare — induction du métabolisme de la T4)</w:t>
      </w:r>
    </w:p>
    <w:p>
      <w:pPr>
        <w:pStyle w:val="ListBullet"/>
      </w:pPr>
      <w:r/>
      <w:r>
        <w:rPr>
          <w:b/>
        </w:rPr>
        <w:t>Ostéomalacie</w:t>
      </w:r>
      <w:r>
        <w:t xml:space="preserve"> (induction du métabolisme de la vitamine D — à long terme)</w:t>
      </w:r>
    </w:p>
    <w:p>
      <w:pPr>
        <w:pStyle w:val="ListBullet"/>
      </w:pPr>
      <w:r/>
      <w:r>
        <w:rPr>
          <w:b/>
        </w:rPr>
        <w:t>Hypercholestérolémie</w:t>
      </w:r>
      <w:r>
        <w:t xml:space="preserve"> (induction de la HMG-CoA réductase)</w:t>
      </w:r>
    </w:p>
    <w:p>
      <w:r>
        <w:t xml:space="preserve">  </w:t>
      </w:r>
      <w:r>
        <w:rPr>
          <w:i/>
        </w:rPr>
        <w:t>Cardiovasculaires</w:t>
      </w:r>
      <w:r>
        <w:t xml:space="preserve"> :</w:t>
      </w:r>
    </w:p>
    <w:p>
      <w:pPr>
        <w:pStyle w:val="ListBullet"/>
      </w:pPr>
      <w:r/>
      <w:r>
        <w:rPr>
          <w:b/>
        </w:rPr>
        <w:t>Allongement QT</w:t>
      </w:r>
      <w:r>
        <w:t xml:space="preserve"> (effet sur la conduction — rare mais grave)</w:t>
      </w:r>
    </w:p>
    <w:p>
      <w:pPr>
        <w:pStyle w:val="ListBullet"/>
      </w:pPr>
      <w:r/>
      <w:r>
        <w:rPr>
          <w:b/>
        </w:rPr>
        <w:t>Bradycardie sinusale</w:t>
      </w:r>
      <w:r>
        <w:t>, BAV (rare)</w:t>
      </w:r>
    </w:p>
    <w:p>
      <w:pPr>
        <w:pStyle w:val="ListBullet"/>
      </w:pPr>
      <w:r/>
      <w:r>
        <w:rPr>
          <w:b/>
        </w:rPr>
        <w:t>Hypotension orthostatique</w:t>
      </w:r>
      <w:r>
        <w:t xml:space="preserve"> (surtout sujet âgé)</w:t>
      </w:r>
    </w:p>
    <w:p>
      <w:r>
        <w:t xml:space="preserve">  </w:t>
      </w:r>
      <w:r>
        <w:rPr>
          <w:i/>
        </w:rPr>
        <w:t>Tératogénicité</w:t>
      </w:r>
      <w:r>
        <w:t xml:space="preserve"> : voir section Grossesse</w:t>
      </w:r>
    </w:p>
    <w:p>
      <w:r/>
      <w:r>
        <w:rPr>
          <w:b/>
        </w:rPr>
        <w:t>Prévention et Gestion des Effets Indésirables :</w:t>
      </w:r>
      <w:r/>
    </w:p>
    <w:p>
      <w:pPr>
        <w:pStyle w:val="ListBullet"/>
      </w:pPr>
      <w:r/>
      <w:r>
        <w:rPr>
          <w:b/>
        </w:rPr>
        <w:t>Mesures Préventives systématiques</w:t>
      </w:r>
      <w:r>
        <w:t xml:space="preserve"> :</w:t>
      </w:r>
    </w:p>
    <w:p>
      <w:r>
        <w:t xml:space="preserve">  </w:t>
      </w:r>
      <w:r>
        <w:rPr>
          <w:i/>
        </w:rPr>
        <w:t>Bilan pré-thérapeutique complet obligatoire avant initiation :</w:t>
      </w:r>
      <w:r/>
    </w:p>
    <w:p>
      <w:pPr>
        <w:pStyle w:val="ListBullet"/>
      </w:pPr>
      <w:r>
        <w:t>NFS-plaquettes (référence — dépistage cytopénie préexistante)</w:t>
      </w:r>
    </w:p>
    <w:p>
      <w:pPr>
        <w:pStyle w:val="ListBullet"/>
      </w:pPr>
      <w:r>
        <w:t>Bilan hépatique complet : ALAT, ASAT, γ-GT, phosphatases alcalines, bilirubine</w:t>
      </w:r>
    </w:p>
    <w:p>
      <w:pPr>
        <w:pStyle w:val="ListBullet"/>
      </w:pPr>
      <w:r>
        <w:t>Ionogramme sanguin (Na⁺, K⁺) — dépistage hyponatrémie préexistante</w:t>
      </w:r>
    </w:p>
    <w:p>
      <w:pPr>
        <w:pStyle w:val="ListBullet"/>
      </w:pPr>
      <w:r>
        <w:t>Créatininémie + DFG</w:t>
      </w:r>
    </w:p>
    <w:p>
      <w:pPr>
        <w:pStyle w:val="ListBullet"/>
      </w:pPr>
      <w:r>
        <w:t>ECG (recherche allongement QTc, BAV)</w:t>
      </w:r>
    </w:p>
    <w:p>
      <w:pPr>
        <w:pStyle w:val="ListBullet"/>
      </w:pPr>
      <w:r>
        <w:t>β-hCG chez la femme en âge de procréer (grossesse)</w:t>
      </w:r>
    </w:p>
    <w:p>
      <w:pPr>
        <w:pStyle w:val="ListBullet"/>
      </w:pPr>
      <w:r>
        <w:t>TSH ultra-sensible</w:t>
      </w:r>
    </w:p>
    <w:p>
      <w:pPr>
        <w:pStyle w:val="ListBullet"/>
      </w:pPr>
      <w:r>
        <w:t>Vitamine D sérique (dépistage carence — ostéomalacie)</w:t>
      </w:r>
    </w:p>
    <w:p>
      <w:pPr>
        <w:pStyle w:val="ListBullet"/>
      </w:pPr>
      <w:r>
        <w:t>Poids, taille, IMC</w:t>
      </w:r>
    </w:p>
    <w:p>
      <w:pPr>
        <w:pStyle w:val="ListBullet"/>
      </w:pPr>
      <w:r>
        <w:t>**HLA-B\*1502** : dépistage systématique avant instauration chez les patients d'origine asiatique (Chine, Thaïlande, Malaisie, Indonésie, Philippines, Vietnam, Inde du Sud) — recommandation FDA 2007, EMA 2008 — en cas d'allèle positif : CI absolue à la carbamazépine (risque SJS × 100). Pour le Maghreb (Algérie, Tunisie, Maroc), la prévalence est faible (&lt; 1 %) mais le dépistage peut être discuté en cas d'antécédent de réaction cutanée médicamenteuse</w:t>
      </w:r>
    </w:p>
    <w:p>
      <w:r>
        <w:t xml:space="preserve">  </w:t>
      </w:r>
      <w:r>
        <w:rPr>
          <w:i/>
        </w:rPr>
        <w:t>Surveillance biologique en cours de traitement :</w:t>
      </w:r>
      <w:r/>
    </w:p>
    <w:p>
      <w:pPr>
        <w:pStyle w:val="ListBullet"/>
      </w:pPr>
      <w:r/>
      <w:r>
        <w:rPr>
          <w:b/>
        </w:rPr>
        <w:t>NFS-plaquettes</w:t>
      </w:r>
      <w:r>
        <w:t xml:space="preserve"> : mensuelle 3 mois, puis trimestrielle 1 an, puis semestrielle à vie</w:t>
      </w:r>
    </w:p>
    <w:p>
      <w:pPr>
        <w:pStyle w:val="ListBullet"/>
      </w:pPr>
      <w:r/>
      <w:r>
        <w:rPr>
          <w:b/>
        </w:rPr>
        <w:t>Bilan hépatique (ALAT, ASAT)</w:t>
      </w:r>
      <w:r>
        <w:t xml:space="preserve"> : mensuelle 3 mois, puis trimestrielle 1 an, puis semestrielle</w:t>
      </w:r>
    </w:p>
    <w:p>
      <w:pPr>
        <w:pStyle w:val="ListBullet"/>
      </w:pPr>
      <w:r/>
      <w:r>
        <w:rPr>
          <w:b/>
        </w:rPr>
        <w:t>Ionogramme sanguin (Na⁺)</w:t>
      </w:r>
      <w:r>
        <w:t xml:space="preserve"> : mensuelle 3 mois, puis trimestrielle (dépistage SIADH)</w:t>
      </w:r>
    </w:p>
    <w:p>
      <w:pPr>
        <w:pStyle w:val="ListBullet"/>
      </w:pPr>
      <w:r/>
      <w:r>
        <w:rPr>
          <w:b/>
        </w:rPr>
        <w:t>Carbazémie</w:t>
      </w:r>
      <w:r>
        <w:t xml:space="preserve"> : à J7-J10 après initiation, puis à 3-4 semaines (après auto-induction complète), puis semestrielle — cible 4-12 mg/L (17-50 µmol/L)</w:t>
      </w:r>
    </w:p>
    <w:p>
      <w:pPr>
        <w:pStyle w:val="ListBullet"/>
      </w:pPr>
      <w:r/>
      <w:r>
        <w:rPr>
          <w:b/>
        </w:rPr>
        <w:t>TSH</w:t>
      </w:r>
      <w:r>
        <w:t xml:space="preserve"> : annuelle</w:t>
      </w:r>
    </w:p>
    <w:p>
      <w:pPr>
        <w:pStyle w:val="ListBullet"/>
      </w:pPr>
      <w:r/>
      <w:r>
        <w:rPr>
          <w:b/>
        </w:rPr>
        <w:t>Vitamine D</w:t>
      </w:r>
      <w:r>
        <w:t xml:space="preserve"> : annuelle (dépistage carence — ostéomalacie)</w:t>
      </w:r>
    </w:p>
    <w:p>
      <w:pPr>
        <w:pStyle w:val="ListBullet"/>
      </w:pPr>
      <w:r/>
      <w:r>
        <w:rPr>
          <w:b/>
        </w:rPr>
        <w:t>ECG</w:t>
      </w:r>
      <w:r>
        <w:t xml:space="preserve"> : annuel (surtout si sujet âgé ou QTc &gt; 440 ms)</w:t>
      </w:r>
    </w:p>
    <w:p>
      <w:pPr>
        <w:pStyle w:val="ListBullet"/>
      </w:pPr>
      <w:r/>
      <w:r>
        <w:rPr>
          <w:b/>
        </w:rPr>
        <w:t>Conduite à tenir selon l'effet indésirable</w:t>
      </w:r>
      <w:r>
        <w:t xml:space="preserve"> :</w:t>
      </w:r>
    </w:p>
    <w:p>
      <w:r>
        <w:t xml:space="preserve">  </w:t>
      </w:r>
      <w:r>
        <w:rPr>
          <w:i/>
        </w:rPr>
        <w:t>Troubles neurologiques précoces</w:t>
      </w:r>
      <w:r>
        <w:t xml:space="preserve"> (somnolence, vertiges, ataxie, diplopie) : souvent transitoires (1-2 semaines) — réduire dose temporairement — surveiller carbazémie (&gt; 12 mg/L → réduire) — privilégier prise vespérale.</w:t>
      </w:r>
    </w:p>
    <w:p>
      <w:r>
        <w:t xml:space="preserve">  </w:t>
      </w:r>
      <w:r>
        <w:rPr>
          <w:i/>
        </w:rPr>
        <w:t>Rash cutané bénin (maculopapuleux)</w:t>
      </w:r>
      <w:r>
        <w:t xml:space="preserve"> : </w:t>
      </w:r>
      <w:r>
        <w:rPr>
          <w:b/>
        </w:rPr>
        <w:t>surveillance étroite obligatoire</w:t>
      </w:r>
      <w:r>
        <w:t xml:space="preserve"> — évaluer l'évolution : si extension rapide, fièvre, atteinte des muqueuses (buccale, conjonctivale), décollement cutané → évoquer SJS → </w:t>
      </w:r>
      <w:r>
        <w:rPr>
          <w:b/>
        </w:rPr>
        <w:t>arrêt immédiat définitif, hospitalisation urgente</w:t>
      </w:r>
      <w:r>
        <w:t>. Si rash bénin stable : consulter dermatologue, souvent arrêt par prudence (switch vers alternative non tricyclique).</w:t>
      </w:r>
    </w:p>
    <w:p>
      <w:r>
        <w:t xml:space="preserve">  </w:t>
      </w:r>
      <w:r>
        <w:rPr>
          <w:i/>
        </w:rPr>
        <w:t>Stevens-Johnson / Lyell</w:t>
      </w:r>
      <w:r>
        <w:t xml:space="preserve"> : </w:t>
      </w:r>
      <w:r>
        <w:rPr>
          <w:b/>
        </w:rPr>
        <w:t>urgence dermatologique vitale</w:t>
      </w:r>
      <w:r>
        <w:t xml:space="preserve"> — arrêt immédiat définitif de la carbamazépine — hospitalisation urgente en réanimation dermatologique — traitement symptomatique (réhydratation IV, antibiothérapie prophylactique, nutrition entérale, soins locaux) — mortalité 30-50 %. </w:t>
      </w:r>
      <w:r>
        <w:rPr>
          <w:b/>
        </w:rPr>
        <w:t>CI définitive absolue à toute réintroduction</w:t>
      </w:r>
      <w:r>
        <w:t xml:space="preserve"> (risque de récidive létale). Déclaration de pharmacovigilance obligatoire.</w:t>
      </w:r>
    </w:p>
    <w:p>
      <w:r>
        <w:t xml:space="preserve">  </w:t>
      </w:r>
      <w:r>
        <w:rPr>
          <w:i/>
        </w:rPr>
        <w:t>DRESS</w:t>
      </w:r>
      <w:r>
        <w:t xml:space="preserve"> : arrêt immédiat définitif — hospitalisation — corticothérapie générale (1 mg/kg prednisone) — recherche atteinte multiviscérale (foie, rein, poumon, cœur) — </w:t>
      </w:r>
      <w:r>
        <w:rPr>
          <w:b/>
        </w:rPr>
        <w:t>CI définitive à toute réintroduction</w:t>
      </w:r>
      <w:r>
        <w:t>.</w:t>
      </w:r>
    </w:p>
    <w:p>
      <w:r>
        <w:t xml:space="preserve">  </w:t>
      </w:r>
      <w:r>
        <w:rPr>
          <w:i/>
        </w:rPr>
        <w:t>Leucopénie (&lt; 3000/mm³) ou thrombopénie (&lt; 100 G/L)</w:t>
      </w:r>
      <w:r>
        <w:t xml:space="preserve"> : diminution dose — surveillance hebdomadaire — si &lt; 2000/mm³ ou &lt; 50 G/L : </w:t>
      </w:r>
      <w:r>
        <w:rPr>
          <w:b/>
        </w:rPr>
        <w:t>arrêt immédiat définitif</w:t>
      </w:r>
      <w:r>
        <w:t>, hospitalisation urgente.</w:t>
      </w:r>
    </w:p>
    <w:p>
      <w:r>
        <w:t xml:space="preserve">  </w:t>
      </w:r>
      <w:r>
        <w:rPr>
          <w:i/>
        </w:rPr>
        <w:t>Hyponatrémie (Na⁺ &lt; 130 mmol/L)</w:t>
      </w:r>
      <w:r>
        <w:t xml:space="preserve"> : restriction hydrique (1 L/jour), arrêt des diurétiques si associés, surveillance ionogramme — si Na⁺ &lt; 120 mmol/L ou convulsions : hospitalisation urgente, NaCl IV hypertonique 3 % prudent.</w:t>
      </w:r>
    </w:p>
    <w:p>
      <w:r>
        <w:t xml:space="preserve">  </w:t>
      </w:r>
      <w:r>
        <w:rPr>
          <w:i/>
        </w:rPr>
        <w:t>Cytolyse hépatique (ALAT × 3 N)</w:t>
      </w:r>
      <w:r>
        <w:t xml:space="preserve"> : surveillance hebdomadaire — si ALAT × 5 N ou symptômes (ictère) : arrêt immédiat.</w:t>
      </w:r>
    </w:p>
    <w:p>
      <w:r>
        <w:t xml:space="preserve">  </w:t>
      </w:r>
      <w:r>
        <w:rPr>
          <w:i/>
        </w:rPr>
        <w:t>Allongement QTc (&gt; 440 ms homme, 460 ms femme)</w:t>
      </w:r>
      <w:r>
        <w:t xml:space="preserve"> : surveillance ECG — si &gt; 500 ms : arrêt immédiat.</w:t>
      </w:r>
    </w:p>
    <w:p>
      <w:r>
        <w:t xml:space="preserve">  </w:t>
      </w:r>
      <w:r>
        <w:rPr>
          <w:i/>
        </w:rPr>
        <w:t>Éducation du patient</w:t>
      </w:r>
      <w:r>
        <w:t xml:space="preserve"> : carte de patient mentionnant le traitement, information sur les signes de Stevens-Johnson (fièvre + éruption cutanée + atteinte muqueuses — URGENCE), information sur les interactions médicamenteuses (carbamazépine = inducteur enzymatique — nombreux médicaments interagissent), information sur la nécessité d'informer tout médecin consulté (anesthésiste, dentiste, médecin urgentiste).</w:t>
      </w:r>
    </w:p>
    <w:p>
      <w:r/>
      <w:r>
        <w:rPr>
          <w:b/>
        </w:rPr>
        <w:t>Interactions Importantes :</w:t>
      </w:r>
      <w:r/>
    </w:p>
    <w:p>
      <w:pPr>
        <w:pStyle w:val="ListBullet"/>
      </w:pPr>
      <w:r/>
      <w:r>
        <w:rPr>
          <w:b/>
        </w:rPr>
        <w:t>Carbamazépine + Contraception orale (estroprogestatifs)</w:t>
      </w:r>
      <w:r>
        <w:t xml:space="preserve"> : </w:t>
      </w:r>
      <w:r>
        <w:rPr>
          <w:b/>
        </w:rPr>
        <w:t>induction du métabolisme des estroprogestatifs</w:t>
      </w:r>
      <w:r>
        <w:t xml:space="preserve"> (CYP3A4) → </w:t>
      </w:r>
      <w:r>
        <w:rPr>
          <w:b/>
        </w:rPr>
        <w:t>baisse d'efficacité contraceptive majeure → GROSSESSE NON DÉSIRÉE</w:t>
      </w:r>
      <w:r>
        <w:t xml:space="preserve">. </w:t>
      </w:r>
      <w:r>
        <w:rPr>
          <w:b/>
        </w:rPr>
        <w:t>Double contraception obligatoire</w:t>
      </w:r>
      <w:r>
        <w:t xml:space="preserve"> (pilule + préservatif) ou méthode non hormonale (DIU cuivre, implant progestatif — moins affecté). Information systématique à la patiente.</w:t>
      </w:r>
    </w:p>
    <w:p>
      <w:pPr>
        <w:pStyle w:val="ListBullet"/>
      </w:pPr>
      <w:r/>
      <w:r>
        <w:rPr>
          <w:b/>
        </w:rPr>
        <w:t>Carbamazépine + Anticoagulants oraux (warfarine, acénocoumarol)</w:t>
      </w:r>
      <w:r>
        <w:t xml:space="preserve"> : induction du métabolisme des antivitamines K → </w:t>
      </w:r>
      <w:r>
        <w:rPr>
          <w:b/>
        </w:rPr>
        <w:t>baisse d'efficacité anticoagulante → risque thrombotique</w:t>
      </w:r>
      <w:r>
        <w:t>. Surveillance INR hebdomadaire pendant ajustement — augmentation dose antivitamine K souvent nécessaire (+ 50-100 %).</w:t>
      </w:r>
    </w:p>
    <w:p>
      <w:pPr>
        <w:pStyle w:val="ListBullet"/>
      </w:pPr>
      <w:r/>
      <w:r>
        <w:rPr>
          <w:b/>
        </w:rPr>
        <w:t>Carbamazépine + Corticoïdes (prednisone, dexaméthasone)</w:t>
      </w:r>
      <w:r>
        <w:t xml:space="preserve"> : induction du métabolisme corticoïde → baisse d'efficacité — adaptation dose (+ 30-50 %).</w:t>
      </w:r>
    </w:p>
    <w:p>
      <w:pPr>
        <w:pStyle w:val="ListBullet"/>
      </w:pPr>
      <w:r/>
      <w:r>
        <w:rPr>
          <w:b/>
        </w:rPr>
        <w:t>Carbamazépine + Antirétroviraux (inhibiteurs de protéase, INNTI)</w:t>
      </w:r>
      <w:r>
        <w:t xml:space="preserve"> : induction du métabolisme → </w:t>
      </w:r>
      <w:r>
        <w:rPr>
          <w:b/>
        </w:rPr>
        <w:t>baisse d'efficacité antirétrovirale → résistance virologique</w:t>
      </w:r>
      <w:r>
        <w:t>. CI relative — préférer alternative thérapeutique.</w:t>
      </w:r>
    </w:p>
    <w:p>
      <w:pPr>
        <w:pStyle w:val="ListBullet"/>
      </w:pPr>
      <w:r/>
      <w:r>
        <w:rPr>
          <w:b/>
        </w:rPr>
        <w:t>Carbamazépine + Antifongiques azolés (voriconazole, kétoconazole, itraconazole, fluconazole, posaconazole)</w:t>
      </w:r>
      <w:r>
        <w:t xml:space="preserve"> : les azolés inhibent le CYP3A4 → augmentation des concentrations de carbamazépine → toxicité neurologique. </w:t>
      </w:r>
      <w:r>
        <w:rPr>
          <w:b/>
        </w:rPr>
        <w:t>Voriconazole = CI absolue</w:t>
      </w:r>
      <w:r>
        <w:t xml:space="preserve"> — préférer alternative antifongique non azolée ou alternative antiépileptique.</w:t>
      </w:r>
    </w:p>
    <w:p>
      <w:pPr>
        <w:pStyle w:val="ListBullet"/>
      </w:pPr>
      <w:r/>
      <w:r>
        <w:rPr>
          <w:b/>
        </w:rPr>
        <w:t>Carbamazépine + Macrolides (érythromycine, clarithromycine, télithromycine)</w:t>
      </w:r>
      <w:r>
        <w:t xml:space="preserve"> : inhibition du CYP3A4 → augmentation des concentrations de carbamazépine → toxicité. </w:t>
      </w:r>
      <w:r>
        <w:rPr>
          <w:b/>
        </w:rPr>
        <w:t>Télithromycine = CI absolue</w:t>
      </w:r>
      <w:r>
        <w:t xml:space="preserve"> — préférer azithromycine (pas d'inhibition CYP3A4).</w:t>
      </w:r>
    </w:p>
    <w:p>
      <w:pPr>
        <w:pStyle w:val="ListBullet"/>
      </w:pPr>
      <w:r/>
      <w:r>
        <w:rPr>
          <w:b/>
        </w:rPr>
        <w:t>Carbamazépine + Inhibiteurs calciques (diltiazem, vérapamil)</w:t>
      </w:r>
      <w:r>
        <w:t xml:space="preserve"> : inhibition du CYP3A4 → augmentation carbamazépine → toxicité.</w:t>
      </w:r>
    </w:p>
    <w:p>
      <w:pPr>
        <w:pStyle w:val="ListBullet"/>
      </w:pPr>
      <w:r/>
      <w:r>
        <w:rPr>
          <w:b/>
        </w:rPr>
        <w:t>Carbamazépine + IMAO non sélectif</w:t>
      </w:r>
      <w:r>
        <w:t xml:space="preserve"> : risque d'hypertension maligne, syndrome sérotoninergique — </w:t>
      </w:r>
      <w:r>
        <w:rPr>
          <w:b/>
        </w:rPr>
        <w:t>CI absolue</w:t>
      </w:r>
      <w:r>
        <w:t xml:space="preserve"> — wash-out 15 jours avant et après.</w:t>
      </w:r>
    </w:p>
    <w:p>
      <w:pPr>
        <w:pStyle w:val="ListBullet"/>
      </w:pPr>
      <w:r/>
      <w:r>
        <w:rPr>
          <w:b/>
        </w:rPr>
        <w:t>Carbamazépine + ISRS (fluoxétine, fluvoxamine, paroxétine)</w:t>
      </w:r>
      <w:r>
        <w:t xml:space="preserve"> : inhibition du CYP3A4 + compétition métabolique → augmentation des concentrations de carbamazépine → toxicité — surveillance clinique et carbazémie.</w:t>
      </w:r>
    </w:p>
    <w:p>
      <w:pPr>
        <w:pStyle w:val="ListBullet"/>
      </w:pPr>
      <w:r/>
      <w:r>
        <w:rPr>
          <w:b/>
        </w:rPr>
        <w:t>Carbamazépine + Lithium</w:t>
      </w:r>
      <w:r>
        <w:t xml:space="preserve"> : neurotoxicité synergique (léthargie, ataxie, confusion, tremblements grossiers) — éviter l'association ou surveiller étroitement.</w:t>
      </w:r>
    </w:p>
    <w:p>
      <w:pPr>
        <w:pStyle w:val="ListBullet"/>
      </w:pPr>
      <w:r/>
      <w:r>
        <w:rPr>
          <w:b/>
        </w:rPr>
        <w:t>Carbamazépine + Valproate</w:t>
      </w:r>
      <w:r>
        <w:t xml:space="preserve"> : interaction complexe — (a) le valproate inhibe le métabolisme de la carbamazépine → augmentation des concentrations de carbamazépine-époxyde (métabolite toxique) → toxicité neurologique ; (b) la carbamazépine induit le métabolisme du valproate → baisse d'efficacité du valproate. Surveillance clinique et dosages.</w:t>
      </w:r>
    </w:p>
    <w:p>
      <w:pPr>
        <w:pStyle w:val="ListBullet"/>
      </w:pPr>
      <w:r/>
      <w:r>
        <w:rPr>
          <w:b/>
        </w:rPr>
        <w:t>Carbamazépine + Lamotrigine</w:t>
      </w:r>
      <w:r>
        <w:t xml:space="preserve"> : la carbamazépine induit le métabolisme de la lamotrigine (UGT1A4) → baisse d'efficacité de la lamotrigine — adaptation posologique (+ 30-50 %).</w:t>
      </w:r>
    </w:p>
    <w:p>
      <w:pPr>
        <w:pStyle w:val="ListBullet"/>
      </w:pPr>
      <w:r/>
      <w:r>
        <w:rPr>
          <w:b/>
        </w:rPr>
        <w:t>Carbamazépine + Phénytoïne</w:t>
      </w:r>
      <w:r>
        <w:t xml:space="preserve"> : induction enzymatique croisée — surveillance dosages.</w:t>
      </w:r>
    </w:p>
    <w:p>
      <w:pPr>
        <w:pStyle w:val="ListBullet"/>
      </w:pPr>
      <w:r/>
      <w:r>
        <w:rPr>
          <w:b/>
        </w:rPr>
        <w:t>Carbamazépine + Thyroxine (L-thyroxine)</w:t>
      </w:r>
      <w:r>
        <w:t xml:space="preserve"> : induction du métabolisme de la T4 → baisse d'efficacité thyroxine — adaptation dose (+ 25-50 %).</w:t>
      </w:r>
    </w:p>
    <w:p>
      <w:pPr>
        <w:pStyle w:val="ListBullet"/>
      </w:pPr>
      <w:r/>
      <w:r>
        <w:rPr>
          <w:b/>
        </w:rPr>
        <w:t>Carbamazépine + Ciclosporine, tacrolimus</w:t>
      </w:r>
      <w:r>
        <w:t xml:space="preserve"> : induction du métabolisme → baisse d'efficacité immunosuppressive — adaptation dose.</w:t>
      </w:r>
    </w:p>
    <w:p>
      <w:pPr>
        <w:pStyle w:val="ListBullet"/>
      </w:pPr>
      <w:r/>
      <w:r>
        <w:rPr>
          <w:b/>
        </w:rPr>
        <w:t>Carbamazépine + Théophylline</w:t>
      </w:r>
      <w:r>
        <w:t xml:space="preserve"> : induction du métabolisme → baisse d'efficacité — surveillance théophyllinémie.</w:t>
      </w:r>
    </w:p>
    <w:p>
      <w:pPr>
        <w:pStyle w:val="ListBullet"/>
      </w:pPr>
      <w:r/>
      <w:r>
        <w:rPr>
          <w:b/>
        </w:rPr>
        <w:t>Carbamazépine + Méthadone</w:t>
      </w:r>
      <w:r>
        <w:t xml:space="preserve"> : induction du métabolisme → baisse d'efficacité — syndrome de sevrage — adaptation dose (+ 50-100 %).</w:t>
      </w:r>
    </w:p>
    <w:p>
      <w:pPr>
        <w:pStyle w:val="ListBullet"/>
      </w:pPr>
      <w:r/>
      <w:r>
        <w:rPr>
          <w:b/>
        </w:rPr>
        <w:t>Carbamazépine + Alcool</w:t>
      </w:r>
      <w:r>
        <w:t xml:space="preserve"> : potentialisation de la sédation et de la toxicité hépatique.</w:t>
      </w:r>
    </w:p>
    <w:p>
      <w:pPr>
        <w:pStyle w:val="ListBullet"/>
      </w:pPr>
      <w:r/>
      <w:r>
        <w:rPr>
          <w:b/>
        </w:rPr>
        <w:t>Carbamazépine + Pamplemousse (juice)</w:t>
      </w:r>
      <w:r>
        <w:t xml:space="preserve"> : inhibition du CYP3A4 intestinal → augmentation des concentrations de carbamazépine → toxicité — éviter.</w:t>
      </w:r>
    </w:p>
    <w:p>
      <w:pPr>
        <w:pStyle w:val="ListBullet"/>
      </w:pPr>
      <w:r/>
      <w:r>
        <w:rPr>
          <w:b/>
        </w:rPr>
        <w:t>Carbamazépine + Millepertuis (Hypericum perforatum)</w:t>
      </w:r>
      <w:r>
        <w:t xml:space="preserve"> : induction enzymatique additive → baisse d'efficacité de la carbamazépine — éviter.</w:t>
      </w:r>
    </w:p>
    <w:p>
      <w:r/>
      <w:r>
        <w:rPr>
          <w:b/>
        </w:rPr>
        <w:t>Grossesse et Allaitement :</w:t>
      </w:r>
      <w:r/>
    </w:p>
    <w:p>
      <w:pPr>
        <w:pStyle w:val="ListBullet"/>
      </w:pPr>
      <w:r/>
      <w:r>
        <w:rPr>
          <w:b/>
        </w:rPr>
        <w:t>Grossesse</w:t>
      </w:r>
      <w:r>
        <w:t xml:space="preserve"> : La carbamazépine passe librement le placenta (rapport fœto-maternel ~ 0,6-1,2). Selon CRAT, ANSM et recommandations internationales :</w:t>
      </w:r>
    </w:p>
    <w:p>
      <w:pPr>
        <w:pStyle w:val="ListBullet"/>
      </w:pPr>
      <w:r/>
      <w:r>
        <w:rPr>
          <w:b/>
        </w:rPr>
        <w:t>1er trimestre</w:t>
      </w:r>
      <w:r>
        <w:t xml:space="preserve"> : </w:t>
      </w:r>
      <w:r>
        <w:rPr>
          <w:b/>
        </w:rPr>
        <w:t>CI relative</w:t>
      </w:r>
      <w:r>
        <w:t xml:space="preserve"> (à éviter si possible) — risque tératogène modéré :</w:t>
      </w:r>
    </w:p>
    <w:p>
      <w:pPr>
        <w:pStyle w:val="ListBullet"/>
      </w:pPr>
      <w:r/>
      <w:r>
        <w:rPr>
          <w:b/>
        </w:rPr>
        <w:t>Spina bifida</w:t>
      </w:r>
      <w:r>
        <w:t xml:space="preserve"> (anomalie de fermeture du tube neural) : 0,5-1 % des nouveau-nés exposés (vs 0,1 % population générale — risque relatif × 5-10)</w:t>
      </w:r>
    </w:p>
    <w:p>
      <w:pPr>
        <w:pStyle w:val="ListBullet"/>
      </w:pPr>
      <w:r/>
      <w:r>
        <w:rPr>
          <w:b/>
        </w:rPr>
        <w:t>Hypoplasie unguéale</w:t>
      </w:r>
      <w:r>
        <w:t xml:space="preserve"> (ongles hypoplasiques des doigts et orteils) : 5-10 %</w:t>
      </w:r>
    </w:p>
    <w:p>
      <w:pPr>
        <w:pStyle w:val="ListBullet"/>
      </w:pPr>
      <w:r/>
      <w:r>
        <w:rPr>
          <w:b/>
        </w:rPr>
        <w:t>Craniofaciosténose</w:t>
      </w:r>
      <w:r>
        <w:t xml:space="preserve"> : rare</w:t>
      </w:r>
    </w:p>
    <w:p>
      <w:pPr>
        <w:pStyle w:val="ListBullet"/>
      </w:pPr>
      <w:r/>
      <w:r>
        <w:rPr>
          <w:b/>
        </w:rPr>
        <w:t>Malformations cardiaques</w:t>
      </w:r>
      <w:r>
        <w:t xml:space="preserve"> (CIV, CIA) : 1-2 %</w:t>
      </w:r>
    </w:p>
    <w:p>
      <w:pPr>
        <w:pStyle w:val="ListBullet"/>
      </w:pPr>
      <w:r/>
      <w:r>
        <w:rPr>
          <w:b/>
        </w:rPr>
        <w:t>Fente labio-palatine</w:t>
      </w:r>
      <w:r>
        <w:t xml:space="preserve"> : 1 %</w:t>
      </w:r>
    </w:p>
    <w:p>
      <w:pPr>
        <w:pStyle w:val="ListBullet"/>
      </w:pPr>
      <w:r/>
      <w:r>
        <w:rPr>
          <w:b/>
        </w:rPr>
        <w:t>Microcéphalie</w:t>
      </w:r>
      <w:r>
        <w:t xml:space="preserve"> : 1 %</w:t>
      </w:r>
    </w:p>
    <w:p>
      <w:pPr>
        <w:pStyle w:val="ListBullet"/>
      </w:pPr>
      <w:r/>
      <w:r>
        <w:rPr>
          <w:b/>
        </w:rPr>
        <w:t>Conduite à tenir en cas de grossesse programmée</w:t>
      </w:r>
      <w:r>
        <w:t xml:space="preserve"> : idéalement </w:t>
      </w:r>
      <w:r>
        <w:rPr>
          <w:b/>
        </w:rPr>
        <w:t>arrêt progressif de la carbamazépine avant conception</w:t>
      </w:r>
      <w:r>
        <w:t xml:space="preserve"> (sur 4-6 semaines) avec switch vers une alternative plus sûre (lamotrigine — profil tératogène le plus favorable). Si maintien indispensable (échec alternatives) : monothérapie à dose minimale efficace, éviter polythérapie anticonvulsivante (effet tératogène additif), supplémentation acide folique 5 mg/jour préconceptionnelle et pendant 1er trimestre, échographie morphologique spécialisée à 18-22 SA (recherche spina bifida, malformations cardiaques).</w:t>
      </w:r>
    </w:p>
    <w:p>
      <w:pPr>
        <w:pStyle w:val="ListBullet"/>
      </w:pPr>
      <w:r/>
      <w:r>
        <w:rPr>
          <w:b/>
        </w:rPr>
        <w:t>En cas de grossesse non programmée</w:t>
      </w:r>
      <w:r>
        <w:t xml:space="preserve"> sous carbamazépine : ne pas arrêter brutalement (risque de rechute maniaque ou de convulsions) — orientation urgente psychiatrie-périnatale — décision collégiale.</w:t>
      </w:r>
    </w:p>
    <w:p>
      <w:pPr>
        <w:pStyle w:val="ListBullet"/>
      </w:pPr>
      <w:r/>
      <w:r>
        <w:rPr>
          <w:b/>
        </w:rPr>
        <w:t>À ÉVITER pendant la grossesse</w:t>
      </w:r>
      <w:r>
        <w:t xml:space="preserve"> : valproate (CI absolue — spina bifida 6-9 %), carbamazépine (spina bifida 0,5-1 % — CI relative), phénytoïne, phénobarbital. </w:t>
      </w:r>
      <w:r>
        <w:rPr>
          <w:b/>
        </w:rPr>
        <w:t>Préférer</w:t>
      </w:r>
      <w:r>
        <w:t xml:space="preserve"> : lamotrigine (profil tératogène le plus favorable).</w:t>
      </w:r>
    </w:p>
    <w:p>
      <w:pPr>
        <w:pStyle w:val="ListBullet"/>
      </w:pPr>
      <w:r/>
      <w:r>
        <w:rPr>
          <w:b/>
        </w:rPr>
        <w:t>Allaitement</w:t>
      </w:r>
      <w:r>
        <w:t xml:space="preserve"> : La carbamazépine passe dans le lait maternel (rapport lait/plasma ~ 25-60 %, soit concentrations lactées ~ 25-60 % de la dose maternelle). Selon CRAT :</w:t>
      </w:r>
    </w:p>
    <w:p>
      <w:pPr>
        <w:pStyle w:val="ListBullet"/>
      </w:pPr>
      <w:r/>
      <w:r>
        <w:rPr>
          <w:b/>
        </w:rPr>
        <w:t>Compatible avec l'allaitement</w:t>
      </w:r>
      <w:r>
        <w:t xml:space="preserve"> à doses usuelles (400-1200 mg/jour) sous surveillance de l'enfant (somnolence, hypotonie, troubles digestifs, prise de poids insuffisante)</w:t>
      </w:r>
    </w:p>
    <w:p>
      <w:pPr>
        <w:pStyle w:val="ListBullet"/>
      </w:pPr>
      <w:r>
        <w:t>Surveillance : examen clinique hebdomadaire les 2 premiers mois, NFS et bilan hépatique de l'enfant à 1 et 3 mois</w:t>
      </w:r>
    </w:p>
    <w:p>
      <w:pPr>
        <w:pStyle w:val="ListBullet"/>
      </w:pPr>
      <w:r/>
      <w:r>
        <w:rPr>
          <w:b/>
        </w:rPr>
        <w:t>Contre-indication relative</w:t>
      </w:r>
      <w:r>
        <w:t xml:space="preserve"> si doses &gt; 1200 mg/jour, prématurité, hyperbilirubinémie néonatale</w:t>
      </w:r>
    </w:p>
    <w:p>
      <w:pPr>
        <w:pStyle w:val="ListBullet"/>
      </w:pPr>
      <w:r/>
      <w:r>
        <w:rPr>
          <w:b/>
        </w:rPr>
        <w:t>Précisions importantes pour le pharmacien d'officine algérien</w:t>
      </w:r>
      <w:r>
        <w:t xml:space="preserve"> :</w:t>
      </w:r>
    </w:p>
    <w:p>
      <w:pPr>
        <w:pStyle w:val="ListBullet"/>
      </w:pPr>
      <w:r>
        <w:t xml:space="preserve">Toute prescription de carbamazépine chez une femme en âge de procréer doit déclencher une </w:t>
      </w:r>
      <w:r>
        <w:rPr>
          <w:b/>
        </w:rPr>
        <w:t>double vigilance</w:t>
      </w:r>
      <w:r>
        <w:t xml:space="preserve"> :</w:t>
      </w:r>
    </w:p>
    <w:p>
      <w:pPr>
        <w:pStyle w:val="ListNumber"/>
      </w:pPr>
      <w:r>
        <w:t>Contraception efficace documentée (DIU cuivre, implant progestatif, ou double contraception orale + préservatif) — la contraception orale estroprogestative est moins fiable sous carbamazépine (induction CYP3A4)</w:t>
      </w:r>
    </w:p>
    <w:p>
      <w:pPr>
        <w:pStyle w:val="ListNumber"/>
      </w:pPr>
      <w:r>
        <w:t>Test de grossesse si retard de règles</w:t>
      </w:r>
    </w:p>
    <w:p>
      <w:pPr>
        <w:pStyle w:val="ListBullet"/>
      </w:pPr>
      <w:r>
        <w:t>Supplémentation acide folique 5 mg/jour préconceptionnelle et pendant 1er trimestre (réduction du risque de spina bifida de 70 %)</w:t>
      </w:r>
    </w:p>
    <w:p>
      <w:pPr>
        <w:pStyle w:val="ListBullet"/>
      </w:pPr>
      <w:r>
        <w:t>En cas de doute : consulter le CRAT ou centre de pharmacovigilance</w:t>
      </w:r>
    </w:p>
    <w:p>
      <w:r/>
      <w:r>
        <w:rPr>
          <w:b/>
        </w:rPr>
        <w:t>Posologie et Mode d'administration (Standard) :</w:t>
      </w:r>
      <w:r/>
    </w:p>
    <w:p>
      <w:pPr>
        <w:pStyle w:val="ListBullet"/>
      </w:pPr>
      <w:r/>
      <w:r>
        <w:rPr>
          <w:b/>
        </w:rPr>
        <w:t>Adulte</w:t>
      </w:r>
      <w:r>
        <w:t xml:space="preserve"> :</w:t>
      </w:r>
    </w:p>
    <w:p>
      <w:pPr>
        <w:pStyle w:val="ListBullet"/>
      </w:pPr>
      <w:r/>
      <w:r>
        <w:rPr>
          <w:b/>
        </w:rPr>
        <w:t>Initiation</w:t>
      </w:r>
      <w:r>
        <w:t xml:space="preserve"> : 200 mg/jour (1 comprimé à 200 mg) en 1 prise vespérale — en 1 prise ou 2 prises</w:t>
      </w:r>
    </w:p>
    <w:p>
      <w:pPr>
        <w:pStyle w:val="ListBullet"/>
      </w:pPr>
      <w:r/>
      <w:r>
        <w:rPr>
          <w:b/>
        </w:rPr>
        <w:t>Adaptation posologique</w:t>
      </w:r>
      <w:r>
        <w:t xml:space="preserve"> : augmentation progressive par paliers de 200 mg tous les 3-7 jours jusqu'à dose efficace — dose usuelle 400-1200 mg/jour en 2-3 prises (LI) ou 1-2 prises (LP)</w:t>
      </w:r>
    </w:p>
    <w:p>
      <w:pPr>
        <w:pStyle w:val="ListBullet"/>
      </w:pPr>
      <w:r/>
      <w:r>
        <w:rPr>
          <w:b/>
        </w:rPr>
        <w:t>Dose d'entretien habituelle</w:t>
      </w:r>
      <w:r>
        <w:t xml:space="preserve"> : 600-1200 mg/jour (soit 8-20 mg/kg/jour) — en 2 prises (matin et soir) pour LI, 1-2 prises pour LP</w:t>
      </w:r>
    </w:p>
    <w:p>
      <w:pPr>
        <w:pStyle w:val="ListBullet"/>
      </w:pPr>
      <w:r/>
      <w:r>
        <w:rPr>
          <w:b/>
        </w:rPr>
        <w:t>Manie aiguë</w:t>
      </w:r>
      <w:r>
        <w:t xml:space="preserve"> : 800-1600 mg/jour — efficacité en 7-14 jours</w:t>
      </w:r>
    </w:p>
    <w:p>
      <w:pPr>
        <w:pStyle w:val="ListBullet"/>
      </w:pPr>
      <w:r/>
      <w:r>
        <w:rPr>
          <w:b/>
        </w:rPr>
        <w:t>Prévention des rechutes</w:t>
      </w:r>
      <w:r>
        <w:t xml:space="preserve"> : 400-1000 mg/jour — carbazémie cible 4-12 mg/L</w:t>
      </w:r>
    </w:p>
    <w:p>
      <w:pPr>
        <w:pStyle w:val="ListBullet"/>
      </w:pPr>
      <w:r/>
      <w:r>
        <w:rPr>
          <w:b/>
        </w:rPr>
        <w:t>Névralgie du trijumeau</w:t>
      </w:r>
      <w:r>
        <w:t xml:space="preserve"> : 400-800 mg/jour</w:t>
      </w:r>
    </w:p>
    <w:p>
      <w:pPr>
        <w:pStyle w:val="ListBullet"/>
      </w:pPr>
      <w:r/>
      <w:r>
        <w:rPr>
          <w:b/>
        </w:rPr>
        <w:t>Épilepsie</w:t>
      </w:r>
      <w:r>
        <w:t xml:space="preserve"> : 8-15 mg/kg/jour (soit 600-1200 mg/jour adulte moyen)</w:t>
      </w:r>
    </w:p>
    <w:p>
      <w:pPr>
        <w:pStyle w:val="ListBullet"/>
      </w:pPr>
      <w:r/>
      <w:r>
        <w:rPr>
          <w:b/>
        </w:rPr>
        <w:t>Adolescent</w:t>
      </w:r>
      <w:r>
        <w:t xml:space="preserve"> : 10-20 mg/kg/jour (soit 400-800 mg/jour pour 40 kg)</w:t>
      </w:r>
    </w:p>
    <w:p>
      <w:pPr>
        <w:pStyle w:val="ListBullet"/>
      </w:pPr>
      <w:r/>
      <w:r>
        <w:rPr>
          <w:b/>
        </w:rPr>
        <w:t>Enfant</w:t>
      </w:r>
      <w:r>
        <w:t xml:space="preserve"> : 10-20 mg/kg/jour (soit 100-400 mg/jour pour 10-20 kg)</w:t>
      </w:r>
    </w:p>
    <w:p>
      <w:pPr>
        <w:pStyle w:val="ListBullet"/>
      </w:pPr>
      <w:r/>
      <w:r>
        <w:rPr>
          <w:b/>
        </w:rPr>
        <w:t>Sujet âgé (&gt; 65 ans)</w:t>
      </w:r>
      <w:r>
        <w:t xml:space="preserve"> : dose initiale réduite à 100-200 mg/jour — augmentation progressive plus lente (paliers tous les 7-10 jours) — surveillance accrue (somnolence, hyponatrémie, ataxie, confusion) — carbazémie cible plus basse (4-8 mg/L)</w:t>
      </w:r>
    </w:p>
    <w:p>
      <w:pPr>
        <w:pStyle w:val="ListBullet"/>
      </w:pPr>
      <w:r/>
      <w:r>
        <w:rPr>
          <w:b/>
        </w:rPr>
        <w:t>Insuffisance rénale</w:t>
      </w:r>
      <w:r>
        <w:t xml:space="preserve"> : pas d'adaptation posologique stricte (métabolisme hépatique dominant) — surveillance accrue en IR sévère (DFG &lt; 30 mL/min)</w:t>
      </w:r>
    </w:p>
    <w:p>
      <w:pPr>
        <w:pStyle w:val="ListBullet"/>
      </w:pPr>
      <w:r/>
      <w:r>
        <w:rPr>
          <w:b/>
        </w:rPr>
        <w:t>Insuffisance hépatique</w:t>
      </w:r>
      <w:r>
        <w:t xml:space="preserve"> : CI relative (prudence — adaptation posologique)</w:t>
      </w:r>
    </w:p>
    <w:p>
      <w:pPr>
        <w:pStyle w:val="ListBullet"/>
      </w:pPr>
      <w:r/>
      <w:r>
        <w:rPr>
          <w:b/>
        </w:rPr>
        <w:t>Durée</w:t>
      </w:r>
      <w:r>
        <w:t xml:space="preserve"> : traitement </w:t>
      </w:r>
      <w:r>
        <w:rPr>
          <w:b/>
        </w:rPr>
        <w:t>au long cours à vie</w:t>
      </w:r>
      <w:r>
        <w:t xml:space="preserve"> dans le trouble bipolaire — arrêt éventuel à décider avec psychiatre, progressif sur 4-6 semaines minimum</w:t>
      </w:r>
    </w:p>
    <w:p>
      <w:pPr>
        <w:pStyle w:val="ListBullet"/>
      </w:pPr>
      <w:r/>
      <w:r>
        <w:rPr>
          <w:b/>
        </w:rPr>
        <w:t>Moment de la prise</w:t>
      </w:r>
      <w:r>
        <w:t xml:space="preserve"> :</w:t>
      </w:r>
    </w:p>
    <w:p>
      <w:pPr>
        <w:pStyle w:val="ListBullet"/>
      </w:pPr>
      <w:r/>
      <w:r>
        <w:rPr>
          <w:b/>
        </w:rPr>
        <w:t>Forme LI (libération immédiate)</w:t>
      </w:r>
      <w:r>
        <w:t xml:space="preserve"> : 2-3 prises par jour pendant ou après les repas (réduit les nausées) — espacement pour minimiser les pics sériques</w:t>
      </w:r>
    </w:p>
    <w:p>
      <w:pPr>
        <w:pStyle w:val="ListBullet"/>
      </w:pPr>
      <w:r/>
      <w:r>
        <w:rPr>
          <w:b/>
        </w:rPr>
        <w:t>Forme LP (libération prolongée — CARBIMOL LP, MAZETOL QUADRI, TEGRETOL LP, ZEPTOL CR 400)</w:t>
      </w:r>
      <w:r>
        <w:t xml:space="preserve"> : 1-2 prises par jour (monoprise vespérale ou biprise matin/soir) — meilleure tolérance neurologique (pics réduits) — observance améliorée — </w:t>
      </w:r>
      <w:r>
        <w:rPr>
          <w:b/>
        </w:rPr>
        <w:t>forme à privilégier en entretien</w:t>
      </w:r>
      <w:r/>
    </w:p>
    <w:p>
      <w:pPr>
        <w:pStyle w:val="ListBullet"/>
      </w:pPr>
      <w:r/>
      <w:r>
        <w:rPr>
          <w:b/>
        </w:rPr>
        <w:t>Suspension buvable (NEUPAX, TEGRETOL, TEGRIDIS)</w:t>
      </w:r>
      <w:r>
        <w:t xml:space="preserve"> : 2-3 prises par jour — utiliser la seringue doseuse fournie (pas de cuillère à café — erreur de dosage majeure) — bien agiter avant emploi</w:t>
      </w:r>
    </w:p>
    <w:p>
      <w:r/>
      <w:r>
        <w:rPr>
          <w:b/>
        </w:rPr>
        <w:t>Arbitrage et Bénéfices des Formes Galéniques :</w:t>
      </w:r>
      <w:r/>
    </w:p>
    <w:p>
      <w:pPr>
        <w:pStyle w:val="ListBullet"/>
      </w:pPr>
      <w:r/>
      <w:r>
        <w:rPr>
          <w:b/>
        </w:rPr>
        <w:t>Forme LI (comprimés 200 mg)</w:t>
      </w:r>
      <w:r>
        <w:t xml:space="preserve"> : pic sérique plus marqué → davantage d'effets indésirables neurologiques (somnolence, vertiges, ataxie, diplopie) — mais contrôle plus rapide de la carbazémie en initiation — forme à privilégier en initiation et titration</w:t>
      </w:r>
    </w:p>
    <w:p>
      <w:pPr>
        <w:pStyle w:val="ListBullet"/>
      </w:pPr>
      <w:r/>
      <w:r>
        <w:rPr>
          <w:b/>
        </w:rPr>
        <w:t>Forme LP (comprimés LP 400 mg)</w:t>
      </w:r>
      <w:r>
        <w:t xml:space="preserve"> : profil sérique plus stable → meilleure tolérance neurologique (somnolence, vertiges, ataxie réduits) — observance améliorée (1-2 prises au lieu de 2-3) — </w:t>
      </w:r>
      <w:r>
        <w:rPr>
          <w:b/>
        </w:rPr>
        <w:t>forme à privilégier en entretien</w:t>
      </w:r>
      <w:r>
        <w:t xml:space="preserve"> selon recommandations internationales — Liste I (prescription plus encadrée)</w:t>
      </w:r>
    </w:p>
    <w:p>
      <w:pPr>
        <w:pStyle w:val="ListBullet"/>
      </w:pPr>
      <w:r/>
      <w:r>
        <w:rPr>
          <w:b/>
        </w:rPr>
        <w:t>Suspension buvable (NEUPAX 20 mg/mL, TEGRETOL 100 mg/5 mL, TEGRIDIS 20 mg/mL)</w:t>
      </w:r>
      <w:r>
        <w:t xml:space="preserve"> : indiquée pour adaptation fine de dose (sujet âgé, enfant, dose fractionnée) — utilisation seringue doseuse obligatoire — bien agiter avant emploi (suspension)</w:t>
      </w:r>
    </w:p>
    <w:p>
      <w:r/>
      <w:r>
        <w:rPr>
          <w:b/>
        </w:rPr>
        <w:t>Instructions et Conseils au Patient :</w:t>
      </w:r>
      <w:r/>
    </w:p>
    <w:p>
      <w:pPr>
        <w:pStyle w:val="ListBullet"/>
      </w:pPr>
      <w:r/>
      <w:r>
        <w:rPr>
          <w:b/>
        </w:rPr>
        <w:t>Communication au comptoir</w:t>
      </w:r>
      <w:r>
        <w:t xml:space="preserve"> :</w:t>
      </w:r>
    </w:p>
    <w:p>
      <w:pPr>
        <w:pStyle w:val="ListBullet"/>
      </w:pPr>
      <w:r>
        <w:t>« Ce médicament est un régulateur d'humeur qui doit être pris tous les jours, même quand vous vous sentez bien »</w:t>
      </w:r>
    </w:p>
    <w:p>
      <w:pPr>
        <w:pStyle w:val="ListBullet"/>
      </w:pPr>
      <w:r>
        <w:t>« Prenez le médicament pendant les repas pour réduire les nausées »</w:t>
      </w:r>
    </w:p>
    <w:p>
      <w:pPr>
        <w:pStyle w:val="ListBullet"/>
      </w:pPr>
      <w:r/>
      <w:r>
        <w:rPr>
          <w:b/>
        </w:rPr>
        <w:t>Information critique sur les interactions</w:t>
      </w:r>
      <w:r>
        <w:t xml:space="preserve"> :</w:t>
      </w:r>
    </w:p>
    <w:p>
      <w:pPr>
        <w:pStyle w:val="ListBullet"/>
      </w:pPr>
      <w:r>
        <w:t>« Ce médicament peut réduire l'efficacité de la pilule contraceptive — utilisez une méthode complémentaire (préservatif) ou parlez-en à votre médecin »</w:t>
      </w:r>
    </w:p>
    <w:p>
      <w:pPr>
        <w:pStyle w:val="ListBullet"/>
      </w:pPr>
      <w:r>
        <w:t>« Ne prenez JAMAIS de jus de pamplemousse avec ce médicament (augmente le risque de toxicité) »</w:t>
      </w:r>
    </w:p>
    <w:p>
      <w:pPr>
        <w:pStyle w:val="ListBullet"/>
      </w:pPr>
      <w:r>
        <w:t>« Signalez à tout médecin consulté que vous êtes sous carbamazépine — de nombreux médicaments interagissent avec elle (antibiotiques, antifongiques, anticoagulants, etc.) »</w:t>
      </w:r>
    </w:p>
    <w:p>
      <w:pPr>
        <w:pStyle w:val="ListBullet"/>
      </w:pPr>
      <w:r/>
      <w:r>
        <w:rPr>
          <w:b/>
        </w:rPr>
        <w:t>Information critique sur les réactions cutanées</w:t>
      </w:r>
      <w:r>
        <w:t xml:space="preserve"> :</w:t>
      </w:r>
    </w:p>
    <w:p>
      <w:pPr>
        <w:pStyle w:val="ListBullet"/>
      </w:pPr>
      <w:r>
        <w:t>« Si vous développez une éruption cutanée dans les premières semaines, consultez immédiatement un médecin (surtout si fièvre, atteinte des muqueuses buccales ou oculaires, décollement cutané) — URGENCE DERMATOLOGIQUE »</w:t>
      </w:r>
    </w:p>
    <w:p>
      <w:pPr>
        <w:pStyle w:val="ListBullet"/>
      </w:pPr>
      <w:r>
        <w:t>« Ne reprenez jamais ce médicament si vous avez déjà eu une réaction cutanée grave »</w:t>
      </w:r>
    </w:p>
    <w:p>
      <w:pPr>
        <w:pStyle w:val="ListBullet"/>
      </w:pPr>
      <w:r/>
      <w:r>
        <w:rPr>
          <w:b/>
        </w:rPr>
        <w:t>Information sur la surveillance biologique</w:t>
      </w:r>
      <w:r>
        <w:t xml:space="preserve"> :</w:t>
      </w:r>
    </w:p>
    <w:p>
      <w:pPr>
        <w:pStyle w:val="ListBullet"/>
      </w:pPr>
      <w:r>
        <w:t>« Faites les prises de sang régulières selon le planning de votre médecin (NFS, plaquettes, bilan hépatique, ionogramme) »</w:t>
      </w:r>
    </w:p>
    <w:p>
      <w:pPr>
        <w:pStyle w:val="ListBullet"/>
      </w:pPr>
      <w:r/>
      <w:r>
        <w:rPr>
          <w:b/>
        </w:rPr>
        <w:t>Information pour la femme en âge de procréer</w:t>
      </w:r>
      <w:r>
        <w:t xml:space="preserve"> :</w:t>
      </w:r>
    </w:p>
    <w:p>
      <w:pPr>
        <w:pStyle w:val="ListBullet"/>
      </w:pPr>
      <w:r>
        <w:t>« Ce médicament peut causer des malformations chez le bébé à naître (spina bifida, malformations cardiaques) »</w:t>
      </w:r>
    </w:p>
    <w:p>
      <w:pPr>
        <w:pStyle w:val="ListBullet"/>
      </w:pPr>
      <w:r>
        <w:t>« Utilisez une contraception efficace (double méthode recommandée : pilule + préservatif, ou DIU cuivre) »</w:t>
      </w:r>
    </w:p>
    <w:p>
      <w:pPr>
        <w:pStyle w:val="ListBullet"/>
      </w:pPr>
      <w:r>
        <w:t>« Si vous souhaitez être enceinte, parlez-en à votre médecin AU MOINS 3 MOIS avant »</w:t>
      </w:r>
    </w:p>
    <w:p>
      <w:pPr>
        <w:pStyle w:val="ListBullet"/>
      </w:pPr>
      <w:r>
        <w:t>« Prenez de l'acide folique 5 mg/jour si vous êtes en âge de procréer »</w:t>
      </w:r>
    </w:p>
    <w:p>
      <w:pPr>
        <w:pStyle w:val="ListBullet"/>
      </w:pPr>
      <w:r/>
      <w:r>
        <w:rPr>
          <w:b/>
        </w:rPr>
        <w:t>Information sur les signes d'alerte</w:t>
      </w:r>
      <w:r>
        <w:t xml:space="preserve"> :</w:t>
      </w:r>
    </w:p>
    <w:p>
      <w:pPr>
        <w:pStyle w:val="ListBullet"/>
      </w:pPr>
      <w:r>
        <w:t>« Signalez immédiatement ces signes : fièvre + éruption cutanée + atteinte des muqueuses (Stevens-Johnson), angine + fièvre (agranulocytose), ecchymoses + saignements (thrombopénie), fatigue intense + ictère (hépatotoxicité), confusion + convulsions (hyponatrémie) »</w:t>
      </w:r>
    </w:p>
    <w:p>
      <w:pPr>
        <w:pStyle w:val="ListBullet"/>
      </w:pPr>
      <w:r/>
      <w:r>
        <w:rPr>
          <w:b/>
        </w:rPr>
        <w:t>Mode d'utilisation pratique</w:t>
      </w:r>
      <w:r>
        <w:t xml:space="preserve"> :</w:t>
      </w:r>
    </w:p>
    <w:p>
      <w:pPr>
        <w:pStyle w:val="ListNumber"/>
      </w:pPr>
      <w:r>
        <w:t>Prendre le médicament à heure fixe chaque jour (matin et soir pour LI ; soir pour LP)</w:t>
      </w:r>
    </w:p>
    <w:p>
      <w:pPr>
        <w:pStyle w:val="ListNumber"/>
      </w:pPr>
      <w:r>
        <w:t>Avaler les comprimés LP entiers (ne pas écraser ni croquer — détruit la matrice LP)</w:t>
      </w:r>
    </w:p>
    <w:p>
      <w:pPr>
        <w:pStyle w:val="ListNumber"/>
      </w:pPr>
      <w:r>
        <w:t>Utiliser la seringue doseuse pour suspension buvable (jamais de cuillère à café)</w:t>
      </w:r>
    </w:p>
    <w:p>
      <w:pPr>
        <w:pStyle w:val="ListNumber"/>
      </w:pPr>
      <w:r>
        <w:t>Effectuer la carbazémie le matin à jeun, 12 h après la dernière prise</w:t>
      </w:r>
    </w:p>
    <w:p>
      <w:pPr>
        <w:pStyle w:val="ListNumber"/>
      </w:pPr>
      <w:r>
        <w:t>Noter les résultats dans un carnet de suivi</w:t>
      </w:r>
    </w:p>
    <w:p>
      <w:pPr>
        <w:pStyle w:val="ListNumber"/>
      </w:pPr>
      <w:r>
        <w:t>En cas d'oubli : ne pas doubler la dose suivante — prendre la dose oubliée si &lt; 4 h, sinon sauter</w:t>
      </w:r>
    </w:p>
    <w:p>
      <w:pPr>
        <w:pStyle w:val="ListNumber"/>
      </w:pPr>
      <w:r>
        <w:t>Femme en âge de procréer : test de grossesse si retard de règles &gt; 5 jours</w:t>
      </w:r>
    </w:p>
    <w:p>
      <w:pPr>
        <w:pStyle w:val="ListNumber"/>
      </w:pPr>
      <w:r>
        <w:t>Éviter la consommation d'alcool (potentialisation neurotoxique et hépatotoxique)</w:t>
      </w:r>
    </w:p>
    <w:p>
      <w:pPr>
        <w:pStyle w:val="ListNumber"/>
      </w:pPr>
      <w:r>
        <w:t>Éviter le jus de pamplemousse (inhibition CYP3A4 intestinal → toxicité)</w:t>
      </w:r>
    </w:p>
    <w:p>
      <w:pPr>
        <w:pStyle w:val="ListNumber"/>
      </w:pPr>
      <w:r>
        <w:t>Éviter le millepertuis (induction enzymatique additive)</w:t>
      </w:r>
    </w:p>
    <w:p>
      <w:pPr>
        <w:pStyle w:val="ListNumber"/>
      </w:pPr>
      <w:r>
        <w:t>Protection solaire (photosensibilité)</w:t>
      </w:r>
    </w:p>
    <w:p>
      <w:r/>
      <w:r>
        <w:rPr>
          <w:b/>
        </w:rPr>
        <w:t>Notes, Règles d'Or &amp; Pièges au Comptoir :</w:t>
      </w:r>
      <w:r/>
    </w:p>
    <w:p>
      <w:pPr>
        <w:pStyle w:val="ListBullet"/>
      </w:pPr>
      <w:r/>
      <w:r>
        <w:rPr>
          <w:b/>
        </w:rPr>
        <w:t>Piège classique</w:t>
      </w:r>
      <w:r>
        <w:t xml:space="preserve"> :</w:t>
      </w:r>
    </w:p>
    <w:p>
      <w:pPr>
        <w:pStyle w:val="ListBullet"/>
      </w:pPr>
      <w:r/>
      <w:r>
        <w:rPr>
          <w:b/>
        </w:rPr>
        <w:t>Inducteur enzymatique massif</w:t>
      </w:r>
      <w:r>
        <w:t xml:space="preserve"> — vérification systématique de TOUTES les co-prescriptions à chaque délivrance : contraception orale (baisse d'efficacité → grossesse non désirée), anticoagulants oraux (baisse d'efficacité → thrombose), antirétroviraux (baisse d'efficacité → résistance virologique), corticoïdes (baisse d'efficacité), antifungiques azolés (voriconazole = CI absolue), macrolides (télithromycine = CI absolue)</w:t>
      </w:r>
    </w:p>
    <w:p>
      <w:pPr>
        <w:pStyle w:val="ListBullet"/>
      </w:pPr>
      <w:r/>
      <w:r>
        <w:rPr>
          <w:b/>
        </w:rPr>
        <w:t>Contraception orale + carbamazépine = grossesse non désirée</w:t>
      </w:r>
      <w:r>
        <w:t xml:space="preserve"> — double contraception obligatoire (pilule + préservatif) ou DIU cuivre / implant progestatif</w:t>
      </w:r>
    </w:p>
    <w:p>
      <w:pPr>
        <w:pStyle w:val="ListBullet"/>
      </w:pPr>
      <w:r/>
      <w:r>
        <w:rPr>
          <w:b/>
        </w:rPr>
        <w:t>Rash cutané</w:t>
      </w:r>
      <w:r>
        <w:t xml:space="preserve"> — arrêt immédiat (risque Stevens-Johnson, Lyell, DRESS) — pas de réintroduction (risque de récidive grave potentiellement létale) — déclaration de pharmacovigilance obligatoire</w:t>
      </w:r>
    </w:p>
    <w:p>
      <w:pPr>
        <w:pStyle w:val="ListBullet"/>
      </w:pPr>
      <w:r>
        <w:t>**HLA-B\*1502 chez les patients d'origine asiatique** — dépistage systématique avant instauration — CI absolue si allèle positif (risque SJS × 100)</w:t>
      </w:r>
    </w:p>
    <w:p>
      <w:pPr>
        <w:pStyle w:val="ListBullet"/>
      </w:pPr>
      <w:r/>
      <w:r>
        <w:rPr>
          <w:b/>
        </w:rPr>
        <w:t>Hyponatrémie méconnue</w:t>
      </w:r>
      <w:r>
        <w:t xml:space="preserve"> — patient présentant asthénie, confusion, céphalées, convulsions — demander ionogramme en urgence</w:t>
      </w:r>
    </w:p>
    <w:p>
      <w:pPr>
        <w:pStyle w:val="ListBullet"/>
      </w:pPr>
      <w:r/>
      <w:r>
        <w:rPr>
          <w:b/>
        </w:rPr>
        <w:t>Agranulocytose, anémie aplasique</w:t>
      </w:r>
      <w:r>
        <w:t xml:space="preserve"> — patient présentant angine, fièvre, ulcérations buccales — demander NFS en urgence</w:t>
      </w:r>
    </w:p>
    <w:p>
      <w:pPr>
        <w:pStyle w:val="ListBullet"/>
      </w:pPr>
      <w:r/>
      <w:r>
        <w:rPr>
          <w:b/>
        </w:rPr>
        <w:t>Interaction avec antifongiques azolés</w:t>
      </w:r>
      <w:r>
        <w:t xml:space="preserve"> (voriconazole — CI absolue) et macrolides (télithromycine — CI absolue)</w:t>
      </w:r>
    </w:p>
    <w:p>
      <w:pPr>
        <w:pStyle w:val="ListBullet"/>
      </w:pPr>
      <w:r/>
      <w:r>
        <w:rPr>
          <w:b/>
        </w:rPr>
        <w:t>Substitution TEGRETOL / génériques</w:t>
      </w:r>
      <w:r>
        <w:t xml:space="preserve"> (vérification disponibilité — orienter vers marques actives : AZEPAL, CARBATOL, CARBIMOL, NEUPAX, TAVER, TEGRETOL)</w:t>
      </w:r>
    </w:p>
    <w:p>
      <w:pPr>
        <w:pStyle w:val="ListBullet"/>
      </w:pPr>
      <w:r/>
      <w:r>
        <w:rPr>
          <w:b/>
        </w:rPr>
        <w:t>Substitution marques non renouvelables</w:t>
      </w:r>
      <w:r>
        <w:t xml:space="preserve"> (CARBAZINE, EPTOL, NEUROZEPINE, NOVACARBIN, ZEPTOL 200) → orientation vers marques actives</w:t>
      </w:r>
    </w:p>
    <w:p>
      <w:pPr>
        <w:pStyle w:val="ListBullet"/>
      </w:pPr>
      <w:r/>
      <w:r>
        <w:rPr>
          <w:b/>
        </w:rPr>
        <w:t>Règle de prise</w:t>
      </w:r>
      <w:r>
        <w:t xml:space="preserve"> : prise pendant ou après repas (réduit nausées) — monoprise vespérale pour forme LP — hydratation régulière 1,5 L/jour — éviter jus de pamplemousse</w:t>
      </w:r>
    </w:p>
    <w:p>
      <w:pPr>
        <w:pStyle w:val="ListBullet"/>
      </w:pPr>
      <w:r/>
      <w:r>
        <w:rPr>
          <w:b/>
        </w:rPr>
        <w:t>Préparation et Conservation</w:t>
      </w:r>
      <w:r>
        <w:t xml:space="preserve"> : conservation à température ambiante &lt; 25 °C, à l'abri de l'humidité — suspension buvable : bien agiter avant emploi, conservation 1 mois après ouverture (recommandation) — ne pas congeler</w:t>
      </w:r>
    </w:p>
    <w:p>
      <w:pPr>
        <w:pStyle w:val="ListBullet"/>
      </w:pPr>
      <w:r/>
      <w:r>
        <w:rPr>
          <w:b/>
        </w:rPr>
        <w:t>Piège du surdosage / Substitution</w:t>
      </w:r>
      <w:r>
        <w:t xml:space="preserve"> :</w:t>
      </w:r>
    </w:p>
    <w:p>
      <w:pPr>
        <w:pStyle w:val="ListBullet"/>
      </w:pPr>
      <w:r/>
      <w:r>
        <w:rPr>
          <w:b/>
        </w:rPr>
        <w:t>Surdosage volontaire</w:t>
      </w:r>
      <w:r>
        <w:t xml:space="preserve"> (tentative de suicide) — urgence vitale — hospitalisation réanimation — symptômes : somnolence, ataxie sévère, convulsions, coma, dépression respiratoire, hypotension, troubles du rythme (allongement QT, BAV) — traitement symptomatique (réhydratation IV, surveillance ECG continue) — charbon activé si ingestion &lt; 1 h — hémodialyse peu efficace (liaison protéique élevée)</w:t>
      </w:r>
    </w:p>
    <w:p>
      <w:pPr>
        <w:pStyle w:val="ListBullet"/>
      </w:pPr>
      <w:r/>
      <w:r>
        <w:rPr>
          <w:b/>
        </w:rPr>
        <w:t>Surdosage accidentel</w:t>
      </w:r>
      <w:r>
        <w:t xml:space="preserve"> par oubli d'auto-induction (augmentation dose trop rapide) — surveillance 24-48 h, hydratation IV, surveillance carbazémie</w:t>
      </w:r>
    </w:p>
    <w:p>
      <w:pPr>
        <w:pStyle w:val="ListBullet"/>
      </w:pPr>
      <w:r/>
      <w:r>
        <w:rPr>
          <w:b/>
        </w:rPr>
        <w:t>Substitution TEGRETOL → générique</w:t>
      </w:r>
      <w:r>
        <w:t xml:space="preserve"> : équivalence dose-pour-dose — surveillance clinique 2-4 semaines (carbazémie)</w:t>
      </w:r>
    </w:p>
    <w:p>
      <w:pPr>
        <w:pStyle w:val="ListBullet"/>
      </w:pPr>
      <w:r/>
      <w:r>
        <w:rPr>
          <w:b/>
        </w:rPr>
        <w:t>Substitution marques non renouvelables</w:t>
      </w:r>
      <w:r>
        <w:t xml:space="preserve"> (CARBAZINE, EPTOL, NEUROZEPINE, NOVACARBIN, ZEPTOL 200) → orientation vers marques actives : AZEPAL, CARBATOL, CARBIMOL, NEUPAX, TAVER, TEGRETOL</w:t>
      </w:r>
    </w:p>
    <w:p>
      <w:pPr>
        <w:pStyle w:val="ListBullet"/>
      </w:pPr>
      <w:r/>
      <w:r>
        <w:rPr>
          <w:b/>
        </w:rPr>
        <w:t>Substitution DEGRANOL, NEUROTOP, NEUROTOP RETARD</w:t>
      </w:r>
      <w:r>
        <w:t xml:space="preserve"> (retirés) → orientation vers marques actives (TEGRETOL, TEGRETOL LP, etc.)</w:t>
      </w:r>
    </w:p>
    <w:p>
      <w:pPr>
        <w:pStyle w:val="ListBullet"/>
      </w:pPr>
      <w:r/>
      <w:r>
        <w:rPr>
          <w:b/>
        </w:rPr>
        <w:t>Confusion des dosages</w:t>
      </w:r>
      <w:r>
        <w:t xml:space="preserve"> (200 mg LI vs 400 mg LP — passage d'une forme à l'autre nécessite adaptation) — vérification systématique à la délivrance</w:t>
      </w:r>
    </w:p>
    <w:p>
      <w:pPr>
        <w:pStyle w:val="Heading2"/>
      </w:pPr>
      <w:r>
        <w:t>85.4 — Sous-classe : Thymorégulateurs - Antiépileptiques (lamotrigine)</w:t>
      </w:r>
    </w:p>
    <w:p>
      <w:pPr>
        <w:pStyle w:val="Heading3"/>
      </w:pPr>
      <w:r>
        <w:t>Introduction à la sous-classe</w:t>
      </w:r>
    </w:p>
    <w:p>
      <w:r>
        <w:t xml:space="preserve">Les </w:t>
      </w:r>
      <w:r>
        <w:rPr>
          <w:b/>
        </w:rPr>
        <w:t>antiépileptiques de la classe de la lamotrigine</w:t>
      </w:r>
      <w:r>
        <w:t xml:space="preserve"> constituent une sous-classe d'antiépileptiques de nouvelle génération (3e génération), introduite dans les années 1990. La lamotrigine fut synthétisée en 1980 par Wellcome Foundation (devenue GlaxoSmithKline) comme antiépileptique (AMM 1990 — crises partielles), avec une extension d'AMM à la prévention de la dépression bipolaire en 2003 (Calabrese et al. — étude pivot). La lamotrigine se distingue des autres thymorégulateurs antiépileptiques (valproate, carbamazépine) par :</w:t>
      </w:r>
    </w:p>
    <w:p>
      <w:pPr>
        <w:pStyle w:val="ListBullet"/>
      </w:pPr>
      <w:r/>
      <w:r>
        <w:rPr>
          <w:b/>
        </w:rPr>
        <w:t>Efficacité spécifique sur la dépression bipolaire</w:t>
      </w:r>
      <w:r>
        <w:t xml:space="preserve"> (vs valproate et carbamazépine plus efficaces sur la manie) — indiquée spécifiquement pour la prévention des épisodes dépressifs du trouble bipolaire</w:t>
      </w:r>
    </w:p>
    <w:p>
      <w:pPr>
        <w:pStyle w:val="ListBullet"/>
      </w:pPr>
      <w:r/>
      <w:r>
        <w:rPr>
          <w:b/>
        </w:rPr>
        <w:t>Profil tératogène le plus favorable</w:t>
      </w:r>
      <w:r>
        <w:t xml:space="preserve"> des thymorégulateurs — thymorégulateur de choix chez la femme enceinte (à la place du valproate CI absolue, du lithium CI 1er T, de la carbamazépine à éviter)</w:t>
      </w:r>
    </w:p>
    <w:p>
      <w:pPr>
        <w:pStyle w:val="ListBullet"/>
      </w:pPr>
      <w:r/>
      <w:r>
        <w:rPr>
          <w:b/>
        </w:rPr>
        <w:t>Risque de rash cutané potentiellement mortel</w:t>
      </w:r>
      <w:r>
        <w:t xml:space="preserve"> (Stevens-Johnson, syndrome de Lyell, DRESS) — particulièrement pendant les 8 premières semaines de traitement — titration très lente obligatoire sur 8-12 semaines</w:t>
      </w:r>
    </w:p>
    <w:p>
      <w:pPr>
        <w:pStyle w:val="ListBullet"/>
      </w:pPr>
      <w:r/>
      <w:r>
        <w:rPr>
          <w:b/>
        </w:rPr>
        <w:t>Absence d'effets cognitifs</w:t>
      </w:r>
      <w:r>
        <w:t xml:space="preserve"> (profil favorable vs valproate, carbamazépine) — pas de somnolence, pas de prise de poids significative, pas de troubles sexuels</w:t>
      </w:r>
    </w:p>
    <w:p>
      <w:pPr>
        <w:pStyle w:val="ListBullet"/>
      </w:pPr>
      <w:r/>
      <w:r>
        <w:rPr>
          <w:b/>
        </w:rPr>
        <w:t>Métabolisme glucuronoconjugaison</w:t>
      </w:r>
      <w:r>
        <w:t xml:space="preserve"> (UGT1A4) — interactions avec inducteurs (carbamazépine, phénytoïne, rifampicine, contraception orale estrogénique) et inhibiteurs (valproate) de l'UGT1A4</w:t>
      </w:r>
    </w:p>
    <w:p>
      <w:r/>
      <w:r>
        <w:rPr>
          <w:b/>
        </w:rPr>
        <w:t>Caractéristiques pharmacologiques fondamentales de la lamotrigine :</w:t>
      </w:r>
      <w:r/>
    </w:p>
    <w:p>
      <w:pPr>
        <w:pStyle w:val="ListBullet"/>
      </w:pPr>
      <w:r/>
      <w:r>
        <w:rPr>
          <w:b/>
        </w:rPr>
        <w:t>Structure chimique phényl-triazine</w:t>
      </w:r>
      <w:r>
        <w:t xml:space="preserve"> (formule chimique C₉H₇Cl₂N₅, PM 256,09 g/mol) — apparentée chimiquement aux inhibiteurs des canaux Na⁺ (memantine, riluzole) — structure simple, liposoluble, passage libre de la barrière hémato-encéphalique</w:t>
      </w:r>
    </w:p>
    <w:p>
      <w:pPr>
        <w:pStyle w:val="ListBullet"/>
      </w:pPr>
      <w:r/>
      <w:r>
        <w:rPr>
          <w:b/>
        </w:rPr>
        <w:t>Blocage des canaux Na⁺ voltage-dépendants</w:t>
      </w:r>
      <w:r>
        <w:t xml:space="preserve"> (similaire à carbamazépine, phénytoïne) — pharmacologie « use-dependent »</w:t>
      </w:r>
    </w:p>
    <w:p>
      <w:pPr>
        <w:pStyle w:val="ListBullet"/>
      </w:pPr>
      <w:r/>
      <w:r>
        <w:rPr>
          <w:b/>
        </w:rPr>
        <w:t>Inhibition de la libération de glutamate</w:t>
      </w:r>
      <w:r>
        <w:t xml:space="preserve"> (acide excitateur) — propriété neuroprotectrice supposée — mécanisme complémentaire unique</w:t>
      </w:r>
    </w:p>
    <w:p>
      <w:pPr>
        <w:pStyle w:val="ListBullet"/>
      </w:pPr>
      <w:r/>
      <w:r>
        <w:rPr>
          <w:b/>
        </w:rPr>
        <w:t>Demi-vie d'élimination</w:t>
      </w:r>
      <w:r>
        <w:t xml:space="preserve"> : 25 h (sujet sain) — </w:t>
      </w:r>
      <w:r>
        <w:rPr>
          <w:b/>
        </w:rPr>
        <w:t>24-35 h en monothérapie</w:t>
      </w:r>
      <w:r>
        <w:t xml:space="preserve">, </w:t>
      </w:r>
      <w:r>
        <w:rPr>
          <w:b/>
        </w:rPr>
        <w:t>50-70 h sous valproate</w:t>
      </w:r>
      <w:r>
        <w:t xml:space="preserve"> (inhibition UGT1A4), </w:t>
      </w:r>
      <w:r>
        <w:rPr>
          <w:b/>
        </w:rPr>
        <w:t>15 h sous carbamazépine</w:t>
      </w:r>
      <w:r>
        <w:t xml:space="preserve"> (induction UGT1A4) — monoprise possible</w:t>
      </w:r>
    </w:p>
    <w:p>
      <w:pPr>
        <w:pStyle w:val="ListBullet"/>
      </w:pPr>
      <w:r/>
      <w:r>
        <w:rPr>
          <w:b/>
        </w:rPr>
        <w:t>Métabolisme hépatique</w:t>
      </w:r>
      <w:r>
        <w:t xml:space="preserve"> par glucuronoconjugaison (UGT1A4, UGT2B7) — pas d'implication du CYP450 — peu d'interactions pharmacocinétiques sauf avec inducteurs/inhibiteurs UGT</w:t>
      </w:r>
    </w:p>
    <w:p>
      <w:pPr>
        <w:pStyle w:val="ListBullet"/>
      </w:pPr>
      <w:r/>
      <w:r>
        <w:rPr>
          <w:b/>
        </w:rPr>
        <w:t>Index thérapeutique non strictement surveillé</w:t>
      </w:r>
      <w:r>
        <w:t xml:space="preserve"> : la lamotriginémie n'est pas dosée en routine (avantage majeur vs lithium, valproate, carbamazépine)</w:t>
      </w:r>
    </w:p>
    <w:p>
      <w:pPr>
        <w:pStyle w:val="ListBullet"/>
      </w:pPr>
      <w:r/>
      <w:r>
        <w:rPr>
          <w:b/>
        </w:rPr>
        <w:t>Tératogénicité faible</w:t>
      </w:r>
      <w:r>
        <w:t xml:space="preserve"> : pas d'augmentation du risque malformatif global vs population générale aux doses &lt; 200 mg/jour — profil le plus favorable parmi les thymorégulateurs</w:t>
      </w:r>
    </w:p>
    <w:p>
      <w:pPr>
        <w:pStyle w:val="ListBullet"/>
      </w:pPr>
      <w:r/>
      <w:r>
        <w:rPr>
          <w:b/>
        </w:rPr>
        <w:t>Risque de rash cutané</w:t>
      </w:r>
      <w:r>
        <w:t xml:space="preserve"> : 8-10 % des patients (rash bénin), 0,1-0,3 % Stevens-Johnson/Lyell — risque majoré en cas de titration rapide, association avec valproate, âge &lt; 16 ans</w:t>
      </w:r>
    </w:p>
    <w:p>
      <w:r/>
      <w:r>
        <w:rPr>
          <w:b/>
        </w:rPr>
        <w:t>Profil d'efficacité :</w:t>
      </w:r>
      <w:r/>
    </w:p>
    <w:p>
      <w:pPr>
        <w:pStyle w:val="ListBullet"/>
      </w:pPr>
      <w:r/>
      <w:r>
        <w:rPr>
          <w:b/>
        </w:rPr>
        <w:t>Prévention de la dépression bipolaire</w:t>
      </w:r>
      <w:r>
        <w:t xml:space="preserve"> (indication AMM spécifique) — référence absolue — efficacité supérieure à lithium, valproate, carbamazépine</w:t>
      </w:r>
    </w:p>
    <w:p>
      <w:pPr>
        <w:pStyle w:val="ListBullet"/>
      </w:pPr>
      <w:r/>
      <w:r>
        <w:rPr>
          <w:b/>
        </w:rPr>
        <w:t>Prévention des rechutes bipolaires</w:t>
      </w:r>
      <w:r>
        <w:t xml:space="preserve"> — efficacité démontrée — supérieure au placebo</w:t>
      </w:r>
    </w:p>
    <w:p>
      <w:pPr>
        <w:pStyle w:val="ListBullet"/>
      </w:pPr>
      <w:r/>
      <w:r>
        <w:rPr>
          <w:b/>
        </w:rPr>
        <w:t>Manie aiguë</w:t>
      </w:r>
      <w:r>
        <w:t xml:space="preserve"> — efficacité limitée (pas d'effet anti-maniaque significatif) — à éviter en monothérapie pour traiter la manie</w:t>
      </w:r>
    </w:p>
    <w:p>
      <w:pPr>
        <w:pStyle w:val="ListBullet"/>
      </w:pPr>
      <w:r/>
      <w:r>
        <w:rPr>
          <w:b/>
        </w:rPr>
        <w:t>Épilepsie</w:t>
      </w:r>
      <w:r>
        <w:t xml:space="preserve"> (indication initiale) : crises partielles et généralisées tonico-cloniques</w:t>
      </w:r>
    </w:p>
    <w:p>
      <w:pPr>
        <w:pStyle w:val="ListBullet"/>
      </w:pPr>
      <w:r/>
      <w:r>
        <w:rPr>
          <w:b/>
        </w:rPr>
        <w:t>Trouble bipolaire à cycles rapides</w:t>
      </w:r>
      <w:r>
        <w:t xml:space="preserve"> — efficacité modeste</w:t>
      </w:r>
    </w:p>
    <w:p>
      <w:pPr>
        <w:pStyle w:val="Heading3"/>
      </w:pPr>
      <w:r>
        <w:t>4. DCI : Lamotrigine (Seule)</w:t>
      </w:r>
    </w:p>
    <w:p>
      <w:r/>
      <w:r>
        <w:rPr>
          <w:b/>
        </w:rPr>
        <w:t>Liste des Catégories :</w:t>
      </w:r>
      <w:r>
        <w:t xml:space="preserve"> Thymorégulateurs - Antiépileptiques (lamotrigine) — Liste I (sur prescription médicale renforcée) — </w:t>
      </w:r>
      <w:r>
        <w:rPr>
          <w:b/>
        </w:rPr>
        <w:t>RASH CUTANÉ POTENTIELLEMENT MORTEL</w:t>
      </w:r>
      <w:r>
        <w:t xml:space="preserve"> (Stevens-Johnson, syndrome de Lyell, DRESS) — titration très lente obligatoire sur 8-12 semaines — </w:t>
      </w:r>
      <w:r>
        <w:rPr>
          <w:b/>
        </w:rPr>
        <w:t>thymorégulateur de choix chez la femme enceinte bipolaire</w:t>
      </w:r>
      <w:r>
        <w:t xml:space="preserve"> (profil tératogène le plus favorable)</w:t>
      </w:r>
    </w:p>
    <w:p>
      <w:r>
        <w:t xml:space="preserve">La </w:t>
      </w:r>
      <w:r>
        <w:rPr>
          <w:b/>
        </w:rPr>
        <w:t>lamotrigine</w:t>
      </w:r>
      <w:r>
        <w:t xml:space="preserve"> est un antiépileptique de 3e génération utilisé comme thymorégulateur spécifiquement indiqué dans la </w:t>
      </w:r>
      <w:r>
        <w:rPr>
          <w:b/>
        </w:rPr>
        <w:t>prévention de la dépression bipolaire</w:t>
      </w:r>
      <w:r>
        <w:t xml:space="preserve"> — indication pour laquelle elle constitue la référence absolue (Calabrese 2003, Geddes 2010). Sa particularité pharmacologique majeure est le </w:t>
      </w:r>
      <w:r>
        <w:rPr>
          <w:b/>
        </w:rPr>
        <w:t>risque de rash cutané potentiellement mortel</w:t>
      </w:r>
      <w:r>
        <w:t xml:space="preserve"> (syndrome de Stevens-Johnson, syndrome de Lyell, DRESS) — risque maximal pendant les 8 premières semaines de traitement, particulièrement en cas de </w:t>
      </w:r>
      <w:r>
        <w:rPr>
          <w:b/>
        </w:rPr>
        <w:t>titration trop rapide</w:t>
      </w:r>
      <w:r>
        <w:t xml:space="preserve"> ou d'</w:t>
      </w:r>
      <w:r>
        <w:rPr>
          <w:b/>
        </w:rPr>
        <w:t>association avec valproate</w:t>
      </w:r>
      <w:r>
        <w:t xml:space="preserve"> (qui double la demi-vie de la lamotrigine par inhibition de la glucuronoconjugaison). Cette propriété impose une </w:t>
      </w:r>
      <w:r>
        <w:rPr>
          <w:b/>
        </w:rPr>
        <w:t>titration très lente obligatoire sur 8-12 semaines</w:t>
      </w:r>
      <w:r>
        <w:t xml:space="preserve"> (schéma strict de 25 mg → 50 mg → 100 mg → 200 mg/jour par paliers de 2 semaines minimum).</w:t>
      </w:r>
    </w:p>
    <w:p>
      <w:r>
        <w:t xml:space="preserve">L'autre particularité de la lamotrigine est son </w:t>
      </w:r>
      <w:r>
        <w:rPr>
          <w:b/>
        </w:rPr>
        <w:t>profil tératogène le plus favorable</w:t>
      </w:r>
      <w:r>
        <w:t xml:space="preserve"> parmi les thymorégulateurs — pas d'augmentation du risque malformatif global vs population générale aux doses thérapeutiques (&lt; 200 mg/jour). Elle constitue donc le </w:t>
      </w:r>
      <w:r>
        <w:rPr>
          <w:b/>
        </w:rPr>
        <w:t>thymorégulateur de choix chez la femme enceinte bipolaire</w:t>
      </w:r>
      <w:r>
        <w:t xml:space="preserve"> — à la place du valproate (CI absolue — spina bifida 6-9 %), du lithium (CI 1er trimestre — anomalie d'Ebstein), et de la carbamazépine (CI relative — spina bifida 0,5-1 %).</w:t>
      </w:r>
    </w:p>
    <w:p>
      <w:r/>
      <w:r>
        <w:rPr>
          <w:b/>
        </w:rPr>
        <w:t>Médicaments disponibles en Algérie (Marques, Laboratoires, Formes et Dosages) :</w:t>
      </w:r>
      <w:r/>
    </w:p>
    <w:p>
      <w:r/>
      <w:r>
        <w:rPr>
          <w:b/>
        </w:rPr>
        <w:t>Formes orales — comprimés dispersibles / orodispersibles à 5 mg :</w:t>
      </w:r>
      <w:r/>
    </w:p>
    <w:p>
      <w:pPr>
        <w:pStyle w:val="ListBullet"/>
      </w:pPr>
      <w:r/>
      <w:r>
        <w:rPr>
          <w:b/>
        </w:rPr>
        <w:t>AMITRAL</w:t>
      </w:r>
      <w:r>
        <w:t xml:space="preserve"> (EL KENDI INDUSTRIE DU MEDICAMENT)</w:t>
      </w:r>
    </w:p>
    <w:p>
      <w:pPr>
        <w:pStyle w:val="ListBullet"/>
      </w:pPr>
      <w:r>
        <w:t xml:space="preserve">Forme : Comprimé dispersible — Dosage : 5 mg (B/30) — Liste : Liste I — Statut : </w:t>
      </w:r>
      <w:r>
        <w:rPr>
          <w:b/>
        </w:rPr>
        <w:t>ACTIF</w:t>
      </w:r>
      <w:r/>
    </w:p>
    <w:p>
      <w:pPr>
        <w:pStyle w:val="ListBullet"/>
      </w:pPr>
      <w:r/>
      <w:r>
        <w:rPr>
          <w:b/>
        </w:rPr>
        <w:t>LAMITOR</w:t>
      </w:r>
      <w:r>
        <w:t xml:space="preserve"> (SARL GROUPE SANTE)</w:t>
      </w:r>
    </w:p>
    <w:p>
      <w:pPr>
        <w:pStyle w:val="ListBullet"/>
      </w:pPr>
      <w:r>
        <w:t xml:space="preserve">Forme : Comprimé orodispersible — Dosage : 5 mg (B/30) — Liste : Liste I — Statut : </w:t>
      </w:r>
      <w:r>
        <w:rPr>
          <w:b/>
        </w:rPr>
        <w:t>ACTIF</w:t>
      </w:r>
      <w:r/>
    </w:p>
    <w:p>
      <w:pPr>
        <w:pStyle w:val="ListBullet"/>
      </w:pPr>
      <w:r/>
      <w:r>
        <w:rPr>
          <w:b/>
        </w:rPr>
        <w:t>LAMOTRIGINE BEKER</w:t>
      </w:r>
      <w:r>
        <w:t xml:space="preserve"> (LABORATOIRES BEKER)</w:t>
      </w:r>
    </w:p>
    <w:p>
      <w:pPr>
        <w:pStyle w:val="ListBullet"/>
      </w:pPr>
      <w:r>
        <w:t xml:space="preserve">Forme : Comprimé dispersible — Dosage : 5 mg (B/30) — Liste : Liste I — Statut : </w:t>
      </w:r>
      <w:r>
        <w:rPr>
          <w:b/>
        </w:rPr>
        <w:t>ACTIF</w:t>
      </w:r>
      <w:r/>
    </w:p>
    <w:p>
      <w:r/>
      <w:r>
        <w:rPr>
          <w:b/>
        </w:rPr>
        <w:t>Formes orales — comprimés dispersibles / orodispersibles à 25 mg :</w:t>
      </w:r>
      <w:r/>
    </w:p>
    <w:p>
      <w:pPr>
        <w:pStyle w:val="ListBullet"/>
      </w:pPr>
      <w:r/>
      <w:r>
        <w:rPr>
          <w:b/>
        </w:rPr>
        <w:t>AMITRAL</w:t>
      </w:r>
      <w:r>
        <w:t xml:space="preserve"> (EL KENDI INDUSTRIE DU MEDICAMENT)</w:t>
      </w:r>
    </w:p>
    <w:p>
      <w:pPr>
        <w:pStyle w:val="ListBullet"/>
      </w:pPr>
      <w:r>
        <w:t xml:space="preserve">Forme : Comprimé dispersible — Dosage : 25 mg (B/30) — Liste : Liste I — Statut : </w:t>
      </w:r>
      <w:r>
        <w:rPr>
          <w:b/>
        </w:rPr>
        <w:t>ACTIF</w:t>
      </w:r>
      <w:r/>
    </w:p>
    <w:p>
      <w:pPr>
        <w:pStyle w:val="ListBullet"/>
      </w:pPr>
      <w:r/>
      <w:r>
        <w:rPr>
          <w:b/>
        </w:rPr>
        <w:t>BIOLAM</w:t>
      </w:r>
      <w:r>
        <w:t xml:space="preserve"> (BIOCARE)</w:t>
      </w:r>
    </w:p>
    <w:p>
      <w:pPr>
        <w:pStyle w:val="ListBullet"/>
      </w:pPr>
      <w:r>
        <w:t xml:space="preserve">Forme : Comprimé dispersible ou à croquer — Dosage : 25 mg (B/30) — Liste : Liste I — Statut : </w:t>
      </w:r>
      <w:r>
        <w:rPr>
          <w:b/>
        </w:rPr>
        <w:t>ACTIF</w:t>
      </w:r>
      <w:r/>
    </w:p>
    <w:p>
      <w:pPr>
        <w:pStyle w:val="ListBullet"/>
      </w:pPr>
      <w:r/>
      <w:r>
        <w:rPr>
          <w:b/>
        </w:rPr>
        <w:t>LAMITRIGINE</w:t>
      </w:r>
      <w:r>
        <w:t xml:space="preserve"> (HUPP PHARMA)</w:t>
      </w:r>
    </w:p>
    <w:p>
      <w:pPr>
        <w:pStyle w:val="ListBullet"/>
      </w:pPr>
      <w:r>
        <w:t xml:space="preserve">Forme : Comprimé orodispersible — Dosage : 25 mg (B/30) — Liste : Liste I — Statut : </w:t>
      </w:r>
      <w:r>
        <w:rPr>
          <w:b/>
        </w:rPr>
        <w:t>ACTIF</w:t>
      </w:r>
      <w:r/>
    </w:p>
    <w:p>
      <w:pPr>
        <w:pStyle w:val="ListBullet"/>
      </w:pPr>
      <w:r/>
      <w:r>
        <w:rPr>
          <w:b/>
        </w:rPr>
        <w:t>LAMORIG</w:t>
      </w:r>
      <w:r>
        <w:t xml:space="preserve"> (SOPRODIM)</w:t>
      </w:r>
    </w:p>
    <w:p>
      <w:pPr>
        <w:pStyle w:val="ListBullet"/>
      </w:pPr>
      <w:r>
        <w:t xml:space="preserve">Forme : Comprimé dispersible — Dosage : 25 mg (B/30) — Liste : Liste I — Statut : </w:t>
      </w:r>
      <w:r>
        <w:rPr>
          <w:b/>
        </w:rPr>
        <w:t>ACTIF</w:t>
      </w:r>
      <w:r/>
    </w:p>
    <w:p>
      <w:pPr>
        <w:pStyle w:val="ListBullet"/>
      </w:pPr>
      <w:r/>
      <w:r>
        <w:rPr>
          <w:b/>
        </w:rPr>
        <w:t>LAMOTRIGINE BEKER</w:t>
      </w:r>
      <w:r>
        <w:t xml:space="preserve"> (LABORATOIRES BEKER)</w:t>
      </w:r>
    </w:p>
    <w:p>
      <w:pPr>
        <w:pStyle w:val="ListBullet"/>
      </w:pPr>
      <w:r>
        <w:t xml:space="preserve">Forme : Comprimé dispersible — Dosage : 25 mg (B/56) — Liste : Liste I — Statut : </w:t>
      </w:r>
      <w:r>
        <w:rPr>
          <w:b/>
        </w:rPr>
        <w:t>ACTIF</w:t>
      </w:r>
      <w:r/>
    </w:p>
    <w:p>
      <w:r/>
      <w:r>
        <w:rPr>
          <w:b/>
        </w:rPr>
        <w:t>Formes orales — comprimés dispersibles / orodispersibles à 50 mg :</w:t>
      </w:r>
      <w:r/>
    </w:p>
    <w:p>
      <w:pPr>
        <w:pStyle w:val="ListBullet"/>
      </w:pPr>
      <w:r/>
      <w:r>
        <w:rPr>
          <w:b/>
        </w:rPr>
        <w:t>LAMOTRIG</w:t>
      </w:r>
      <w:r>
        <w:t xml:space="preserve"> (SOPRODIM)</w:t>
      </w:r>
    </w:p>
    <w:p>
      <w:pPr>
        <w:pStyle w:val="ListBullet"/>
      </w:pPr>
      <w:r>
        <w:t xml:space="preserve">Forme : Comprimé orodispersible — Dosage : 50 mg (B/30) — Liste : Liste I — Statut : </w:t>
      </w:r>
      <w:r>
        <w:rPr>
          <w:b/>
        </w:rPr>
        <w:t>ACTIF</w:t>
      </w:r>
      <w:r/>
    </w:p>
    <w:p>
      <w:pPr>
        <w:pStyle w:val="ListBullet"/>
      </w:pPr>
      <w:r/>
      <w:r>
        <w:rPr>
          <w:b/>
        </w:rPr>
        <w:t>LAMORIG</w:t>
      </w:r>
      <w:r>
        <w:t xml:space="preserve"> (SOPRODIM)</w:t>
      </w:r>
    </w:p>
    <w:p>
      <w:pPr>
        <w:pStyle w:val="ListBullet"/>
      </w:pPr>
      <w:r>
        <w:t xml:space="preserve">Forme : Comprimé dispersible — Dosage : 50 mg (B/30) — Liste : Liste I — Statut : </w:t>
      </w:r>
      <w:r>
        <w:rPr>
          <w:b/>
        </w:rPr>
        <w:t>ACTIF</w:t>
      </w:r>
      <w:r/>
    </w:p>
    <w:p>
      <w:pPr>
        <w:pStyle w:val="ListBullet"/>
      </w:pPr>
      <w:r/>
      <w:r>
        <w:rPr>
          <w:b/>
        </w:rPr>
        <w:t>LAMITRIGINE</w:t>
      </w:r>
      <w:r>
        <w:t xml:space="preserve"> (HUPP PHARMA)</w:t>
      </w:r>
    </w:p>
    <w:p>
      <w:pPr>
        <w:pStyle w:val="ListBullet"/>
      </w:pPr>
      <w:r>
        <w:t xml:space="preserve">Forme : Comprimé orodispersible — Dosage : 50 mg (B/30) — Liste : Liste I — Statut : </w:t>
      </w:r>
      <w:r>
        <w:rPr>
          <w:b/>
        </w:rPr>
        <w:t>ACTIF</w:t>
      </w:r>
      <w:r/>
    </w:p>
    <w:p>
      <w:r/>
      <w:r>
        <w:rPr>
          <w:b/>
        </w:rPr>
        <w:t>Formes orales — comprimés dispersibles / orodispersibles à 100 mg :</w:t>
      </w:r>
      <w:r/>
    </w:p>
    <w:p>
      <w:pPr>
        <w:pStyle w:val="ListBullet"/>
      </w:pPr>
      <w:r/>
      <w:r>
        <w:rPr>
          <w:b/>
        </w:rPr>
        <w:t>AMITRAL</w:t>
      </w:r>
      <w:r>
        <w:t xml:space="preserve"> (EL KENDI INDUSTRIE DU MEDICAMENT)</w:t>
      </w:r>
    </w:p>
    <w:p>
      <w:pPr>
        <w:pStyle w:val="ListBullet"/>
      </w:pPr>
      <w:r>
        <w:t xml:space="preserve">Forme : Comprimé dispersible — Dosage : 100 mg (B/30) — Liste : Liste I — Statut : </w:t>
      </w:r>
      <w:r>
        <w:rPr>
          <w:b/>
        </w:rPr>
        <w:t>ACTIF</w:t>
      </w:r>
      <w:r/>
    </w:p>
    <w:p>
      <w:pPr>
        <w:pStyle w:val="ListBullet"/>
      </w:pPr>
      <w:r/>
      <w:r>
        <w:rPr>
          <w:b/>
        </w:rPr>
        <w:t>BIOLAM</w:t>
      </w:r>
      <w:r>
        <w:t xml:space="preserve"> (BIOCARE)</w:t>
      </w:r>
    </w:p>
    <w:p>
      <w:pPr>
        <w:pStyle w:val="ListBullet"/>
      </w:pPr>
      <w:r>
        <w:t xml:space="preserve">Forme : Comprimé dispersible ou à croquer — Dosage : 100 mg (B/30) — Liste : Liste I — Statut : </w:t>
      </w:r>
      <w:r>
        <w:rPr>
          <w:b/>
        </w:rPr>
        <w:t>ACTIF</w:t>
      </w:r>
      <w:r/>
    </w:p>
    <w:p>
      <w:pPr>
        <w:pStyle w:val="ListBullet"/>
      </w:pPr>
      <w:r/>
      <w:r>
        <w:rPr>
          <w:b/>
        </w:rPr>
        <w:t>LAMITRIGINE</w:t>
      </w:r>
      <w:r>
        <w:t xml:space="preserve"> (HUPP PHARMA)</w:t>
      </w:r>
    </w:p>
    <w:p>
      <w:pPr>
        <w:pStyle w:val="ListBullet"/>
      </w:pPr>
      <w:r>
        <w:t xml:space="preserve">Forme : Comprimé orodispersible — Dosage : 100 mg (B/30) — Liste : Liste I — Statut : </w:t>
      </w:r>
      <w:r>
        <w:rPr>
          <w:b/>
        </w:rPr>
        <w:t>ACTIF</w:t>
      </w:r>
      <w:r/>
    </w:p>
    <w:p>
      <w:pPr>
        <w:pStyle w:val="ListBullet"/>
      </w:pPr>
      <w:r/>
      <w:r>
        <w:rPr>
          <w:b/>
        </w:rPr>
        <w:t>LAMOTRIG</w:t>
      </w:r>
      <w:r>
        <w:t xml:space="preserve"> (SOPRODIM)</w:t>
      </w:r>
    </w:p>
    <w:p>
      <w:pPr>
        <w:pStyle w:val="ListBullet"/>
      </w:pPr>
      <w:r>
        <w:t xml:space="preserve">Forme : Comprimé dispersible — Dosage : 100 mg (B/30) — Liste : Liste I — Statut : </w:t>
      </w:r>
      <w:r>
        <w:rPr>
          <w:b/>
        </w:rPr>
        <w:t>ACTIF</w:t>
      </w:r>
      <w:r/>
    </w:p>
    <w:p>
      <w:pPr>
        <w:pStyle w:val="ListBullet"/>
      </w:pPr>
      <w:r/>
      <w:r>
        <w:rPr>
          <w:b/>
        </w:rPr>
        <w:t>LAMOTRIGINE BEKER</w:t>
      </w:r>
      <w:r>
        <w:t xml:space="preserve"> (LABORATOIRES BEKER)</w:t>
      </w:r>
    </w:p>
    <w:p>
      <w:pPr>
        <w:pStyle w:val="ListBullet"/>
      </w:pPr>
      <w:r>
        <w:t xml:space="preserve">Forme : Comprimé dispersible — Dosage : 100 mg (B/56) — Liste : Liste I — Statut : </w:t>
      </w:r>
      <w:r>
        <w:rPr>
          <w:b/>
        </w:rPr>
        <w:t>ACTIF</w:t>
      </w:r>
      <w:r/>
    </w:p>
    <w:p>
      <w:pPr>
        <w:pStyle w:val="ListBullet"/>
      </w:pPr>
      <w:r/>
      <w:r>
        <w:rPr>
          <w:b/>
        </w:rPr>
        <w:t>LATRIGINE</w:t>
      </w:r>
      <w:r>
        <w:t xml:space="preserve"> (PHARMALLIANCE)</w:t>
      </w:r>
    </w:p>
    <w:p>
      <w:pPr>
        <w:pStyle w:val="ListBullet"/>
      </w:pPr>
      <w:r>
        <w:t xml:space="preserve">Forme : Comprimé dispersible — Dosage : 100 mg (B/30) — Liste : Liste I — Statut : </w:t>
      </w:r>
      <w:r>
        <w:rPr>
          <w:b/>
        </w:rPr>
        <w:t>ACTIF</w:t>
      </w:r>
      <w:r/>
    </w:p>
    <w:p>
      <w:r/>
      <w:r>
        <w:rPr>
          <w:b/>
        </w:rPr>
        <w:t>Formes orales — comprimés dispersibles (non renouvelables) :</w:t>
      </w:r>
      <w:r/>
    </w:p>
    <w:p>
      <w:pPr>
        <w:pStyle w:val="ListBullet"/>
      </w:pPr>
      <w:r/>
      <w:r>
        <w:rPr>
          <w:b/>
        </w:rPr>
        <w:t>AMOTRIDAL</w:t>
      </w:r>
      <w:r>
        <w:t xml:space="preserve"> (GROUPE SAIDAL)</w:t>
      </w:r>
    </w:p>
    <w:p>
      <w:pPr>
        <w:pStyle w:val="ListBullet"/>
      </w:pPr>
      <w:r>
        <w:t>Formes : Comprimés dispersibles — Dosages : 5 mg (B/28), 25 mg (B/28), 50 mg (B/28), 100 mg (B/28)</w:t>
      </w:r>
    </w:p>
    <w:p>
      <w:pPr>
        <w:pStyle w:val="ListBullet"/>
      </w:pPr>
      <w:r>
        <w:t xml:space="preserve">Liste : Liste I — Statut : </w:t>
      </w:r>
      <w:r>
        <w:rPr>
          <w:b/>
        </w:rPr>
        <w:t>NON RENOUVELABLE</w:t>
      </w:r>
      <w:r>
        <w:t xml:space="preserve"> — épuisement stock, orienter vers AMITRAL, LAMOTRIGINE BEKER, BIOLAM, etc.</w:t>
      </w:r>
    </w:p>
    <w:p>
      <w:pPr>
        <w:pStyle w:val="ListBullet"/>
      </w:pPr>
      <w:r/>
      <w:r>
        <w:rPr>
          <w:b/>
        </w:rPr>
        <w:t>LAMOGINE</w:t>
      </w:r>
      <w:r>
        <w:t xml:space="preserve"> (HIKMA PHARMACEUTICALS)</w:t>
      </w:r>
    </w:p>
    <w:p>
      <w:pPr>
        <w:pStyle w:val="ListBullet"/>
      </w:pPr>
      <w:r>
        <w:t>Forme : Comprimé sécable — Dosages : 25 mg (B/30), 50 mg (B/30), 100 mg (B/30)</w:t>
      </w:r>
    </w:p>
    <w:p>
      <w:pPr>
        <w:pStyle w:val="ListBullet"/>
      </w:pPr>
      <w:r>
        <w:t xml:space="preserve">Liste : Liste I — Statut : </w:t>
      </w:r>
      <w:r>
        <w:rPr>
          <w:b/>
        </w:rPr>
        <w:t>NON RENOUVELABLE</w:t>
      </w:r>
      <w:r/>
    </w:p>
    <w:p>
      <w:r/>
      <w:r>
        <w:rPr>
          <w:b/>
        </w:rPr>
        <w:t>Formes retirées (R) — pour information historique :</w:t>
      </w:r>
      <w:r/>
    </w:p>
    <w:p>
      <w:pPr>
        <w:pStyle w:val="ListBullet"/>
      </w:pPr>
      <w:r/>
      <w:r>
        <w:rPr>
          <w:b/>
        </w:rPr>
        <w:t>LAMICTAL</w:t>
      </w:r>
      <w:r>
        <w:t xml:space="preserve"> (GLAXO WELLCOME)</w:t>
      </w:r>
    </w:p>
    <w:p>
      <w:pPr>
        <w:pStyle w:val="ListBullet"/>
      </w:pPr>
      <w:r>
        <w:t>Formes : Comprimés dispersibles — Dosages : 5 mg (B/28), 25 mg (B/56), 100 mg (B/56)</w:t>
      </w:r>
    </w:p>
    <w:p>
      <w:pPr>
        <w:pStyle w:val="ListBullet"/>
      </w:pPr>
      <w:r>
        <w:t xml:space="preserve">Liste : Liste I — Statut : </w:t>
      </w:r>
      <w:r>
        <w:rPr>
          <w:b/>
        </w:rPr>
        <w:t>RETRAIT (R)</w:t>
      </w:r>
      <w:r>
        <w:t xml:space="preserve"> — princeps de référence internationale retiré du marché algérien</w:t>
      </w:r>
    </w:p>
    <w:p>
      <w:pPr>
        <w:pStyle w:val="ListBullet"/>
      </w:pPr>
      <w:r/>
      <w:r>
        <w:rPr>
          <w:b/>
        </w:rPr>
        <w:t>LAMITOR 25</w:t>
      </w:r>
      <w:r>
        <w:t xml:space="preserve"> (GROUPE SANTE SARL)</w:t>
      </w:r>
    </w:p>
    <w:p>
      <w:pPr>
        <w:pStyle w:val="ListBullet"/>
      </w:pPr>
      <w:r>
        <w:t xml:space="preserve">Forme : Comprimé — Dosage : 25 mg (B/60) — Liste : Liste I — Statut : </w:t>
      </w:r>
      <w:r>
        <w:rPr>
          <w:b/>
        </w:rPr>
        <w:t>RETRAIT (R)</w:t>
      </w:r>
      <w:r/>
    </w:p>
    <w:p>
      <w:pPr>
        <w:pStyle w:val="ListBullet"/>
      </w:pPr>
      <w:r/>
      <w:r>
        <w:rPr>
          <w:b/>
        </w:rPr>
        <w:t>LAMITOR 50</w:t>
      </w:r>
      <w:r>
        <w:t xml:space="preserve"> (GROUPE SANTE SARL)</w:t>
      </w:r>
    </w:p>
    <w:p>
      <w:pPr>
        <w:pStyle w:val="ListBullet"/>
      </w:pPr>
      <w:r>
        <w:t xml:space="preserve">Forme : Comprimé — Dosage : 50 mg (B/40) — Liste : Liste I — Statut : </w:t>
      </w:r>
      <w:r>
        <w:rPr>
          <w:b/>
        </w:rPr>
        <w:t>RETRAIT (R)</w:t>
      </w:r>
      <w:r/>
    </w:p>
    <w:p>
      <w:r/>
      <w:r>
        <w:rPr>
          <w:b/>
        </w:rPr>
        <w:t>Sous-classe et Mécanisme d'action :</w:t>
      </w:r>
      <w:r/>
    </w:p>
    <w:p>
      <w:pPr>
        <w:pStyle w:val="ListBullet"/>
      </w:pPr>
      <w:r/>
      <w:r>
        <w:rPr>
          <w:b/>
        </w:rPr>
        <w:t>Sous-classe</w:t>
      </w:r>
      <w:r>
        <w:t xml:space="preserve"> : Antiépileptique de 3e génération (phényl-triazine) — première utilisation antiépileptique en 1990, extension à la prévention de la dépression bipolaire en 2003 (Calabrese et al. — étude pivot). DCI unique au sein de la sous-classe.</w:t>
      </w:r>
    </w:p>
    <w:p>
      <w:pPr>
        <w:pStyle w:val="ListBullet"/>
      </w:pPr>
      <w:r/>
      <w:r>
        <w:rPr>
          <w:b/>
        </w:rPr>
        <w:t>Mécanisme d'action</w:t>
      </w:r>
      <w:r>
        <w:t xml:space="preserve"> : Le mécanisme d'action de la lamotrigine est </w:t>
      </w:r>
      <w:r>
        <w:rPr>
          <w:b/>
        </w:rPr>
        <w:t>multifactoriel</w:t>
      </w:r>
      <w:r>
        <w:t xml:space="preserve"> et implique plusieurs cibles moléculaires :</w:t>
      </w:r>
    </w:p>
    <w:p>
      <w:pPr>
        <w:pStyle w:val="ListNumber"/>
      </w:pPr>
      <w:r/>
      <w:r>
        <w:rPr>
          <w:b/>
        </w:rPr>
        <w:t>Blocage des canaux Na⁺ voltage-dépendants</w:t>
      </w:r>
      <w:r>
        <w:t xml:space="preserve"> : La lamotrigine se fixe sur la sous-unité α des canaux Na⁺ voltage-dépendants neuronaux, préférentiellement à l'état inactivé (pharmacologie « use-dependent »), similaire à la carbamazépine et à la phénytoïne. Cette fixation maintient les canaux dans l'état inactivé, empêchant leur réouverture rapide — réduisant ainsi la fréquence des potentiels d'action rapides répétitifs (PA en salves) caractéristiques des neurones épileptiques. C'est le mécanisme antiépileptique principal.</w:t>
      </w:r>
    </w:p>
    <w:p>
      <w:pPr>
        <w:pStyle w:val="ListNumber"/>
      </w:pPr>
      <w:r/>
      <w:r>
        <w:rPr>
          <w:b/>
        </w:rPr>
        <w:t>Inhibition de la libération de glutamate</w:t>
      </w:r>
      <w:r>
        <w:t xml:space="preserve"> (propriété distinctive majeure) : La lamotrigine réduit la libération présynaptique de glutamate (acide excitateur principal) par blocage des canaux Na⁺ présynaptiques nécessaires à la libération vésiculaire. Cette inhibition de la libération de glutamate est le mécanisme supposé de :</w:t>
      </w:r>
    </w:p>
    <w:p>
      <w:pPr>
        <w:pStyle w:val="ListBullet"/>
      </w:pPr>
      <w:r>
        <w:t>L'effet thymorégulateur (modulation de l'excitotoxicité glutamatergique dans le trouble bipolaire — hypothèse glutamate de la dépression bipolaire)</w:t>
      </w:r>
    </w:p>
    <w:p>
      <w:pPr>
        <w:pStyle w:val="ListBullet"/>
      </w:pPr>
      <w:r>
        <w:t>L'efficacité dans la dépression bipolaire (le glutamate est impliqué dans la physiopathologie de la dépression — antagonistes NMDA comme kétamine ont une efficacité antidépressive)</w:t>
      </w:r>
    </w:p>
    <w:p>
      <w:pPr>
        <w:pStyle w:val="ListBullet"/>
      </w:pPr>
      <w:r>
        <w:t>La neuroprotection (réduction de l'excitotoxicité glutamatergique)</w:t>
      </w:r>
    </w:p>
    <w:p>
      <w:r>
        <w:t xml:space="preserve">   Cette propriété est unique à la lamotrigine parmi les thymorégulateurs.</w:t>
      </w:r>
    </w:p>
    <w:p>
      <w:pPr>
        <w:pStyle w:val="ListNumber"/>
      </w:pPr>
      <w:r/>
      <w:r>
        <w:rPr>
          <w:b/>
        </w:rPr>
        <w:t>Inhibition de la libération d'aspartate</w:t>
      </w:r>
      <w:r>
        <w:t xml:space="preserve"> (autre acide aminé excitateur) — effet modéré.</w:t>
      </w:r>
    </w:p>
    <w:p>
      <w:pPr>
        <w:pStyle w:val="ListNumber"/>
      </w:pPr>
      <w:r/>
      <w:r>
        <w:rPr>
          <w:b/>
        </w:rPr>
        <w:t>Modulation des canaux calciques voltage-dépendants</w:t>
      </w:r>
      <w:r>
        <w:t xml:space="preserve"> : réduction du courant calcique présynaptique (N et P/Q), réduisant la libération de neurotransmetteurs excitateurs.</w:t>
      </w:r>
    </w:p>
    <w:p>
      <w:pPr>
        <w:pStyle w:val="ListNumber"/>
      </w:pPr>
      <w:r/>
      <w:r>
        <w:rPr>
          <w:b/>
        </w:rPr>
        <w:t>Inhibition faible des récepteurs 5-HT3 sérotoninergiques</w:t>
      </w:r>
      <w:r>
        <w:t xml:space="preserve"> (effet antiémétique marginal).</w:t>
      </w:r>
    </w:p>
    <w:p>
      <w:pPr>
        <w:pStyle w:val="ListNumber"/>
      </w:pPr>
      <w:r/>
      <w:r>
        <w:rPr>
          <w:b/>
        </w:rPr>
        <w:t>Pas d'action directe significative sur les récepteurs GABA-A ou GABA-B</w:t>
      </w:r>
      <w:r>
        <w:t xml:space="preserve"> (à la différence du valproate) — pas d'effet anxiolytique ou sédatif.</w:t>
      </w:r>
    </w:p>
    <w:p>
      <w:pPr>
        <w:pStyle w:val="ListNumber"/>
      </w:pPr>
      <w:r/>
      <w:r>
        <w:rPr>
          <w:b/>
        </w:rPr>
        <w:t>Pas d'action sur la recapture de la sérotonine, noradrénaline ou dopamine</w:t>
      </w:r>
      <w:r>
        <w:t xml:space="preserve"> (à la différence des antidépresseurs).</w:t>
      </w:r>
    </w:p>
    <w:p>
      <w:pPr>
        <w:pStyle w:val="ListBullet"/>
      </w:pPr>
      <w:r/>
      <w:r>
        <w:rPr>
          <w:b/>
        </w:rPr>
        <w:t>Pharmacocinétique</w:t>
      </w:r>
      <w:r>
        <w:t xml:space="preserve"> :</w:t>
      </w:r>
    </w:p>
    <w:p>
      <w:pPr>
        <w:pStyle w:val="ListBullet"/>
      </w:pPr>
      <w:r/>
      <w:r>
        <w:rPr>
          <w:b/>
        </w:rPr>
        <w:t>Biodisponibilité orale</w:t>
      </w:r>
      <w:r>
        <w:t xml:space="preserve"> : 98 % (excellente)</w:t>
      </w:r>
    </w:p>
    <w:p>
      <w:pPr>
        <w:pStyle w:val="ListBullet"/>
      </w:pPr>
      <w:r/>
      <w:r>
        <w:rPr>
          <w:b/>
        </w:rPr>
        <w:t>Pic sérique</w:t>
      </w:r>
      <w:r>
        <w:t xml:space="preserve"> : 1-3 h après prise</w:t>
      </w:r>
    </w:p>
    <w:p>
      <w:pPr>
        <w:pStyle w:val="ListBullet"/>
      </w:pPr>
      <w:r/>
      <w:r>
        <w:rPr>
          <w:b/>
        </w:rPr>
        <w:t>Distribution</w:t>
      </w:r>
      <w:r>
        <w:t xml:space="preserve"> : Vd 1,2 L/kg — liaison protéique faible (55 %) — passage libre BHE, placenta, lait maternel</w:t>
      </w:r>
    </w:p>
    <w:p>
      <w:pPr>
        <w:pStyle w:val="ListBullet"/>
      </w:pPr>
      <w:r/>
      <w:r>
        <w:rPr>
          <w:b/>
        </w:rPr>
        <w:t>Métabolisme</w:t>
      </w:r>
      <w:r>
        <w:t xml:space="preserve"> : glucuronoconjugaison hépatique (UGT1A4, UGT2B7) — pas d'implication CYP450</w:t>
      </w:r>
    </w:p>
    <w:p>
      <w:pPr>
        <w:pStyle w:val="ListBullet"/>
      </w:pPr>
      <w:r/>
      <w:r>
        <w:rPr>
          <w:b/>
        </w:rPr>
        <w:t>Métabolites</w:t>
      </w:r>
      <w:r>
        <w:t xml:space="preserve"> : lamotrigine-N-glucuronide (inactif)</w:t>
      </w:r>
    </w:p>
    <w:p>
      <w:pPr>
        <w:pStyle w:val="ListBullet"/>
      </w:pPr>
      <w:r/>
      <w:r>
        <w:rPr>
          <w:b/>
        </w:rPr>
        <w:t>Demi-vie d'élimination</w:t>
      </w:r>
      <w:r>
        <w:t xml:space="preserve"> : 25 h (sujet sain monothérapie) — </w:t>
      </w:r>
      <w:r>
        <w:rPr>
          <w:b/>
        </w:rPr>
        <w:t>50-70 h sous valproate</w:t>
      </w:r>
      <w:r>
        <w:t xml:space="preserve"> (inhibition UGT1A4) — </w:t>
      </w:r>
      <w:r>
        <w:rPr>
          <w:b/>
        </w:rPr>
        <w:t>15 h sous carbamazépine</w:t>
      </w:r>
      <w:r>
        <w:t xml:space="preserve"> (induction UGT1A4) — </w:t>
      </w:r>
      <w:r>
        <w:rPr>
          <w:b/>
        </w:rPr>
        <w:t>15 h sous contraception orale estrogénique</w:t>
      </w:r>
      <w:r>
        <w:t xml:space="preserve"> (induction UGT1A4 par les estrogènes)</w:t>
      </w:r>
    </w:p>
    <w:p>
      <w:pPr>
        <w:pStyle w:val="ListBullet"/>
      </w:pPr>
      <w:r/>
      <w:r>
        <w:rPr>
          <w:b/>
        </w:rPr>
        <w:t>Élimination</w:t>
      </w:r>
      <w:r>
        <w:t xml:space="preserve"> : rénale (90 % sous forme de glucuronide) — adaptation posologique en IR</w:t>
      </w:r>
    </w:p>
    <w:p>
      <w:r/>
      <w:r>
        <w:rPr>
          <w:b/>
        </w:rPr>
        <w:t>Profil Pharmacologique :</w:t>
      </w:r>
      <w:r/>
    </w:p>
    <w:p>
      <w:pPr>
        <w:pStyle w:val="ListBullet"/>
      </w:pPr>
      <w:r/>
      <w:r>
        <w:rPr>
          <w:b/>
        </w:rPr>
        <w:t>Indications</w:t>
      </w:r>
      <w:r>
        <w:t xml:space="preserve"> :</w:t>
      </w:r>
    </w:p>
    <w:p>
      <w:pPr>
        <w:pStyle w:val="ListBullet"/>
      </w:pPr>
      <w:r/>
      <w:r>
        <w:rPr>
          <w:b/>
        </w:rPr>
        <w:t>Prévention des épisodes dépressifs du trouble bipolaire I</w:t>
      </w:r>
      <w:r>
        <w:t xml:space="preserve"> (indication AMM spécifique — référence) — efficacité démontrée par Calabrese 2003, Geddes 2010</w:t>
      </w:r>
    </w:p>
    <w:p>
      <w:pPr>
        <w:pStyle w:val="ListBullet"/>
      </w:pPr>
      <w:r/>
      <w:r>
        <w:rPr>
          <w:b/>
        </w:rPr>
        <w:t>Prévention des rechutes bipolaires</w:t>
      </w:r>
      <w:r>
        <w:t xml:space="preserve"> (indication AMM) — bipolaires I et II</w:t>
      </w:r>
    </w:p>
    <w:p>
      <w:pPr>
        <w:pStyle w:val="ListBullet"/>
      </w:pPr>
      <w:r/>
      <w:r>
        <w:rPr>
          <w:b/>
        </w:rPr>
        <w:t>Épilepsie</w:t>
      </w:r>
      <w:r>
        <w:t xml:space="preserve"> (indication initiale) : crises partielles et généralisées tonico-cloniques, crises d'absence, syndrome de Lennox-Gastaut</w:t>
      </w:r>
    </w:p>
    <w:p>
      <w:pPr>
        <w:pStyle w:val="ListBullet"/>
      </w:pPr>
      <w:r/>
      <w:r>
        <w:rPr>
          <w:b/>
        </w:rPr>
        <w:t>Manie aiguë</w:t>
      </w:r>
      <w:r>
        <w:t xml:space="preserve"> : </w:t>
      </w:r>
      <w:r>
        <w:rPr>
          <w:b/>
        </w:rPr>
        <w:t>efficacité limitée</w:t>
      </w:r>
      <w:r>
        <w:t xml:space="preserve"> (pas d'effet anti-maniaque significatif) — à éviter en monothérapie pour traiter la manie (préférer valproate, lithium, antipsychotique atypique)</w:t>
      </w:r>
    </w:p>
    <w:p>
      <w:pPr>
        <w:pStyle w:val="ListBullet"/>
      </w:pPr>
      <w:r/>
      <w:r>
        <w:rPr>
          <w:b/>
        </w:rPr>
        <w:t>Dépression bipolaire aiguë</w:t>
      </w:r>
      <w:r>
        <w:t xml:space="preserve"> : efficacité modérée (effet préventif supérieur à curatif)</w:t>
      </w:r>
    </w:p>
    <w:p>
      <w:pPr>
        <w:pStyle w:val="ListBullet"/>
      </w:pPr>
      <w:r/>
      <w:r>
        <w:rPr>
          <w:b/>
        </w:rPr>
        <w:t>Trouble bipolaire à cycles rapides</w:t>
      </w:r>
      <w:r>
        <w:t xml:space="preserve"> : efficacité modeste</w:t>
      </w:r>
    </w:p>
    <w:p>
      <w:pPr>
        <w:pStyle w:val="ListBullet"/>
      </w:pPr>
      <w:r/>
      <w:r>
        <w:rPr>
          <w:b/>
        </w:rPr>
        <w:t>Dépression unipolaire résistante</w:t>
      </w:r>
      <w:r>
        <w:t xml:space="preserve"> (hors AMM — 2e intention)</w:t>
      </w:r>
    </w:p>
    <w:p>
      <w:pPr>
        <w:pStyle w:val="ListBullet"/>
      </w:pPr>
      <w:r/>
      <w:r>
        <w:rPr>
          <w:b/>
        </w:rPr>
        <w:t>Trouble borderline</w:t>
      </w:r>
      <w:r>
        <w:t xml:space="preserve"> (hors AMM — étude Lieb 2010)</w:t>
      </w:r>
    </w:p>
    <w:p>
      <w:pPr>
        <w:pStyle w:val="ListBullet"/>
      </w:pPr>
      <w:r/>
      <w:r>
        <w:rPr>
          <w:b/>
        </w:rPr>
        <w:t>Contre-indications absolues</w:t>
      </w:r>
      <w:r>
        <w:t xml:space="preserve"> :</w:t>
      </w:r>
    </w:p>
    <w:p>
      <w:pPr>
        <w:pStyle w:val="ListBullet"/>
      </w:pPr>
      <w:r/>
      <w:r>
        <w:rPr>
          <w:b/>
        </w:rPr>
        <w:t>Allergie à la lamotrigine</w:t>
      </w:r>
      <w:r>
        <w:t xml:space="preserve"> — antécédent de réaction d'hypersensibilité</w:t>
      </w:r>
    </w:p>
    <w:p>
      <w:pPr>
        <w:pStyle w:val="ListBullet"/>
      </w:pPr>
      <w:r/>
      <w:r>
        <w:rPr>
          <w:b/>
        </w:rPr>
        <w:t>Antécédent de réaction cutanée sévère</w:t>
      </w:r>
      <w:r>
        <w:t xml:space="preserve"> à la lamotrigine (Stevens-Johnson, syndrome de Lyell, DRESS) — </w:t>
      </w:r>
      <w:r>
        <w:rPr>
          <w:b/>
        </w:rPr>
        <w:t>CI définitive absolue</w:t>
      </w:r>
      <w:r>
        <w:t xml:space="preserve"> — risque de récidive létale</w:t>
      </w:r>
    </w:p>
    <w:p>
      <w:pPr>
        <w:pStyle w:val="ListBullet"/>
      </w:pPr>
      <w:r/>
      <w:r>
        <w:rPr>
          <w:b/>
        </w:rPr>
        <w:t>Associations avec valproate</w:t>
      </w:r>
      <w:r>
        <w:t xml:space="preserve"> (CI relative — titration réduite de moitié obligatoire)</w:t>
      </w:r>
    </w:p>
    <w:p>
      <w:pPr>
        <w:pStyle w:val="ListBullet"/>
      </w:pPr>
      <w:r/>
      <w:r>
        <w:rPr>
          <w:b/>
        </w:rPr>
        <w:t>Contre-indications relatives</w:t>
      </w:r>
      <w:r>
        <w:t xml:space="preserve"> :</w:t>
      </w:r>
    </w:p>
    <w:p>
      <w:pPr>
        <w:pStyle w:val="ListBullet"/>
      </w:pPr>
      <w:r>
        <w:t>Sujet âgé (&gt; 65 ans) — prudence (clairance réduite)</w:t>
      </w:r>
    </w:p>
    <w:p>
      <w:pPr>
        <w:pStyle w:val="ListBullet"/>
      </w:pPr>
      <w:r>
        <w:t>Insuffisance rénale (adaptation posologique)</w:t>
      </w:r>
    </w:p>
    <w:p>
      <w:pPr>
        <w:pStyle w:val="ListBullet"/>
      </w:pPr>
      <w:r>
        <w:t>Insuffisance hépatique (adaptation posologique)</w:t>
      </w:r>
    </w:p>
    <w:p>
      <w:pPr>
        <w:pStyle w:val="ListBullet"/>
      </w:pPr>
      <w:r>
        <w:t>Association avec carbamazépine, phénytoïne, rifampicine (inducteurs UGT1A4 — adaptation posologique à la hausse)</w:t>
      </w:r>
    </w:p>
    <w:p>
      <w:pPr>
        <w:pStyle w:val="ListBullet"/>
      </w:pPr>
      <w:r>
        <w:t>Association avec contraception orale estrogénique (adaptation posologique à la hausse — + 30-50 %)</w:t>
      </w:r>
    </w:p>
    <w:p>
      <w:pPr>
        <w:pStyle w:val="ListBullet"/>
      </w:pPr>
      <w:r/>
      <w:r>
        <w:rPr>
          <w:b/>
        </w:rPr>
        <w:t>Effets indésirables</w:t>
      </w:r>
      <w:r>
        <w:t xml:space="preserve"> :</w:t>
      </w:r>
    </w:p>
    <w:p>
      <w:r>
        <w:t xml:space="preserve">  </w:t>
      </w:r>
      <w:r>
        <w:rPr>
          <w:i/>
        </w:rPr>
        <w:t>Cutanés (8-10 % bénins, 0,1-0,3 % sévères — RISQUE MAJEUR)</w:t>
      </w:r>
      <w:r>
        <w:t xml:space="preserve"> :</w:t>
      </w:r>
    </w:p>
    <w:p>
      <w:pPr>
        <w:pStyle w:val="ListBullet"/>
      </w:pPr>
      <w:r/>
      <w:r>
        <w:rPr>
          <w:b/>
        </w:rPr>
        <w:t>Rash maculopapuleux bénin</w:t>
      </w:r>
      <w:r>
        <w:t xml:space="preserve"> (8-10 %) — survient dans les 8 premières semaines — souvent transitoire — surveillance étroite obligatoire (risque d'évolution vers SJS)</w:t>
      </w:r>
    </w:p>
    <w:p>
      <w:pPr>
        <w:pStyle w:val="ListBullet"/>
      </w:pPr>
      <w:r/>
      <w:r>
        <w:rPr>
          <w:b/>
        </w:rPr>
        <w:t>Stevens-Johnson (SJS)</w:t>
      </w:r>
      <w:r>
        <w:t xml:space="preserve"> (0,1 % — risque majoré en cas de titration rapide, association valproate, âge &lt; 16 ans) — signes : éruption maculeuse en cibles, décollement cutané, atteinte des muqueuses (buccale, conjonctivale, génitale), fièvre — </w:t>
      </w:r>
      <w:r>
        <w:rPr>
          <w:b/>
        </w:rPr>
        <w:t>urgence dermatologique vitale</w:t>
      </w:r>
      <w:r>
        <w:t xml:space="preserve"> (mortalité 30 %) — arrêt immédiat définitif, hospitalisation urgente en réanimation dermatologique</w:t>
      </w:r>
    </w:p>
    <w:p>
      <w:pPr>
        <w:pStyle w:val="ListBullet"/>
      </w:pPr>
      <w:r/>
      <w:r>
        <w:rPr>
          <w:b/>
        </w:rPr>
        <w:t>Syndrome de Lyell</w:t>
      </w:r>
      <w:r>
        <w:t xml:space="preserve"> (nécrolyse épidermique toxique — 0,02 %) — forme la plus grave (mortalité 50 %) — signes : décollement cutané massif, signe de Nikolsky positif — arrêt immédiat définitif, hospitalisation urgente en réanimation dermatologique</w:t>
      </w:r>
    </w:p>
    <w:p>
      <w:pPr>
        <w:pStyle w:val="ListBullet"/>
      </w:pPr>
      <w:r/>
      <w:r>
        <w:rPr>
          <w:b/>
        </w:rPr>
        <w:t>DRESS</w:t>
      </w:r>
      <w:r>
        <w:t xml:space="preserve"> (Drug Rash with Eosinophilia and Systemic Symptoms — 0,01 %) — éruption fébrile, adénopathies, éosinophilie, atteinte multiviscérale (foie, rein, poumon, cœur) — survenue retardée (2-8 semaines) — arrêt immédiat définitif</w:t>
      </w:r>
    </w:p>
    <w:p>
      <w:r>
        <w:t xml:space="preserve">  </w:t>
      </w:r>
      <w:r>
        <w:rPr>
          <w:i/>
        </w:rPr>
        <w:t>Neurologiques (10-15 %)</w:t>
      </w:r>
      <w:r>
        <w:t xml:space="preserve"> :</w:t>
      </w:r>
    </w:p>
    <w:p>
      <w:pPr>
        <w:pStyle w:val="ListBullet"/>
      </w:pPr>
      <w:r/>
      <w:r>
        <w:rPr>
          <w:b/>
        </w:rPr>
        <w:t>Céphalées</w:t>
      </w:r>
      <w:r>
        <w:t xml:space="preserve"> (10-15 %)</w:t>
      </w:r>
    </w:p>
    <w:p>
      <w:pPr>
        <w:pStyle w:val="ListBullet"/>
      </w:pPr>
      <w:r/>
      <w:r>
        <w:rPr>
          <w:b/>
        </w:rPr>
        <w:t>Somnolence</w:t>
      </w:r>
      <w:r>
        <w:t xml:space="preserve"> (5-10 %) — souvent transitoire — moins marquée que sous carbamazépine</w:t>
      </w:r>
    </w:p>
    <w:p>
      <w:pPr>
        <w:pStyle w:val="ListBullet"/>
      </w:pPr>
      <w:r/>
      <w:r>
        <w:rPr>
          <w:b/>
        </w:rPr>
        <w:t>Vertiges</w:t>
      </w:r>
      <w:r>
        <w:t xml:space="preserve"> (5-10 %)</w:t>
      </w:r>
    </w:p>
    <w:p>
      <w:pPr>
        <w:pStyle w:val="ListBullet"/>
      </w:pPr>
      <w:r/>
      <w:r>
        <w:rPr>
          <w:b/>
        </w:rPr>
        <w:t>Asthénie</w:t>
      </w:r>
      <w:r>
        <w:t xml:space="preserve"> (5-10 %)</w:t>
      </w:r>
    </w:p>
    <w:p>
      <w:pPr>
        <w:pStyle w:val="ListBullet"/>
      </w:pPr>
      <w:r/>
      <w:r>
        <w:rPr>
          <w:b/>
        </w:rPr>
        <w:t>Ataxie, diplopie</w:t>
      </w:r>
      <w:r>
        <w:t xml:space="preserve"> (5 % — aux fortes doses)</w:t>
      </w:r>
    </w:p>
    <w:p>
      <w:pPr>
        <w:pStyle w:val="ListBullet"/>
      </w:pPr>
      <w:r/>
      <w:r>
        <w:rPr>
          <w:b/>
        </w:rPr>
        <w:t>Tremblements</w:t>
      </w:r>
      <w:r>
        <w:t xml:space="preserve"> (5 %)</w:t>
      </w:r>
    </w:p>
    <w:p>
      <w:pPr>
        <w:pStyle w:val="ListBullet"/>
      </w:pPr>
      <w:r/>
      <w:r>
        <w:rPr>
          <w:b/>
        </w:rPr>
        <w:t>Insomnie</w:t>
      </w:r>
      <w:r>
        <w:t xml:space="preserve"> (paradoxaux — 5 %)</w:t>
      </w:r>
    </w:p>
    <w:p>
      <w:r>
        <w:t xml:space="preserve">  </w:t>
      </w:r>
      <w:r>
        <w:rPr>
          <w:i/>
        </w:rPr>
        <w:t>Gastro-intestinaux (5-10 %)</w:t>
      </w:r>
      <w:r>
        <w:t xml:space="preserve"> :</w:t>
      </w:r>
    </w:p>
    <w:p>
      <w:pPr>
        <w:pStyle w:val="ListBullet"/>
      </w:pPr>
      <w:r/>
      <w:r>
        <w:rPr>
          <w:b/>
        </w:rPr>
        <w:t>Nausées, vomissements</w:t>
      </w:r>
      <w:r>
        <w:t xml:space="preserve"> (5-10 %)</w:t>
      </w:r>
    </w:p>
    <w:p>
      <w:pPr>
        <w:pStyle w:val="ListBullet"/>
      </w:pPr>
      <w:r/>
      <w:r>
        <w:rPr>
          <w:b/>
        </w:rPr>
        <w:t>Diarrhée</w:t>
      </w:r>
      <w:r>
        <w:t xml:space="preserve"> (5 %)</w:t>
      </w:r>
    </w:p>
    <w:p>
      <w:pPr>
        <w:pStyle w:val="ListBullet"/>
      </w:pPr>
      <w:r/>
      <w:r>
        <w:rPr>
          <w:b/>
        </w:rPr>
        <w:t>Douleurs abdominales</w:t>
      </w:r>
      <w:r>
        <w:t xml:space="preserve"> (5 %)</w:t>
      </w:r>
    </w:p>
    <w:p>
      <w:r>
        <w:t xml:space="preserve">  </w:t>
      </w:r>
      <w:r>
        <w:rPr>
          <w:i/>
        </w:rPr>
        <w:t>Psychiatriques</w:t>
      </w:r>
      <w:r>
        <w:t xml:space="preserve"> :</w:t>
      </w:r>
    </w:p>
    <w:p>
      <w:pPr>
        <w:pStyle w:val="ListBullet"/>
      </w:pPr>
      <w:r/>
      <w:r>
        <w:rPr>
          <w:b/>
        </w:rPr>
        <w:t>Insomnie, agitation, irritabilité</w:t>
      </w:r>
      <w:r>
        <w:t xml:space="preserve"> (5 % — surtout chez enfant)</w:t>
      </w:r>
    </w:p>
    <w:p>
      <w:pPr>
        <w:pStyle w:val="ListBullet"/>
      </w:pPr>
      <w:r/>
      <w:r>
        <w:rPr>
          <w:b/>
        </w:rPr>
        <w:t>Aggravation de symptômes psychotiques</w:t>
      </w:r>
      <w:r>
        <w:t xml:space="preserve"> (rares — prudence chez patient psychotique)</w:t>
      </w:r>
    </w:p>
    <w:p>
      <w:r>
        <w:t xml:space="preserve">  </w:t>
      </w:r>
      <w:r>
        <w:rPr>
          <w:i/>
        </w:rPr>
        <w:t>Hématologiques (rares)</w:t>
      </w:r>
      <w:r>
        <w:t xml:space="preserve"> :</w:t>
      </w:r>
    </w:p>
    <w:p>
      <w:pPr>
        <w:pStyle w:val="ListBullet"/>
      </w:pPr>
      <w:r/>
      <w:r>
        <w:rPr>
          <w:b/>
        </w:rPr>
        <w:t>Neutropénie, thrombopénie, anémie aplasique</w:t>
      </w:r>
      <w:r>
        <w:t xml:space="preserve"> (très rares, &lt; 1/10 000)</w:t>
      </w:r>
    </w:p>
    <w:p>
      <w:r>
        <w:t xml:space="preserve">  </w:t>
      </w:r>
      <w:r>
        <w:rPr>
          <w:i/>
        </w:rPr>
        <w:t>Métaboliques</w:t>
      </w:r>
      <w:r>
        <w:t xml:space="preserve"> :</w:t>
      </w:r>
    </w:p>
    <w:p>
      <w:pPr>
        <w:pStyle w:val="ListBullet"/>
      </w:pPr>
      <w:r/>
      <w:r>
        <w:rPr>
          <w:b/>
        </w:rPr>
        <w:t>Prise de poids</w:t>
      </w:r>
      <w:r>
        <w:t xml:space="preserve"> : profil neutre (avantage vs valproate, lithium) — prise de poids moyenne 0-2 kg à long terme</w:t>
      </w:r>
    </w:p>
    <w:p>
      <w:pPr>
        <w:pStyle w:val="ListBullet"/>
      </w:pPr>
      <w:r/>
      <w:r>
        <w:rPr>
          <w:b/>
        </w:rPr>
        <w:t>Pas d'effet métabolique</w:t>
      </w:r>
      <w:r>
        <w:t xml:space="preserve"> (avantage vs valproate, atypiques)</w:t>
      </w:r>
    </w:p>
    <w:p>
      <w:r>
        <w:t xml:space="preserve">  </w:t>
      </w:r>
      <w:r>
        <w:rPr>
          <w:i/>
        </w:rPr>
        <w:t>Tératogénicité</w:t>
      </w:r>
      <w:r>
        <w:t xml:space="preserve"> : voir section Grossesse (profil le plus favorable)</w:t>
      </w:r>
    </w:p>
    <w:p>
      <w:r/>
      <w:r>
        <w:rPr>
          <w:b/>
        </w:rPr>
        <w:t>Prévention et Gestion des Effets Indésirables :</w:t>
      </w:r>
      <w:r/>
    </w:p>
    <w:p>
      <w:pPr>
        <w:pStyle w:val="ListBullet"/>
      </w:pPr>
      <w:r/>
      <w:r>
        <w:rPr>
          <w:b/>
        </w:rPr>
        <w:t>Mesures Préventives systématiques</w:t>
      </w:r>
      <w:r>
        <w:t xml:space="preserve"> :</w:t>
      </w:r>
    </w:p>
    <w:p>
      <w:r>
        <w:t xml:space="preserve">  </w:t>
      </w:r>
      <w:r>
        <w:rPr>
          <w:i/>
        </w:rPr>
        <w:t>Bilan pré-thérapeutique avant initiation :</w:t>
      </w:r>
      <w:r/>
    </w:p>
    <w:p>
      <w:pPr>
        <w:pStyle w:val="ListBullet"/>
      </w:pPr>
      <w:r>
        <w:t>Pas de bilan biologique systématique obligatoire (avantage majeur — pas de surveillance de lamotriginémie)</w:t>
      </w:r>
    </w:p>
    <w:p>
      <w:pPr>
        <w:pStyle w:val="ListBullet"/>
      </w:pPr>
      <w:r>
        <w:t>β-hCG chez la femme en âge de procréer (grossesse)</w:t>
      </w:r>
    </w:p>
    <w:p>
      <w:pPr>
        <w:pStyle w:val="ListBullet"/>
      </w:pPr>
      <w:r>
        <w:t>Poids, taille, IMC (référence)</w:t>
      </w:r>
    </w:p>
    <w:p>
      <w:pPr>
        <w:pStyle w:val="ListBullet"/>
      </w:pPr>
      <w:r>
        <w:t>Information détaillée du patient sur le risque de rash cutané (signes d'alerte : fièvre, éruption, atteinte des muqueuses — URGENCE)</w:t>
      </w:r>
    </w:p>
    <w:p>
      <w:pPr>
        <w:pStyle w:val="ListBullet"/>
      </w:pPr>
      <w:r>
        <w:t>Information sur la nécessité d'une titration très lente sur 8-12 semaines</w:t>
      </w:r>
    </w:p>
    <w:p>
      <w:pPr>
        <w:pStyle w:val="ListBullet"/>
      </w:pPr>
      <w:r>
        <w:t>Information sur l'association avec valproate (titration réduite de moitié)</w:t>
      </w:r>
    </w:p>
    <w:p>
      <w:r>
        <w:t xml:space="preserve">  </w:t>
      </w:r>
      <w:r>
        <w:rPr>
          <w:i/>
        </w:rPr>
        <w:t>Surveillance en cours de traitement :</w:t>
      </w:r>
      <w:r/>
    </w:p>
    <w:p>
      <w:pPr>
        <w:pStyle w:val="ListBullet"/>
      </w:pPr>
      <w:r/>
      <w:r>
        <w:rPr>
          <w:b/>
        </w:rPr>
        <w:t>Pas de surveillance biologique systématique obligatoire</w:t>
      </w:r>
      <w:r>
        <w:t xml:space="preserve"> (avantage majeur vs lithium, valproate, carbamazépine — pas de lamotriginémie en routine)</w:t>
      </w:r>
    </w:p>
    <w:p>
      <w:pPr>
        <w:pStyle w:val="ListBullet"/>
      </w:pPr>
      <w:r/>
      <w:r>
        <w:rPr>
          <w:b/>
        </w:rPr>
        <w:t>Surveillance clinique stricte du rash cutané pendant les 8 premières semaines</w:t>
      </w:r>
      <w:r>
        <w:t xml:space="preserve"> : auto-surveillance par le patient (examen cutané quotidien), consultation immédiate en cas d'éruption</w:t>
      </w:r>
    </w:p>
    <w:p>
      <w:pPr>
        <w:pStyle w:val="ListBullet"/>
      </w:pPr>
      <w:r/>
      <w:r>
        <w:rPr>
          <w:b/>
        </w:rPr>
        <w:t>Surveillance de l'observance</w:t>
      </w:r>
      <w:r>
        <w:t xml:space="preserve"> (titration stricte — pas d'augmentation plus rapide que le schéma recommandé)</w:t>
      </w:r>
    </w:p>
    <w:p>
      <w:r>
        <w:t xml:space="preserve">  </w:t>
      </w:r>
      <w:r>
        <w:rPr>
          <w:i/>
        </w:rPr>
        <w:t>Schéma de titration standard (sans valproate ni inducteur UGT) :</w:t>
      </w:r>
      <w:r/>
    </w:p>
    <w:p>
      <w:pPr>
        <w:pStyle w:val="ListBullet"/>
      </w:pPr>
      <w:r>
        <w:t>Semaines 1-2 : 25 mg/jour (1 cp à 25 mg)</w:t>
      </w:r>
    </w:p>
    <w:p>
      <w:pPr>
        <w:pStyle w:val="ListBullet"/>
      </w:pPr>
      <w:r>
        <w:t>Semaines 3-4 : 50 mg/jour</w:t>
      </w:r>
    </w:p>
    <w:p>
      <w:pPr>
        <w:pStyle w:val="ListBullet"/>
      </w:pPr>
      <w:r>
        <w:t>Semaines 5-6 : 100 mg/jour</w:t>
      </w:r>
    </w:p>
    <w:p>
      <w:pPr>
        <w:pStyle w:val="ListBullet"/>
      </w:pPr>
      <w:r>
        <w:t>Semaines 7-8 : 200 mg/jour (dose cible — prévention dépression bipolaire)</w:t>
      </w:r>
    </w:p>
    <w:p>
      <w:pPr>
        <w:pStyle w:val="ListBullet"/>
      </w:pPr>
      <w:r>
        <w:t>Dose maximale : 400 mg/jour</w:t>
      </w:r>
    </w:p>
    <w:p>
      <w:r>
        <w:t xml:space="preserve">  </w:t>
      </w:r>
      <w:r>
        <w:rPr>
          <w:i/>
        </w:rPr>
        <w:t>Schéma de titration sous valproate (demi-vie × 2 — titration réduite de moitié) :</w:t>
      </w:r>
      <w:r/>
    </w:p>
    <w:p>
      <w:pPr>
        <w:pStyle w:val="ListBullet"/>
      </w:pPr>
      <w:r>
        <w:t>Semaines 1-2 : 25 mg tous les 2 jours (12,5 mg/jour moyen)</w:t>
      </w:r>
    </w:p>
    <w:p>
      <w:pPr>
        <w:pStyle w:val="ListBullet"/>
      </w:pPr>
      <w:r>
        <w:t>Semaines 3-4 : 25 mg/jour</w:t>
      </w:r>
    </w:p>
    <w:p>
      <w:pPr>
        <w:pStyle w:val="ListBullet"/>
      </w:pPr>
      <w:r>
        <w:t>Semaines 5-6 : 50 mg/jour</w:t>
      </w:r>
    </w:p>
    <w:p>
      <w:pPr>
        <w:pStyle w:val="ListBullet"/>
      </w:pPr>
      <w:r>
        <w:t>Semaines 7-8 : 100 mg/jour (dose cible)</w:t>
      </w:r>
    </w:p>
    <w:p>
      <w:pPr>
        <w:pStyle w:val="ListBullet"/>
      </w:pPr>
      <w:r>
        <w:t>Dose maximale : 200 mg/jour</w:t>
      </w:r>
    </w:p>
    <w:p>
      <w:r>
        <w:t xml:space="preserve">  </w:t>
      </w:r>
      <w:r>
        <w:rPr>
          <w:i/>
        </w:rPr>
        <w:t>Schéma de titration sous carbamazépine / phénytoïne / rifampicine (inducteurs UGT — demi-vie ÷ 2 — titration accélérée) :</w:t>
      </w:r>
      <w:r/>
    </w:p>
    <w:p>
      <w:pPr>
        <w:pStyle w:val="ListBullet"/>
      </w:pPr>
      <w:r>
        <w:t>Semaines 1-2 : 50 mg/jour</w:t>
      </w:r>
    </w:p>
    <w:p>
      <w:pPr>
        <w:pStyle w:val="ListBullet"/>
      </w:pPr>
      <w:r>
        <w:t>Semaines 3-4 : 100 mg/jour</w:t>
      </w:r>
    </w:p>
    <w:p>
      <w:pPr>
        <w:pStyle w:val="ListBullet"/>
      </w:pPr>
      <w:r>
        <w:t>Semaines 5-6 : 200 mg/jour</w:t>
      </w:r>
    </w:p>
    <w:p>
      <w:pPr>
        <w:pStyle w:val="ListBullet"/>
      </w:pPr>
      <w:r>
        <w:t>Semaines 7-8 : 300-400 mg/jour (dose cible)</w:t>
      </w:r>
    </w:p>
    <w:p>
      <w:pPr>
        <w:pStyle w:val="ListBullet"/>
      </w:pPr>
      <w:r>
        <w:t>Dose maximale : 500-700 mg/jour</w:t>
      </w:r>
    </w:p>
    <w:p>
      <w:pPr>
        <w:pStyle w:val="ListBullet"/>
      </w:pPr>
      <w:r/>
      <w:r>
        <w:rPr>
          <w:b/>
        </w:rPr>
        <w:t>Conduite à tenir selon l'effet indésirable</w:t>
      </w:r>
      <w:r>
        <w:t xml:space="preserve"> :</w:t>
      </w:r>
    </w:p>
    <w:p>
      <w:r>
        <w:t xml:space="preserve">  </w:t>
      </w:r>
      <w:r>
        <w:rPr>
          <w:i/>
        </w:rPr>
        <w:t>Rash cutané bénin (maculopapuleux sans signes de gravité)</w:t>
      </w:r>
      <w:r>
        <w:t xml:space="preserve"> : </w:t>
      </w:r>
      <w:r>
        <w:rPr>
          <w:b/>
        </w:rPr>
        <w:t>surveillance étroite obligatoire</w:t>
      </w:r>
      <w:r>
        <w:t xml:space="preserve"> — évaluer l'évolution : si extension rapide, fièvre, atteinte des muqueuses (buccale, conjonctivale), décollement cutané → évoquer SJS → </w:t>
      </w:r>
      <w:r>
        <w:rPr>
          <w:b/>
        </w:rPr>
        <w:t>arrêt immédiat définitif, hospitalisation urgente</w:t>
      </w:r>
      <w:r>
        <w:t>. Si rash bénin stable sans signe de gravité : consulter dermatologue — souvent arrêt par prudence (switch vers alternative non phényl-triazinique).</w:t>
      </w:r>
    </w:p>
    <w:p>
      <w:r>
        <w:t xml:space="preserve">  </w:t>
      </w:r>
      <w:r>
        <w:rPr>
          <w:i/>
        </w:rPr>
        <w:t>Stevens-Johnson / Lyell</w:t>
      </w:r>
      <w:r>
        <w:t xml:space="preserve"> : </w:t>
      </w:r>
      <w:r>
        <w:rPr>
          <w:b/>
        </w:rPr>
        <w:t>urgence dermatologique vitale</w:t>
      </w:r>
      <w:r>
        <w:t xml:space="preserve"> — arrêt immédiat définitif de la lamotrigine — hospitalisation urgente en réanimation dermatologique — traitement symptomatique (réhydratation IV, antibiothérapie prophylactique, nutrition entérale, soins locaux) — mortalité 30-50 %. </w:t>
      </w:r>
      <w:r>
        <w:rPr>
          <w:b/>
        </w:rPr>
        <w:t>CI définitive absolue à toute réintroduction</w:t>
      </w:r>
      <w:r>
        <w:t xml:space="preserve"> (risque de récidive létale). Déclaration de pharmacovigilance obligatoire.</w:t>
      </w:r>
    </w:p>
    <w:p>
      <w:r>
        <w:t xml:space="preserve">  </w:t>
      </w:r>
      <w:r>
        <w:rPr>
          <w:i/>
        </w:rPr>
        <w:t>DRESS</w:t>
      </w:r>
      <w:r>
        <w:t xml:space="preserve"> : arrêt immédiat définitif — hospitalisation — corticothérapie générale (1 mg/kg prednisone) — recherche atteinte multiviscérale (foie, rein, poumon, cœur) — </w:t>
      </w:r>
      <w:r>
        <w:rPr>
          <w:b/>
        </w:rPr>
        <w:t>CI définitive à toute réintroduction</w:t>
      </w:r>
      <w:r>
        <w:t>.</w:t>
      </w:r>
    </w:p>
    <w:p>
      <w:r>
        <w:t xml:space="preserve">  </w:t>
      </w:r>
      <w:r>
        <w:rPr>
          <w:i/>
        </w:rPr>
        <w:t>Troubles neurologiques</w:t>
      </w:r>
      <w:r>
        <w:t xml:space="preserve"> (céphalées, somnolence, vertiges) : souvent transitoires (1-2 semaines) — poursuivre le traitement — si persistants, réduire dose.</w:t>
      </w:r>
    </w:p>
    <w:p>
      <w:r>
        <w:t xml:space="preserve">  </w:t>
      </w:r>
      <w:r>
        <w:rPr>
          <w:i/>
        </w:rPr>
        <w:t>Insomnie, agitation</w:t>
      </w:r>
      <w:r>
        <w:t xml:space="preserve"> : souvent transitoires — si persistants, envisager prise matinale au lieu de vespérale.</w:t>
      </w:r>
    </w:p>
    <w:p>
      <w:r>
        <w:t xml:space="preserve">  </w:t>
      </w:r>
      <w:r>
        <w:rPr>
          <w:i/>
        </w:rPr>
        <w:t>Prise de poids excessive</w:t>
      </w:r>
      <w:r>
        <w:t xml:space="preserve"> : rare — vérifier absence d'autre cause.</w:t>
      </w:r>
    </w:p>
    <w:p>
      <w:r>
        <w:t xml:space="preserve">  </w:t>
      </w:r>
      <w:r>
        <w:rPr>
          <w:i/>
        </w:rPr>
        <w:t>Éducation du patient</w:t>
      </w:r>
      <w:r>
        <w:t xml:space="preserve"> : carte de patient mentionnant le traitement, </w:t>
      </w:r>
      <w:r>
        <w:rPr>
          <w:b/>
        </w:rPr>
        <w:t>information CRITIQUE sur les signes de Stevens-Johnson</w:t>
      </w:r>
      <w:r>
        <w:t xml:space="preserve"> (fièvre + éruption cutanée + atteinte muqueuses — URGENCE), information sur la nécessité d'une titration stricte (ne pas augmenter la dose plus rapidement que prescrit), information sur l'association avec valproate (titration réduite de moitié).</w:t>
      </w:r>
    </w:p>
    <w:p>
      <w:r/>
      <w:r>
        <w:rPr>
          <w:b/>
        </w:rPr>
        <w:t>Interactions Importantes :</w:t>
      </w:r>
      <w:r/>
    </w:p>
    <w:p>
      <w:pPr>
        <w:pStyle w:val="ListBullet"/>
      </w:pPr>
      <w:r/>
      <w:r>
        <w:rPr>
          <w:b/>
        </w:rPr>
        <w:t>Lamotrigine + Valproate</w:t>
      </w:r>
      <w:r>
        <w:t xml:space="preserve"> : </w:t>
      </w:r>
      <w:r>
        <w:rPr>
          <w:b/>
        </w:rPr>
        <w:t>interaction majeure</w:t>
      </w:r>
      <w:r>
        <w:t xml:space="preserve"> — le valproate inhibe la glucuronoconjugaison de la lamotrigine (UGT1A4) → </w:t>
      </w:r>
      <w:r>
        <w:rPr>
          <w:b/>
        </w:rPr>
        <w:t>demi-vie de la lamotrigine × 2</w:t>
      </w:r>
      <w:r>
        <w:t xml:space="preserve"> (de 25 h à 50 h) → </w:t>
      </w:r>
      <w:r>
        <w:rPr>
          <w:b/>
        </w:rPr>
        <w:t>risque majoré de rash cutané sévère</w:t>
      </w:r>
      <w:r>
        <w:t xml:space="preserve"> (Stevens-Johnson, Lyell). </w:t>
      </w:r>
      <w:r>
        <w:rPr>
          <w:b/>
        </w:rPr>
        <w:t>Adapter la dose de lamotrigine : titration réduite de moitié</w:t>
      </w:r>
      <w:r>
        <w:t xml:space="preserve"> (schéma à 25 mg tous les 2 jours au lieu de 25 mg/jour, puis 25 mg/jour, etc.) — dose cible 100 mg/jour (au lieu de 200 mg/jour). Surveillance étroite.</w:t>
      </w:r>
    </w:p>
    <w:p>
      <w:pPr>
        <w:pStyle w:val="ListBullet"/>
      </w:pPr>
      <w:r/>
      <w:r>
        <w:rPr>
          <w:b/>
        </w:rPr>
        <w:t>Lamotrigine + Carbamazépine, Phénytoïne, Phénobarbital</w:t>
      </w:r>
      <w:r>
        <w:t xml:space="preserve"> : ces inducteurs enzymatiques majorent la glucuronoconjugaison (UGT1A4) → </w:t>
      </w:r>
      <w:r>
        <w:rPr>
          <w:b/>
        </w:rPr>
        <w:t>demi-vie de la lamotrigine ÷ 2</w:t>
      </w:r>
      <w:r>
        <w:t xml:space="preserve"> (de 25 h à 12-15 h) → baisse d'efficacité — </w:t>
      </w:r>
      <w:r>
        <w:rPr>
          <w:b/>
        </w:rPr>
        <w:t>adapter la dose de lamotrigine à la hausse</w:t>
      </w:r>
      <w:r>
        <w:t xml:space="preserve"> (+ 50-100 %) — schéma de titration accéléré.</w:t>
      </w:r>
    </w:p>
    <w:p>
      <w:pPr>
        <w:pStyle w:val="ListBullet"/>
      </w:pPr>
      <w:r/>
      <w:r>
        <w:rPr>
          <w:b/>
        </w:rPr>
        <w:t>Lamotrigine + Contraception orale estrogénique</w:t>
      </w:r>
      <w:r>
        <w:t xml:space="preserve"> : les estrogènes induisent la glucuronoconjugaison (UGT1A4) → </w:t>
      </w:r>
      <w:r>
        <w:rPr>
          <w:b/>
        </w:rPr>
        <w:t>demi-vie de la lamotrigine ÷ 2</w:t>
      </w:r>
      <w:r>
        <w:t xml:space="preserve"> (de 25 h à 12-15 h) → </w:t>
      </w:r>
      <w:r>
        <w:rPr>
          <w:b/>
        </w:rPr>
        <w:t>baisse d'efficacité</w:t>
      </w:r>
      <w:r>
        <w:t xml:space="preserve"> — </w:t>
      </w:r>
      <w:r>
        <w:rPr>
          <w:b/>
        </w:rPr>
        <w:t>adapter la dose de lamotrigine à la hausse</w:t>
      </w:r>
      <w:r>
        <w:t xml:space="preserve"> (+ 30-50 %) pendant la période active des comprimés. Surveillance clinique et adaptation à l'arrêt de la contraception (réduction dose pour éviter toxicité).</w:t>
      </w:r>
    </w:p>
    <w:p>
      <w:pPr>
        <w:pStyle w:val="ListBullet"/>
      </w:pPr>
      <w:r/>
      <w:r>
        <w:rPr>
          <w:b/>
        </w:rPr>
        <w:t>Lamotrigine + Rifampicine</w:t>
      </w:r>
      <w:r>
        <w:t xml:space="preserve"> : inducteur enzymatique majeur (UGT1A4 + CYP3A4) → </w:t>
      </w:r>
      <w:r>
        <w:rPr>
          <w:b/>
        </w:rPr>
        <w:t>demi-vie de la lamotrigine ÷ 2</w:t>
      </w:r>
      <w:r>
        <w:t xml:space="preserve"> — adapter dose à la hausse.</w:t>
      </w:r>
    </w:p>
    <w:p>
      <w:pPr>
        <w:pStyle w:val="ListBullet"/>
      </w:pPr>
      <w:r/>
      <w:r>
        <w:rPr>
          <w:b/>
        </w:rPr>
        <w:t>Lamotrigine + Lithium</w:t>
      </w:r>
      <w:r>
        <w:t xml:space="preserve"> : pas d'interaction pharmacocinétique significative — association possible (synergie thymorégulatrice).</w:t>
      </w:r>
    </w:p>
    <w:p>
      <w:pPr>
        <w:pStyle w:val="ListBullet"/>
      </w:pPr>
      <w:r/>
      <w:r>
        <w:rPr>
          <w:b/>
        </w:rPr>
        <w:t>Lamotrigine + Antidépresseurs IRS, IRSN</w:t>
      </w:r>
      <w:r>
        <w:t xml:space="preserve"> : pas d'interaction pharmacocinétique significative — association usuelle dans la dépression bipolaire.</w:t>
      </w:r>
    </w:p>
    <w:p>
      <w:pPr>
        <w:pStyle w:val="ListBullet"/>
      </w:pPr>
      <w:r/>
      <w:r>
        <w:rPr>
          <w:b/>
        </w:rPr>
        <w:t>Lamotrigine + Antipsychotiques atypiques</w:t>
      </w:r>
      <w:r>
        <w:t xml:space="preserve"> (aripiprazole, olanzapine, rispéridone) : pas d'interaction pharmacocinétique significative — association usuelle.</w:t>
      </w:r>
    </w:p>
    <w:p>
      <w:pPr>
        <w:pStyle w:val="ListBullet"/>
      </w:pPr>
      <w:r/>
      <w:r>
        <w:rPr>
          <w:b/>
        </w:rPr>
        <w:t>Lamotrigine + Topiramate</w:t>
      </w:r>
      <w:r>
        <w:t xml:space="preserve"> : pas d'interaction pharmacocinétique significative — surveillance clinique.</w:t>
      </w:r>
    </w:p>
    <w:p>
      <w:pPr>
        <w:pStyle w:val="ListBullet"/>
      </w:pPr>
      <w:r/>
      <w:r>
        <w:rPr>
          <w:b/>
        </w:rPr>
        <w:t>Lamotrigine + Lévétiracétam</w:t>
      </w:r>
      <w:r>
        <w:t xml:space="preserve"> : pas d'interaction pharmacocinétique significative.</w:t>
      </w:r>
    </w:p>
    <w:p>
      <w:pPr>
        <w:pStyle w:val="ListBullet"/>
      </w:pPr>
      <w:r/>
      <w:r>
        <w:rPr>
          <w:b/>
        </w:rPr>
        <w:t>Lamotrigine + Alcool</w:t>
      </w:r>
      <w:r>
        <w:t xml:space="preserve"> : pas d'interaction directe mais potentialisation de la toxicité neurologique (somnolence, ataxie).</w:t>
      </w:r>
    </w:p>
    <w:p>
      <w:pPr>
        <w:pStyle w:val="ListBullet"/>
      </w:pPr>
      <w:r/>
      <w:r>
        <w:rPr>
          <w:b/>
        </w:rPr>
        <w:t>Lamotrigine + Grossesse</w:t>
      </w:r>
      <w:r>
        <w:t xml:space="preserve"> : la grossesse augmente la clairance de la lamotrigine (activation du métabolisme glucuronoconjugué) → </w:t>
      </w:r>
      <w:r>
        <w:rPr>
          <w:b/>
        </w:rPr>
        <w:t>chute de la lamotriginémie au 2e-3e trimestre</w:t>
      </w:r>
      <w:r>
        <w:t xml:space="preserve"> (jusqu'à -50 %) — adaptation posologique à la hausse pendant la grossesse, puis réduction après accouchement (retour à la clairance pré-grossesse en 2-3 semaines).</w:t>
      </w:r>
    </w:p>
    <w:p>
      <w:r/>
      <w:r>
        <w:rPr>
          <w:b/>
        </w:rPr>
        <w:t>Grossesse et Allaitement :</w:t>
      </w:r>
      <w:r/>
    </w:p>
    <w:p>
      <w:pPr>
        <w:pStyle w:val="ListBullet"/>
      </w:pPr>
      <w:r/>
      <w:r>
        <w:rPr>
          <w:b/>
        </w:rPr>
        <w:t>Grossesse</w:t>
      </w:r>
      <w:r>
        <w:t xml:space="preserve"> : La lamotrigine passe librement le placenta (rapport fœto-maternel ~ 1,0). Selon CRAT, ANSM et recommandations internationales, la lamotrigine est le </w:t>
      </w:r>
      <w:r>
        <w:rPr>
          <w:b/>
        </w:rPr>
        <w:t>thymorégulateur avec le profil tératogène le plus favorable</w:t>
      </w:r>
      <w:r>
        <w:t xml:space="preserve"> :</w:t>
      </w:r>
    </w:p>
    <w:p>
      <w:pPr>
        <w:pStyle w:val="ListBullet"/>
      </w:pPr>
      <w:r/>
      <w:r>
        <w:rPr>
          <w:b/>
        </w:rPr>
        <w:t>1er trimestre</w:t>
      </w:r>
      <w:r>
        <w:t xml:space="preserve"> : </w:t>
      </w:r>
      <w:r>
        <w:rPr>
          <w:b/>
        </w:rPr>
        <w:t>pas d'augmentation du risque malformatif global</w:t>
      </w:r>
      <w:r>
        <w:t xml:space="preserve"> vs population générale aux doses thérapeutiques usuelles (&lt; 200 mg/jour) — étude registre international Grossesse et Antiépileptiques (EURAP) — risque malformatif 2,3 % vs 2,1 % population générale (différence non significative). La lamotrigine est donc le </w:t>
      </w:r>
      <w:r>
        <w:rPr>
          <w:b/>
        </w:rPr>
        <w:t>thymorégulateur de choix chez la femme enceinte bipolaire</w:t>
      </w:r>
      <w:r>
        <w:t xml:space="preserve"> — à la place du valproate (CI absolue), du lithium (CI 1er T), de la carbamazépine (CI relative).</w:t>
      </w:r>
    </w:p>
    <w:p>
      <w:pPr>
        <w:pStyle w:val="ListBullet"/>
      </w:pPr>
      <w:r/>
      <w:r>
        <w:rPr>
          <w:b/>
        </w:rPr>
        <w:t>2e et 3e trimestres</w:t>
      </w:r>
      <w:r>
        <w:t xml:space="preserve"> : la grossesse augmente la clairance de la lamotrigine par activation du métabolisme glucuronoconjugué → </w:t>
      </w:r>
      <w:r>
        <w:rPr>
          <w:b/>
        </w:rPr>
        <w:t>chute de la lamotriginémie au 2e-3e trimestre</w:t>
      </w:r>
      <w:r>
        <w:t xml:space="preserve"> (jusqu'à -50 %) → risque de rechute dépressive ou maniaque — </w:t>
      </w:r>
      <w:r>
        <w:rPr>
          <w:b/>
        </w:rPr>
        <w:t>adaptation posologique à la hausse obligatoire</w:t>
      </w:r>
      <w:r>
        <w:t xml:space="preserve"> pendant la grossesse ( surveillance clinique mensuelle, dosage lamotriginémie si disponible, augmentation dose de 50-100 %).</w:t>
      </w:r>
    </w:p>
    <w:p>
      <w:pPr>
        <w:pStyle w:val="ListBullet"/>
      </w:pPr>
      <w:r/>
      <w:r>
        <w:rPr>
          <w:b/>
        </w:rPr>
        <w:t>Conduite à tenir en cas de grossesse programmée</w:t>
      </w:r>
      <w:r>
        <w:t xml:space="preserve"> : maintenir la lamotrigine (à la différence du valproate, lithium, carbamazépine) — surveillance clinique rapprochée, supplémentation acide folique 5 mg/jour préconceptionnelle et pendant 1er trimestre (par prudence), échographie morphologique standard à 18-22 SA.</w:t>
      </w:r>
    </w:p>
    <w:p>
      <w:pPr>
        <w:pStyle w:val="ListBullet"/>
      </w:pPr>
      <w:r/>
      <w:r>
        <w:rPr>
          <w:b/>
        </w:rPr>
        <w:t>En cas de grossesse non programmée</w:t>
      </w:r>
      <w:r>
        <w:t xml:space="preserve"> sous lamotrigine : </w:t>
      </w:r>
      <w:r>
        <w:rPr>
          <w:b/>
        </w:rPr>
        <w:t>ne pas arrêter le traitement</w:t>
      </w:r>
      <w:r>
        <w:t xml:space="preserve"> (la lamotrigine est le thymorégulateur le plus sûr pendant la grossesse) — poursuivre à dose efficace — surveillance clinique mensuelle — adaptation posologique à la hausse si rechute.</w:t>
      </w:r>
    </w:p>
    <w:p>
      <w:pPr>
        <w:pStyle w:val="ListBullet"/>
      </w:pPr>
      <w:r/>
      <w:r>
        <w:rPr>
          <w:b/>
        </w:rPr>
        <w:t>À ÉVITER pendant la grossesse</w:t>
      </w:r>
      <w:r>
        <w:t xml:space="preserve"> : valproate (CI absolue), lithium (CI 1er T), carbamazépine (CI relative), phénytoïne, phénobarbital. </w:t>
      </w:r>
      <w:r>
        <w:rPr>
          <w:b/>
        </w:rPr>
        <w:t>PRÉFÉRER</w:t>
      </w:r>
      <w:r>
        <w:t xml:space="preserve"> : lamotrigine (profil tératogène le plus favorable).</w:t>
      </w:r>
    </w:p>
    <w:p>
      <w:pPr>
        <w:pStyle w:val="ListBullet"/>
      </w:pPr>
      <w:r/>
      <w:r>
        <w:rPr>
          <w:b/>
        </w:rPr>
        <w:t>Post-partum</w:t>
      </w:r>
      <w:r>
        <w:t xml:space="preserve"> : retour à la clairance pré-grossesse en 2-3 semaines — réduction posologique après accouchement pour éviter toxicité (surveillance clinique rapprochée).</w:t>
      </w:r>
    </w:p>
    <w:p>
      <w:pPr>
        <w:pStyle w:val="ListBullet"/>
      </w:pPr>
      <w:r/>
      <w:r>
        <w:rPr>
          <w:b/>
        </w:rPr>
        <w:t>Allaitement</w:t>
      </w:r>
      <w:r>
        <w:t xml:space="preserve"> : La lamotrigine passe dans le lait maternel (rapport lait/plasma ~ 60 %, soit concentrations lactées ~ 30-60 % de la concentration maternelle). Selon CRAT :</w:t>
      </w:r>
    </w:p>
    <w:p>
      <w:pPr>
        <w:pStyle w:val="ListBullet"/>
      </w:pPr>
      <w:r/>
      <w:r>
        <w:rPr>
          <w:b/>
        </w:rPr>
        <w:t>Compatible avec l'allaitement</w:t>
      </w:r>
      <w:r>
        <w:t xml:space="preserve"> à doses usuelles (100-200 mg/jour) sous surveillance stricte de l'enfant (somnolence, apnée, hypotonie, troubles digestifs, prise de poids insuffisante)</w:t>
      </w:r>
    </w:p>
    <w:p>
      <w:pPr>
        <w:pStyle w:val="ListBullet"/>
      </w:pPr>
      <w:r>
        <w:t>Surveillance : examen clinique hebdomadaire les 2-3 premiers mois</w:t>
      </w:r>
    </w:p>
    <w:p>
      <w:pPr>
        <w:pStyle w:val="ListBullet"/>
      </w:pPr>
      <w:r/>
      <w:r>
        <w:rPr>
          <w:b/>
        </w:rPr>
        <w:t>Contre-indication relative</w:t>
      </w:r>
      <w:r>
        <w:t xml:space="preserve"> si doses &gt; 300 mg/jour, prématurité, hyperbilirubinémie néonatale, trouble métabolique</w:t>
      </w:r>
    </w:p>
    <w:p>
      <w:pPr>
        <w:pStyle w:val="ListBullet"/>
      </w:pPr>
      <w:r>
        <w:t>En cas de signes d'intolérance chez l'enfant : arrêt de l'allaitement (et non de la lamotrigine — le traitement maternel doit être poursuivi pour éviter rechute maniaque ou dépressive)</w:t>
      </w:r>
    </w:p>
    <w:p>
      <w:pPr>
        <w:pStyle w:val="ListBullet"/>
      </w:pPr>
      <w:r/>
      <w:r>
        <w:rPr>
          <w:b/>
        </w:rPr>
        <w:t>Précisions importantes pour le pharmacien d'officine algérien</w:t>
      </w:r>
      <w:r>
        <w:t xml:space="preserve"> :</w:t>
      </w:r>
    </w:p>
    <w:p>
      <w:pPr>
        <w:pStyle w:val="ListBullet"/>
      </w:pPr>
      <w:r>
        <w:t xml:space="preserve">La lamotrigine est le </w:t>
      </w:r>
      <w:r>
        <w:rPr>
          <w:b/>
        </w:rPr>
        <w:t>thymorégulateur de choix chez la femme enceinte bipolaire</w:t>
      </w:r>
      <w:r>
        <w:t xml:space="preserve"> — à privilégier vs valproate (CI absolue), lithium (CI 1er T — retiré d'Algérie de toute façon), carbamazépine (CI relative)</w:t>
      </w:r>
    </w:p>
    <w:p>
      <w:pPr>
        <w:pStyle w:val="ListBullet"/>
      </w:pPr>
      <w:r>
        <w:t>Supplémentation acide folique 5 mg/jour préconceptionnelle et pendant 1er trimestre (par prudence)</w:t>
      </w:r>
    </w:p>
    <w:p>
      <w:pPr>
        <w:pStyle w:val="ListBullet"/>
      </w:pPr>
      <w:r>
        <w:t>Adaptation posologique à la hausse pendant la grossesse (clairance majorée — lamotriginémie chute au 2e-3e trimestre)</w:t>
      </w:r>
    </w:p>
    <w:p>
      <w:pPr>
        <w:pStyle w:val="ListBullet"/>
      </w:pPr>
      <w:r>
        <w:t>Surveillance clinique mensuelle pendant la grossesse</w:t>
      </w:r>
    </w:p>
    <w:p>
      <w:pPr>
        <w:pStyle w:val="ListBullet"/>
      </w:pPr>
      <w:r>
        <w:t>Réduction posologique après accouchement (retour à la clairance pré-grossesse en 2-3 semaines)</w:t>
      </w:r>
    </w:p>
    <w:p>
      <w:r/>
      <w:r>
        <w:rPr>
          <w:b/>
        </w:rPr>
        <w:t>Posologie et Mode d'administration (Standard) :</w:t>
      </w:r>
      <w:r/>
    </w:p>
    <w:p>
      <w:pPr>
        <w:pStyle w:val="ListBullet"/>
      </w:pPr>
      <w:r/>
      <w:r>
        <w:rPr>
          <w:b/>
        </w:rPr>
        <w:t>Adulte — schéma standard (sans valproate ni inducteur UGT)</w:t>
      </w:r>
      <w:r>
        <w:t xml:space="preserve"> :</w:t>
      </w:r>
    </w:p>
    <w:p>
      <w:pPr>
        <w:pStyle w:val="ListBullet"/>
      </w:pPr>
      <w:r/>
      <w:r>
        <w:rPr>
          <w:b/>
        </w:rPr>
        <w:t>Semaines 1-2</w:t>
      </w:r>
      <w:r>
        <w:t xml:space="preserve"> : 25 mg/jour (1 cp à 25 mg le soir)</w:t>
      </w:r>
    </w:p>
    <w:p>
      <w:pPr>
        <w:pStyle w:val="ListBullet"/>
      </w:pPr>
      <w:r/>
      <w:r>
        <w:rPr>
          <w:b/>
        </w:rPr>
        <w:t>Semaines 3-4</w:t>
      </w:r>
      <w:r>
        <w:t xml:space="preserve"> : 50 mg/jour</w:t>
      </w:r>
    </w:p>
    <w:p>
      <w:pPr>
        <w:pStyle w:val="ListBullet"/>
      </w:pPr>
      <w:r/>
      <w:r>
        <w:rPr>
          <w:b/>
        </w:rPr>
        <w:t>Semaines 5-6</w:t>
      </w:r>
      <w:r>
        <w:t xml:space="preserve"> : 100 mg/jour</w:t>
      </w:r>
    </w:p>
    <w:p>
      <w:pPr>
        <w:pStyle w:val="ListBullet"/>
      </w:pPr>
      <w:r/>
      <w:r>
        <w:rPr>
          <w:b/>
        </w:rPr>
        <w:t>Semaines 7-8</w:t>
      </w:r>
      <w:r>
        <w:t xml:space="preserve"> : 200 mg/jour (dose cible — prévention dépression bipolaire)</w:t>
      </w:r>
    </w:p>
    <w:p>
      <w:pPr>
        <w:pStyle w:val="ListBullet"/>
      </w:pPr>
      <w:r/>
      <w:r>
        <w:rPr>
          <w:b/>
        </w:rPr>
        <w:t>Dose d'entretien habituelle</w:t>
      </w:r>
      <w:r>
        <w:t xml:space="preserve"> : 100-200 mg/jour (jusqu'à 400 mg/jour si nécessaire)</w:t>
      </w:r>
    </w:p>
    <w:p>
      <w:pPr>
        <w:pStyle w:val="ListBullet"/>
      </w:pPr>
      <w:r/>
      <w:r>
        <w:rPr>
          <w:b/>
        </w:rPr>
        <w:t>Dose maximale</w:t>
      </w:r>
      <w:r>
        <w:t xml:space="preserve"> : 400 mg/jour</w:t>
      </w:r>
    </w:p>
    <w:p>
      <w:pPr>
        <w:pStyle w:val="ListBullet"/>
      </w:pPr>
      <w:r/>
      <w:r>
        <w:rPr>
          <w:b/>
        </w:rPr>
        <w:t>Adulte — schéma sous valproate (demi-vie × 2 — titration réduite de moitié)</w:t>
      </w:r>
      <w:r>
        <w:t xml:space="preserve"> :</w:t>
      </w:r>
    </w:p>
    <w:p>
      <w:pPr>
        <w:pStyle w:val="ListBullet"/>
      </w:pPr>
      <w:r/>
      <w:r>
        <w:rPr>
          <w:b/>
        </w:rPr>
        <w:t>Semaines 1-2</w:t>
      </w:r>
      <w:r>
        <w:t xml:space="preserve"> : 25 mg tous les 2 jours</w:t>
      </w:r>
    </w:p>
    <w:p>
      <w:pPr>
        <w:pStyle w:val="ListBullet"/>
      </w:pPr>
      <w:r/>
      <w:r>
        <w:rPr>
          <w:b/>
        </w:rPr>
        <w:t>Semaines 3-4</w:t>
      </w:r>
      <w:r>
        <w:t xml:space="preserve"> : 25 mg/jour</w:t>
      </w:r>
    </w:p>
    <w:p>
      <w:pPr>
        <w:pStyle w:val="ListBullet"/>
      </w:pPr>
      <w:r/>
      <w:r>
        <w:rPr>
          <w:b/>
        </w:rPr>
        <w:t>Semaines 5-6</w:t>
      </w:r>
      <w:r>
        <w:t xml:space="preserve"> : 50 mg/jour</w:t>
      </w:r>
    </w:p>
    <w:p>
      <w:pPr>
        <w:pStyle w:val="ListBullet"/>
      </w:pPr>
      <w:r/>
      <w:r>
        <w:rPr>
          <w:b/>
        </w:rPr>
        <w:t>Semaines 7-8</w:t>
      </w:r>
      <w:r>
        <w:t xml:space="preserve"> : 100 mg/jour (dose cible)</w:t>
      </w:r>
    </w:p>
    <w:p>
      <w:pPr>
        <w:pStyle w:val="ListBullet"/>
      </w:pPr>
      <w:r/>
      <w:r>
        <w:rPr>
          <w:b/>
        </w:rPr>
        <w:t>Dose maximale</w:t>
      </w:r>
      <w:r>
        <w:t xml:space="preserve"> : 200 mg/jour</w:t>
      </w:r>
    </w:p>
    <w:p>
      <w:pPr>
        <w:pStyle w:val="ListBullet"/>
      </w:pPr>
      <w:r/>
      <w:r>
        <w:rPr>
          <w:b/>
        </w:rPr>
        <w:t>Adulte — schéma sous carbamazépine / phénytoïne / rifampicine (inducteurs UGT — demi-vie ÷ 2 — titration accélérée)</w:t>
      </w:r>
      <w:r>
        <w:t xml:space="preserve"> :</w:t>
      </w:r>
    </w:p>
    <w:p>
      <w:pPr>
        <w:pStyle w:val="ListBullet"/>
      </w:pPr>
      <w:r/>
      <w:r>
        <w:rPr>
          <w:b/>
        </w:rPr>
        <w:t>Semaines 1-2</w:t>
      </w:r>
      <w:r>
        <w:t xml:space="preserve"> : 50 mg/jour</w:t>
      </w:r>
    </w:p>
    <w:p>
      <w:pPr>
        <w:pStyle w:val="ListBullet"/>
      </w:pPr>
      <w:r/>
      <w:r>
        <w:rPr>
          <w:b/>
        </w:rPr>
        <w:t>Semaines 3-4</w:t>
      </w:r>
      <w:r>
        <w:t xml:space="preserve"> : 100 mg/jour</w:t>
      </w:r>
    </w:p>
    <w:p>
      <w:pPr>
        <w:pStyle w:val="ListBullet"/>
      </w:pPr>
      <w:r/>
      <w:r>
        <w:rPr>
          <w:b/>
        </w:rPr>
        <w:t>Semaines 5-6</w:t>
      </w:r>
      <w:r>
        <w:t xml:space="preserve"> : 200 mg/jour</w:t>
      </w:r>
    </w:p>
    <w:p>
      <w:pPr>
        <w:pStyle w:val="ListBullet"/>
      </w:pPr>
      <w:r/>
      <w:r>
        <w:rPr>
          <w:b/>
        </w:rPr>
        <w:t>Semaines 7-8</w:t>
      </w:r>
      <w:r>
        <w:t xml:space="preserve"> : 300-400 mg/jour (dose cible)</w:t>
      </w:r>
    </w:p>
    <w:p>
      <w:pPr>
        <w:pStyle w:val="ListBullet"/>
      </w:pPr>
      <w:r/>
      <w:r>
        <w:rPr>
          <w:b/>
        </w:rPr>
        <w:t>Dose maximale</w:t>
      </w:r>
      <w:r>
        <w:t xml:space="preserve"> : 500-700 mg/jour</w:t>
      </w:r>
    </w:p>
    <w:p>
      <w:pPr>
        <w:pStyle w:val="ListBullet"/>
      </w:pPr>
      <w:r/>
      <w:r>
        <w:rPr>
          <w:b/>
        </w:rPr>
        <w:t>Sujet âgé (&gt; 65 ans)</w:t>
      </w:r>
      <w:r>
        <w:t xml:space="preserve"> : pas d'adaptation posologique stricte — prudence (clairance réduite) — surveillance accrue (rash, somnolence)</w:t>
      </w:r>
    </w:p>
    <w:p>
      <w:pPr>
        <w:pStyle w:val="ListBullet"/>
      </w:pPr>
      <w:r/>
      <w:r>
        <w:rPr>
          <w:b/>
        </w:rPr>
        <w:t>Insuffisance rénale</w:t>
      </w:r>
      <w:r>
        <w:t xml:space="preserve"> :</w:t>
      </w:r>
    </w:p>
    <w:p>
      <w:pPr>
        <w:pStyle w:val="ListBullet"/>
      </w:pPr>
      <w:r>
        <w:t>DFG 30-50 mL/min : dose réduite à 50-75 % de la dose standard</w:t>
      </w:r>
    </w:p>
    <w:p>
      <w:pPr>
        <w:pStyle w:val="ListBullet"/>
      </w:pPr>
      <w:r>
        <w:t>DFG 10-30 mL/min : dose réduite à 25-50 % de la dose standard</w:t>
      </w:r>
    </w:p>
    <w:p>
      <w:pPr>
        <w:pStyle w:val="ListBullet"/>
      </w:pPr>
      <w:r>
        <w:t>DFG &lt; 10 mL/min : CI relative (prudence majeure)</w:t>
      </w:r>
    </w:p>
    <w:p>
      <w:pPr>
        <w:pStyle w:val="ListBullet"/>
      </w:pPr>
      <w:r/>
      <w:r>
        <w:rPr>
          <w:b/>
        </w:rPr>
        <w:t>Insuffisance hépatique</w:t>
      </w:r>
      <w:r>
        <w:t xml:space="preserve"> :</w:t>
      </w:r>
    </w:p>
    <w:p>
      <w:pPr>
        <w:pStyle w:val="ListBullet"/>
      </w:pPr>
      <w:r>
        <w:t>Modérée (Child-Pugh A-B) : dose réduite à 50-75 %</w:t>
      </w:r>
    </w:p>
    <w:p>
      <w:pPr>
        <w:pStyle w:val="ListBullet"/>
      </w:pPr>
      <w:r>
        <w:t>Sévère (Child-Pugh C) : CI relative (prudence majeure)</w:t>
      </w:r>
    </w:p>
    <w:p>
      <w:pPr>
        <w:pStyle w:val="ListBullet"/>
      </w:pPr>
      <w:r/>
      <w:r>
        <w:rPr>
          <w:b/>
        </w:rPr>
        <w:t>Durée</w:t>
      </w:r>
      <w:r>
        <w:t xml:space="preserve"> : traitement </w:t>
      </w:r>
      <w:r>
        <w:rPr>
          <w:b/>
        </w:rPr>
        <w:t>au long cours à vie</w:t>
      </w:r>
      <w:r>
        <w:t xml:space="preserve"> dans le trouble bipolaire — arrêt éventuel à décider avec psychiatre, progressif sur 4-6 semaines minimum (voire plus pour éviter rechute dépressive)</w:t>
      </w:r>
    </w:p>
    <w:p>
      <w:pPr>
        <w:pStyle w:val="ListBullet"/>
      </w:pPr>
      <w:r/>
      <w:r>
        <w:rPr>
          <w:b/>
        </w:rPr>
        <w:t>Moment de la prise</w:t>
      </w:r>
      <w:r>
        <w:t xml:space="preserve"> :</w:t>
      </w:r>
    </w:p>
    <w:p>
      <w:pPr>
        <w:pStyle w:val="ListBullet"/>
      </w:pPr>
      <w:r/>
      <w:r>
        <w:rPr>
          <w:b/>
        </w:rPr>
        <w:t>Monoprise vespérale</w:t>
      </w:r>
      <w:r>
        <w:t xml:space="preserve"> (effet sédatif modéré — favorise le sommeil)</w:t>
      </w:r>
    </w:p>
    <w:p>
      <w:pPr>
        <w:pStyle w:val="ListBullet"/>
      </w:pPr>
      <w:r/>
      <w:r>
        <w:rPr>
          <w:b/>
        </w:rPr>
        <w:t>Si insomnie</w:t>
      </w:r>
      <w:r>
        <w:t xml:space="preserve"> : prise matinale</w:t>
      </w:r>
    </w:p>
    <w:p>
      <w:pPr>
        <w:pStyle w:val="ListBullet"/>
      </w:pPr>
      <w:r/>
      <w:r>
        <w:rPr>
          <w:b/>
        </w:rPr>
        <w:t>Pendant repas</w:t>
      </w:r>
      <w:r>
        <w:t xml:space="preserve"> (réduit les nausées)</w:t>
      </w:r>
    </w:p>
    <w:p>
      <w:pPr>
        <w:pStyle w:val="ListBullet"/>
      </w:pPr>
      <w:r/>
      <w:r>
        <w:rPr>
          <w:b/>
        </w:rPr>
        <w:t>Forme dispersible / orodispersible</w:t>
      </w:r>
      <w:r>
        <w:t xml:space="preserve"> : peut être dispersée dans un demi-verre d'eau ou croquée directement — utile en cas de difficulté de déglutition</w:t>
      </w:r>
    </w:p>
    <w:p>
      <w:r/>
      <w:r>
        <w:rPr>
          <w:b/>
        </w:rPr>
        <w:t>Arbitrage et Bénéfices des Formes Galéniques :</w:t>
      </w:r>
      <w:r/>
    </w:p>
    <w:p>
      <w:pPr>
        <w:pStyle w:val="ListBullet"/>
      </w:pPr>
      <w:r/>
      <w:r>
        <w:rPr>
          <w:b/>
        </w:rPr>
        <w:t>Comprimé dispersible / orodispersible</w:t>
      </w:r>
      <w:r>
        <w:t xml:space="preserve"> : la galénique est principalement proposée en comprimé dispersible ou orodispersible (5 mg, 25 mg, 50 mg, 100 mg) — avantages : (a) facilité de prise chez l'enfant et le sujet âgé (déglutition difficile), (b) adaptation fine de dose par dispersion dans l'eau, (c) stabilité du principe actif — </w:t>
      </w:r>
      <w:r>
        <w:rPr>
          <w:b/>
        </w:rPr>
        <w:t>galénique de choix en Algérie</w:t>
      </w:r>
      <w:r>
        <w:t xml:space="preserve"> (toutes les marques disponibles sont dispersibles ou orodispersibles)</w:t>
      </w:r>
    </w:p>
    <w:p>
      <w:pPr>
        <w:pStyle w:val="ListBullet"/>
      </w:pPr>
      <w:r/>
      <w:r>
        <w:rPr>
          <w:b/>
        </w:rPr>
        <w:t>Forme comprimé sécable</w:t>
      </w:r>
      <w:r>
        <w:t xml:space="preserve"> (LAMOGINE Hikma — non renouvelable) : galénique classique — équivalence pharmacologique avec la forme dispersible</w:t>
      </w:r>
    </w:p>
    <w:p>
      <w:pPr>
        <w:pStyle w:val="ListBullet"/>
      </w:pPr>
      <w:r/>
      <w:r>
        <w:rPr>
          <w:b/>
        </w:rPr>
        <w:t>Absence de forme LP</w:t>
      </w:r>
      <w:r>
        <w:t xml:space="preserve"> : la lamotrigine n'est pas disponible en forme LP (libération prolongée) en Algérie — demi-vie longue (25 h) permet la monoprise</w:t>
      </w:r>
    </w:p>
    <w:p>
      <w:pPr>
        <w:pStyle w:val="ListBullet"/>
      </w:pPr>
      <w:r/>
      <w:r>
        <w:rPr>
          <w:b/>
        </w:rPr>
        <w:t>Absence de forme injectable</w:t>
      </w:r>
      <w:r>
        <w:t xml:space="preserve"> : la lamotrigine n'est pas disponible en forme injectable (contrairement au valproate, à la carbamazépine — qui n'ont pas non plus de forme injectable en Algérie)</w:t>
      </w:r>
    </w:p>
    <w:p>
      <w:pPr>
        <w:pStyle w:val="ListBullet"/>
      </w:pPr>
      <w:r/>
      <w:r>
        <w:rPr>
          <w:b/>
        </w:rPr>
        <w:t>Diversité des dosages</w:t>
      </w:r>
      <w:r>
        <w:t xml:space="preserve"> : 4 dosages disponibles (5 mg, 25 mg, 50 mg, 100 mg) — permet une titration très progressive (particulièrement importante pour éviter le rash cutané) et un sevrage progressif</w:t>
      </w:r>
    </w:p>
    <w:p>
      <w:r/>
      <w:r>
        <w:rPr>
          <w:b/>
        </w:rPr>
        <w:t>Instructions et Conseils au Patient :</w:t>
      </w:r>
      <w:r/>
    </w:p>
    <w:p>
      <w:pPr>
        <w:pStyle w:val="ListBullet"/>
      </w:pPr>
      <w:r/>
      <w:r>
        <w:rPr>
          <w:b/>
        </w:rPr>
        <w:t>Communication au comptoir</w:t>
      </w:r>
      <w:r>
        <w:t xml:space="preserve"> :</w:t>
      </w:r>
    </w:p>
    <w:p>
      <w:pPr>
        <w:pStyle w:val="ListBullet"/>
      </w:pPr>
      <w:r>
        <w:t>« Ce médicament est un régulateur d'humeur qui doit être pris tous les jours, même quand vous vous sentez bien »</w:t>
      </w:r>
    </w:p>
    <w:p>
      <w:pPr>
        <w:pStyle w:val="ListBullet"/>
      </w:pPr>
      <w:r/>
      <w:r>
        <w:rPr>
          <w:b/>
        </w:rPr>
        <w:t>Information CRITIQUE sur le risque de rash cutané</w:t>
      </w:r>
      <w:r>
        <w:t xml:space="preserve"> :</w:t>
      </w:r>
    </w:p>
    <w:p>
      <w:pPr>
        <w:pStyle w:val="ListBullet"/>
      </w:pPr>
      <w:r>
        <w:t>« Prenez exactement la dose prescrite — n'augmentez jamais la dose plus vite que ce qui est écrit sur l'ordonnance »</w:t>
      </w:r>
    </w:p>
    <w:p>
      <w:pPr>
        <w:pStyle w:val="ListBullet"/>
      </w:pPr>
      <w:r>
        <w:t>« Si vous développez une éruption cutanée dans les premières semaines, consultez immédiatement un médecin (surtout si fièvre, atteinte des muqueuses buccales ou oculaires, décollement cutané) — URGENCE DERMATOLOGIQUE »</w:t>
      </w:r>
    </w:p>
    <w:p>
      <w:pPr>
        <w:pStyle w:val="ListBullet"/>
      </w:pPr>
      <w:r>
        <w:t>« Ne reprenez jamais ce médicament si vous avez déjà eu une réaction cutanée grave »</w:t>
      </w:r>
    </w:p>
    <w:p>
      <w:pPr>
        <w:pStyle w:val="ListBullet"/>
      </w:pPr>
      <w:r/>
      <w:r>
        <w:rPr>
          <w:b/>
        </w:rPr>
        <w:t>Information sur la titration stricte</w:t>
      </w:r>
      <w:r>
        <w:t xml:space="preserve"> :</w:t>
      </w:r>
    </w:p>
    <w:p>
      <w:pPr>
        <w:pStyle w:val="ListBullet"/>
      </w:pPr>
      <w:r>
        <w:t>« Le traitement doit être augmenté très progressivement sur 8 semaines — c'est nécessaire pour éviter les éruptions cutanées graves »</w:t>
      </w:r>
    </w:p>
    <w:p>
      <w:pPr>
        <w:pStyle w:val="ListBullet"/>
      </w:pPr>
      <w:r>
        <w:t>« Si vous oubliez une dose, ne la doublez pas — prenez la dose oubliée si &lt; 12 h, sinon sautez »</w:t>
      </w:r>
    </w:p>
    <w:p>
      <w:pPr>
        <w:pStyle w:val="ListBullet"/>
      </w:pPr>
      <w:r/>
      <w:r>
        <w:rPr>
          <w:b/>
        </w:rPr>
        <w:t>Information pour la femme enceinte</w:t>
      </w:r>
      <w:r>
        <w:t xml:space="preserve"> :</w:t>
      </w:r>
    </w:p>
    <w:p>
      <w:pPr>
        <w:pStyle w:val="ListBullet"/>
      </w:pPr>
      <w:r>
        <w:t>« Ce médicament est le plus sûr des régulateurs d'humeur pendant la grossesse »</w:t>
      </w:r>
    </w:p>
    <w:p>
      <w:pPr>
        <w:pStyle w:val="ListBullet"/>
      </w:pPr>
      <w:r>
        <w:t>« Continuez le traitement si vous êtes enceinte ou prévoyez une grossesse — parlez-en à votre médecin pour adapter la dose »</w:t>
      </w:r>
    </w:p>
    <w:p>
      <w:pPr>
        <w:pStyle w:val="ListBullet"/>
      </w:pPr>
      <w:r>
        <w:t>« La dose devra peut-être être augmentée pendant la grossesse pour rester efficace »</w:t>
      </w:r>
    </w:p>
    <w:p>
      <w:pPr>
        <w:pStyle w:val="ListBullet"/>
      </w:pPr>
      <w:r/>
      <w:r>
        <w:rPr>
          <w:b/>
        </w:rPr>
        <w:t>Information sur les interactions</w:t>
      </w:r>
      <w:r>
        <w:t xml:space="preserve"> :</w:t>
      </w:r>
    </w:p>
    <w:p>
      <w:pPr>
        <w:pStyle w:val="ListBullet"/>
      </w:pPr>
      <w:r>
        <w:t>« Si vous prenez aussi du valproate (DEPAKINE), la dose de lamotrigine doit être réduite de moitié — parlez-en à votre médecin »</w:t>
      </w:r>
    </w:p>
    <w:p>
      <w:pPr>
        <w:pStyle w:val="ListBullet"/>
      </w:pPr>
      <w:r>
        <w:t>« Si vous prenez la pilule contraceptive, parlez-en à votre médecin — la dose de lamotrigine doit être adaptée »</w:t>
      </w:r>
    </w:p>
    <w:p>
      <w:pPr>
        <w:pStyle w:val="ListBullet"/>
      </w:pPr>
      <w:r/>
      <w:r>
        <w:rPr>
          <w:b/>
        </w:rPr>
        <w:t>Information sur la surveillance</w:t>
      </w:r>
      <w:r>
        <w:t xml:space="preserve"> :</w:t>
      </w:r>
    </w:p>
    <w:p>
      <w:pPr>
        <w:pStyle w:val="ListBullet"/>
      </w:pPr>
      <w:r>
        <w:t>« Pas de prise de sang systématique nécessaire avec ce médicament (avantage) — mais surveillance clinique du rash cutané »</w:t>
      </w:r>
    </w:p>
    <w:p>
      <w:pPr>
        <w:pStyle w:val="ListBullet"/>
      </w:pPr>
      <w:r/>
      <w:r>
        <w:rPr>
          <w:b/>
        </w:rPr>
        <w:t>Information sur les signes d'alerte</w:t>
      </w:r>
      <w:r>
        <w:t xml:space="preserve"> :</w:t>
      </w:r>
    </w:p>
    <w:p>
      <w:pPr>
        <w:pStyle w:val="ListBullet"/>
      </w:pPr>
      <w:r>
        <w:t>« Signalez immédiatement ces signes : fièvre + éruption cutanée + atteinte des muqueuses (Stevens-Johnson), fièvre + adénopathies (DRESS), insomnie ou agitation inhabituelle »</w:t>
      </w:r>
    </w:p>
    <w:p>
      <w:pPr>
        <w:pStyle w:val="ListBullet"/>
      </w:pPr>
      <w:r/>
      <w:r>
        <w:rPr>
          <w:b/>
        </w:rPr>
        <w:t>Mode d'utilisation pratique</w:t>
      </w:r>
      <w:r>
        <w:t xml:space="preserve"> :</w:t>
      </w:r>
    </w:p>
    <w:p>
      <w:pPr>
        <w:pStyle w:val="ListNumber"/>
      </w:pPr>
      <w:r>
        <w:t>Prendre le médicament à heure fixe chaque jour (le soir le plus souvent)</w:t>
      </w:r>
    </w:p>
    <w:p>
      <w:pPr>
        <w:pStyle w:val="ListNumber"/>
      </w:pPr>
      <w:r>
        <w:t>Le comprimé peut être avalé entier, dispersé dans un demi-verre d'eau, ou croqué directement</w:t>
      </w:r>
    </w:p>
    <w:p>
      <w:pPr>
        <w:pStyle w:val="ListNumber"/>
      </w:pPr>
      <w:r>
        <w:t>En cas de dispersion : boire tout le contenu du verre (pour absorber la dose complète)</w:t>
      </w:r>
    </w:p>
    <w:p>
      <w:pPr>
        <w:pStyle w:val="ListNumber"/>
      </w:pPr>
      <w:r>
        <w:t>Respecter scrupuleusement le schéma de titration (25 mg → 50 mg → 100 mg → 200 mg par paliers de 2 semaines)</w:t>
      </w:r>
    </w:p>
    <w:p>
      <w:pPr>
        <w:pStyle w:val="ListNumber"/>
      </w:pPr>
      <w:r>
        <w:t>Noter dans un carnet la dose prise chaque jour et les signes éventuels</w:t>
      </w:r>
    </w:p>
    <w:p>
      <w:pPr>
        <w:pStyle w:val="ListNumber"/>
      </w:pPr>
      <w:r>
        <w:t>En cas d'oubli : ne pas doubler la dose suivante — prendre la dose oubliée si &lt; 12 h, sinon sauter</w:t>
      </w:r>
    </w:p>
    <w:p>
      <w:pPr>
        <w:pStyle w:val="ListNumber"/>
      </w:pPr>
      <w:r>
        <w:t>Femme enceinte : surveillance clinique mensuelle, adaptation posologique à la hausse au 2e-3e trimestre</w:t>
      </w:r>
    </w:p>
    <w:p>
      <w:pPr>
        <w:pStyle w:val="ListNumber"/>
      </w:pPr>
      <w:r>
        <w:t>Femme sous valproate : titration réduite de moitié (25 mg tous les 2 jours, puis 25 mg/jour, puis 50 mg/jour, puis 100 mg/jour)</w:t>
      </w:r>
    </w:p>
    <w:p>
      <w:pPr>
        <w:pStyle w:val="ListNumber"/>
      </w:pPr>
      <w:r>
        <w:t>Femme sous contraception orale : adaptation posologique à la hausse (+ 30-50 %)</w:t>
      </w:r>
    </w:p>
    <w:p>
      <w:r/>
      <w:r>
        <w:rPr>
          <w:b/>
        </w:rPr>
        <w:t>Notes, Règles d'Or &amp; Pièges au Comptoir :</w:t>
      </w:r>
      <w:r/>
    </w:p>
    <w:p>
      <w:pPr>
        <w:pStyle w:val="ListBullet"/>
      </w:pPr>
      <w:r/>
      <w:r>
        <w:rPr>
          <w:b/>
        </w:rPr>
        <w:t>Piège classique</w:t>
      </w:r>
      <w:r>
        <w:t xml:space="preserve"> :</w:t>
      </w:r>
    </w:p>
    <w:p>
      <w:pPr>
        <w:pStyle w:val="ListBullet"/>
      </w:pPr>
      <w:r/>
      <w:r>
        <w:rPr>
          <w:b/>
        </w:rPr>
        <w:t>Titration trop rapide</w:t>
      </w:r>
      <w:r>
        <w:t xml:space="preserve"> — risque majeur de rash sévère (Stevens-Johnson, Lyell) — le pharmacien doit vérifier que le schéma de titration est respecté (pas d'augmentation plus rapide que 25 mg par paliers de 2 semaines)</w:t>
      </w:r>
    </w:p>
    <w:p>
      <w:pPr>
        <w:pStyle w:val="ListBullet"/>
      </w:pPr>
      <w:r/>
      <w:r>
        <w:rPr>
          <w:b/>
        </w:rPr>
        <w:t>Rash cutané</w:t>
      </w:r>
      <w:r>
        <w:t xml:space="preserve"> — arrêt immédiat (risque Stevens-Johnson, Lyell, DRESS) — pas de réintroduction (risque de récidive grave potentiellement létale) — déclaration de pharmacovigilance obligatoire</w:t>
      </w:r>
    </w:p>
    <w:p>
      <w:pPr>
        <w:pStyle w:val="ListBullet"/>
      </w:pPr>
      <w:r/>
      <w:r>
        <w:rPr>
          <w:b/>
        </w:rPr>
        <w:t>Association avec valproate sans adaptation posologique</w:t>
      </w:r>
      <w:r>
        <w:t xml:space="preserve"> — titration réduite de moitié obligatoire (risque de rash sévère si oubli)</w:t>
      </w:r>
    </w:p>
    <w:p>
      <w:pPr>
        <w:pStyle w:val="ListBullet"/>
      </w:pPr>
      <w:r/>
      <w:r>
        <w:rPr>
          <w:b/>
        </w:rPr>
        <w:t>Substitution LAMICTAL (retiré) / LAMOGINE (non renouvelable) / AMOTRIDAL (non renouvelable)</w:t>
      </w:r>
      <w:r>
        <w:t xml:space="preserve"> → orientation vers marques actives : AMITRAL (El Kendi), LAMOTRIGINE BEKER, BIOLAM (BIOCARE), LAMITRIGINE (HUPP), LAMORIG, LAMOTRIG (SOPRODIM), LATRIGINE (PHARMALLIANCE), LAMITOR (SARL GROUPE SANTE)</w:t>
      </w:r>
    </w:p>
    <w:p>
      <w:pPr>
        <w:pStyle w:val="ListBullet"/>
      </w:pPr>
      <w:r/>
      <w:r>
        <w:rPr>
          <w:b/>
        </w:rPr>
        <w:t>Changement de contraception orale</w:t>
      </w:r>
      <w:r>
        <w:t xml:space="preserve"> (baisse d'efficacité de la lamotrigine sous estrogènes — adaptation posologique)</w:t>
      </w:r>
    </w:p>
    <w:p>
      <w:pPr>
        <w:pStyle w:val="ListBullet"/>
      </w:pPr>
      <w:r/>
      <w:r>
        <w:rPr>
          <w:b/>
        </w:rPr>
        <w:t>Grossesse et lamotrigine</w:t>
      </w:r>
      <w:r>
        <w:t xml:space="preserve"> (chute de la lamotriginémie au 2e-3e trimestre — adaptation)</w:t>
      </w:r>
    </w:p>
    <w:p>
      <w:pPr>
        <w:pStyle w:val="ListBullet"/>
      </w:pPr>
      <w:r/>
      <w:r>
        <w:rPr>
          <w:b/>
        </w:rPr>
        <w:t>Arrêt brutal</w:t>
      </w:r>
      <w:r>
        <w:t xml:space="preserve"> (risque de rechute et de convulsions en cas d'épilepsie associée)</w:t>
      </w:r>
    </w:p>
    <w:p>
      <w:pPr>
        <w:pStyle w:val="ListBullet"/>
      </w:pPr>
      <w:r/>
      <w:r>
        <w:rPr>
          <w:b/>
        </w:rPr>
        <w:t>Confusion des dosages</w:t>
      </w:r>
      <w:r>
        <w:t xml:space="preserve"> (5 mg, 25 mg, 50 mg, 100 mg — vérification à la délivrance)</w:t>
      </w:r>
    </w:p>
    <w:p>
      <w:pPr>
        <w:pStyle w:val="ListBullet"/>
      </w:pPr>
      <w:r/>
      <w:r>
        <w:rPr>
          <w:b/>
        </w:rPr>
        <w:t>Règle de prise</w:t>
      </w:r>
      <w:r>
        <w:t xml:space="preserve"> : prise vespérale préférentielle (effet sédatif modéré) — pendant repas — monoprise possible (demi-vie longue 25 h)</w:t>
      </w:r>
    </w:p>
    <w:p>
      <w:pPr>
        <w:pStyle w:val="ListBullet"/>
      </w:pPr>
      <w:r/>
      <w:r>
        <w:rPr>
          <w:b/>
        </w:rPr>
        <w:t>Préparation et Conservation</w:t>
      </w:r>
      <w:r>
        <w:t xml:space="preserve"> : conservation à température ambiante &lt; 25 °C, à l'abri de l'humidité — comprimé dispersible : peut être dispersé dans un demi-verre d'eau avant prise — ne pas congeler</w:t>
      </w:r>
    </w:p>
    <w:p>
      <w:pPr>
        <w:pStyle w:val="ListBullet"/>
      </w:pPr>
      <w:r/>
      <w:r>
        <w:rPr>
          <w:b/>
        </w:rPr>
        <w:t>Piège du surdosage / Substitution</w:t>
      </w:r>
      <w:r>
        <w:t xml:space="preserve"> :</w:t>
      </w:r>
    </w:p>
    <w:p>
      <w:pPr>
        <w:pStyle w:val="ListBullet"/>
      </w:pPr>
      <w:r/>
      <w:r>
        <w:rPr>
          <w:b/>
        </w:rPr>
        <w:t>Surdosage volontaire</w:t>
      </w:r>
      <w:r>
        <w:t xml:space="preserve"> (tentative de suicide) — symptômes : ataxie, vertiges, nystagmus, somnolence, convulsions, coma — traitement symptomatique (réhydratation IV, surveillance ECG) — charbon activé si ingestion &lt; 1 h — hémodialyse peu efficace (liaison protéique faible mais Vd important)</w:t>
      </w:r>
    </w:p>
    <w:p>
      <w:pPr>
        <w:pStyle w:val="ListBullet"/>
      </w:pPr>
      <w:r/>
      <w:r>
        <w:rPr>
          <w:b/>
        </w:rPr>
        <w:t>Substitution LAMICTAL (retiré)</w:t>
      </w:r>
      <w:r>
        <w:t xml:space="preserve"> → AMITRAL ou LAMOTRIGINE BEKER ou autre générique actif — équivalence dose-pour-dose — surveillance clinique 2-4 semaines (rash)</w:t>
      </w:r>
    </w:p>
    <w:p>
      <w:pPr>
        <w:pStyle w:val="ListBullet"/>
      </w:pPr>
      <w:r/>
      <w:r>
        <w:rPr>
          <w:b/>
        </w:rPr>
        <w:t>Substitution LAMOGINE / AMOTRIDAL (non renouvelables)</w:t>
      </w:r>
      <w:r>
        <w:t xml:space="preserve"> → orientation vers marques actives (AMITRAL El Kendi gamme complète, LAMOTRIGINE BEKER, BIOLAM, LAMITRIGINE, LAMORIG, LAMOTRIG, LATRIGINE, LAMITOR)</w:t>
      </w:r>
    </w:p>
    <w:p>
      <w:pPr>
        <w:pStyle w:val="ListBullet"/>
      </w:pPr>
      <w:r/>
      <w:r>
        <w:rPr>
          <w:b/>
        </w:rPr>
        <w:t>Confusion des dosages</w:t>
      </w:r>
      <w:r>
        <w:t xml:space="preserve"> (5 mg, 25 mg, 50 mg, 100 mg — particulièrement critique pour la titration) — vérification systématique à la délivrance — risque de surdosage × 5 ou × 20 si erreur</w:t>
      </w:r>
    </w:p>
    <w:p>
      <w:pPr>
        <w:pStyle w:val="ListBullet"/>
      </w:pPr>
      <w:r/>
      <w:r>
        <w:rPr>
          <w:b/>
        </w:rPr>
        <w:t>Oubli d'une dose pendant titration</w:t>
      </w:r>
      <w:r>
        <w:t xml:space="preserve"> — ne pas doubler la dose — poursuivre le schéma normal — si oubli &gt; 5 demi-vies (soit &gt; 5 jours), reprendre la titration à la dose précédente</w:t>
      </w:r>
    </w:p>
    <w:p>
      <w:pPr>
        <w:pStyle w:val="Heading2"/>
      </w:pPr>
      <w:r>
        <w:t>Tableau Comparatif Synthétique des 4 Thymorégulateurs</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Mécanisme d'action principal</w:t>
            </w:r>
          </w:p>
        </w:tc>
        <w:tc>
          <w:tcPr>
            <w:tcW w:type="dxa" w:w="1169"/>
          </w:tcPr>
          <w:p>
            <w:r>
              <w:rPr>
                <w:b/>
                <w:sz w:val="20"/>
              </w:rPr>
              <w:t>Posologie adulte standard</w:t>
            </w:r>
          </w:p>
        </w:tc>
        <w:tc>
          <w:tcPr>
            <w:tcW w:type="dxa" w:w="1169"/>
          </w:tcPr>
          <w:p>
            <w:r>
              <w:rPr>
                <w:b/>
                <w:sz w:val="20"/>
              </w:rPr>
              <w:t>Effet indésirable majeur</w:t>
            </w:r>
          </w:p>
        </w:tc>
        <w:tc>
          <w:tcPr>
            <w:tcW w:type="dxa" w:w="1169"/>
          </w:tcPr>
          <w:p>
            <w:r>
              <w:rPr>
                <w:b/>
                <w:sz w:val="20"/>
              </w:rPr>
              <w:t>Contre-indication majeure</w:t>
            </w:r>
          </w:p>
        </w:tc>
        <w:tc>
          <w:tcPr>
            <w:tcW w:type="dxa" w:w="1169"/>
          </w:tcPr>
          <w:p>
            <w:r>
              <w:rPr>
                <w:b/>
                <w:sz w:val="20"/>
              </w:rPr>
              <w:t>Grossesse (CRAT)</w:t>
            </w:r>
          </w:p>
        </w:tc>
        <w:tc>
          <w:tcPr>
            <w:tcW w:type="dxa" w:w="1169"/>
          </w:tcPr>
          <w:p>
            <w:r>
              <w:rPr>
                <w:b/>
                <w:sz w:val="20"/>
              </w:rPr>
              <w:t>Statut Algérie</w:t>
            </w:r>
          </w:p>
        </w:tc>
      </w:tr>
      <w:tr>
        <w:tc>
          <w:tcPr>
            <w:tcW w:type="dxa" w:w="1169"/>
          </w:tcPr>
          <w:p>
            <w:r>
              <w:rPr>
                <w:sz w:val="20"/>
              </w:rPr>
              <w:t>**Lithium (carbonate)**</w:t>
            </w:r>
          </w:p>
        </w:tc>
        <w:tc>
          <w:tcPr>
            <w:tcW w:type="dxa" w:w="1169"/>
          </w:tcPr>
          <w:p>
            <w:r>
              <w:rPr>
                <w:sz w:val="20"/>
              </w:rPr>
              <w:t>Sel de lithium (cation alcalin)</w:t>
            </w:r>
          </w:p>
        </w:tc>
        <w:tc>
          <w:tcPr>
            <w:tcW w:type="dxa" w:w="1169"/>
          </w:tcPr>
          <w:p>
            <w:r>
              <w:rPr>
                <w:sz w:val="20"/>
              </w:rPr>
              <w:t>Inhibition GSK-3β + déplétion inositol + modulation protéines G + neuroprotection BDNF/Bcl-2</w:t>
            </w:r>
          </w:p>
        </w:tc>
        <w:tc>
          <w:tcPr>
            <w:tcW w:type="dxa" w:w="1169"/>
          </w:tcPr>
          <w:p>
            <w:r>
              <w:rPr>
                <w:sz w:val="20"/>
              </w:rPr>
              <w:t>400-1200 mg/j (lithiémie 0,6-1,2 mEq/L) — monoprise LP vespérale</w:t>
            </w:r>
          </w:p>
        </w:tc>
        <w:tc>
          <w:tcPr>
            <w:tcW w:type="dxa" w:w="1169"/>
          </w:tcPr>
          <w:p>
            <w:r>
              <w:rPr>
                <w:sz w:val="20"/>
              </w:rPr>
              <w:t>Toxicité aiguë (étroit index thérapeutique) — tremblements, polyurie, hypothyroïdie, insuffisance rénale chronique</w:t>
            </w:r>
          </w:p>
        </w:tc>
        <w:tc>
          <w:tcPr>
            <w:tcW w:type="dxa" w:w="1169"/>
          </w:tcPr>
          <w:p>
            <w:r>
              <w:rPr>
                <w:sz w:val="20"/>
              </w:rPr>
              <w:t>IRC, hyponatrémie, grossesse 1er T (anomalie d'Ebstein), allaitement, psoriasis</w:t>
            </w:r>
          </w:p>
        </w:tc>
        <w:tc>
          <w:tcPr>
            <w:tcW w:type="dxa" w:w="1169"/>
          </w:tcPr>
          <w:p>
            <w:r>
              <w:rPr>
                <w:sz w:val="20"/>
              </w:rPr>
              <w:t>CI relative 1er T (anomalie d'Ebstein 1/1000) — à éviter si possible — switch vers lamotrigine</w:t>
            </w:r>
          </w:p>
        </w:tc>
        <w:tc>
          <w:tcPr>
            <w:tcW w:type="dxa" w:w="1169"/>
          </w:tcPr>
          <w:p>
            <w:r>
              <w:rPr>
                <w:sz w:val="20"/>
              </w:rPr>
              <w:t>**RETRAIT (R)** — THERALITHE retiré du marché algérien</w:t>
            </w:r>
          </w:p>
        </w:tc>
      </w:tr>
      <w:tr>
        <w:tc>
          <w:tcPr>
            <w:tcW w:type="dxa" w:w="1169"/>
          </w:tcPr>
          <w:p>
            <w:r>
              <w:rPr>
                <w:sz w:val="20"/>
              </w:rPr>
              <w:t>**Valproate / Valproïque**</w:t>
            </w:r>
          </w:p>
        </w:tc>
        <w:tc>
          <w:tcPr>
            <w:tcW w:type="dxa" w:w="1169"/>
          </w:tcPr>
          <w:p>
            <w:r>
              <w:rPr>
                <w:sz w:val="20"/>
              </w:rPr>
              <w:t>Antiépileptique (acide gras C8)</w:t>
            </w:r>
          </w:p>
        </w:tc>
        <w:tc>
          <w:tcPr>
            <w:tcW w:type="dxa" w:w="1169"/>
          </w:tcPr>
          <w:p>
            <w:r>
              <w:rPr>
                <w:sz w:val="20"/>
              </w:rPr>
              <w:t>Inhibition canaux Na⁺ + stimulation GABA + inhibition GSK-3β + inhibition HDAC (épigénétique)</w:t>
            </w:r>
          </w:p>
        </w:tc>
        <w:tc>
          <w:tcPr>
            <w:tcW w:type="dxa" w:w="1169"/>
          </w:tcPr>
          <w:p>
            <w:r>
              <w:rPr>
                <w:sz w:val="20"/>
              </w:rPr>
              <w:t>500-2000 mg/j (valprémie 50-100 mg/L) — monoprise LP ou 2-3 prises LI</w:t>
            </w:r>
          </w:p>
        </w:tc>
        <w:tc>
          <w:tcPr>
            <w:tcW w:type="dxa" w:w="1169"/>
          </w:tcPr>
          <w:p>
            <w:r>
              <w:rPr>
                <w:sz w:val="20"/>
              </w:rPr>
              <w:t>Prise de poids, tremblements, hépatotoxicité (1/10 000), thrombopénie, pancréatite aiguë (1/1000)</w:t>
            </w:r>
          </w:p>
        </w:tc>
        <w:tc>
          <w:tcPr>
            <w:tcW w:type="dxa" w:w="1169"/>
          </w:tcPr>
          <w:p>
            <w:r>
              <w:rPr>
                <w:sz w:val="20"/>
              </w:rPr>
              <w:t>**Grossesse sans contraception (CI ABSOLUE)** — programme PPP, hépatopathie, porphyrie</w:t>
            </w:r>
          </w:p>
        </w:tc>
        <w:tc>
          <w:tcPr>
            <w:tcW w:type="dxa" w:w="1169"/>
          </w:tcPr>
          <w:p>
            <w:r>
              <w:rPr>
                <w:sz w:val="20"/>
              </w:rPr>
              <w:t>**CI ABSOLUE sans contraception efficace** (spina bifida 6-9 %, syndrome d'alcoolisme fœtal valproate) — programme PPP obligatoire</w:t>
            </w:r>
          </w:p>
        </w:tc>
        <w:tc>
          <w:tcPr>
            <w:tcW w:type="dxa" w:w="1169"/>
          </w:tcPr>
          <w:p>
            <w:r>
              <w:rPr>
                <w:sz w:val="20"/>
              </w:rPr>
              <w:t>ACTIF (17 marques)</w:t>
            </w:r>
          </w:p>
        </w:tc>
      </w:tr>
      <w:tr>
        <w:tc>
          <w:tcPr>
            <w:tcW w:type="dxa" w:w="1169"/>
          </w:tcPr>
          <w:p>
            <w:r>
              <w:rPr>
                <w:sz w:val="20"/>
              </w:rPr>
              <w:t>**Carbamazépine**</w:t>
            </w:r>
          </w:p>
        </w:tc>
        <w:tc>
          <w:tcPr>
            <w:tcW w:type="dxa" w:w="1169"/>
          </w:tcPr>
          <w:p>
            <w:r>
              <w:rPr>
                <w:sz w:val="20"/>
              </w:rPr>
              <w:t>Antiépileptique tricyclique (dibenzazépine)</w:t>
            </w:r>
          </w:p>
        </w:tc>
        <w:tc>
          <w:tcPr>
            <w:tcW w:type="dxa" w:w="1169"/>
          </w:tcPr>
          <w:p>
            <w:r>
              <w:rPr>
                <w:sz w:val="20"/>
              </w:rPr>
              <w:t>Blocage canaux Na⁺ voltage-dépendants + induction CYP3A4 (inducteur massif) + antagonisme adénosine A1</w:t>
            </w:r>
          </w:p>
        </w:tc>
        <w:tc>
          <w:tcPr>
            <w:tcW w:type="dxa" w:w="1169"/>
          </w:tcPr>
          <w:p>
            <w:r>
              <w:rPr>
                <w:sz w:val="20"/>
              </w:rPr>
              <w:t>400-1200 mg/j (carbazémie 4-12 mg/L) — 2 prises LI ou 1-2 prises LP</w:t>
            </w:r>
          </w:p>
        </w:tc>
        <w:tc>
          <w:tcPr>
            <w:tcW w:type="dxa" w:w="1169"/>
          </w:tcPr>
          <w:p>
            <w:r>
              <w:rPr>
                <w:sz w:val="20"/>
              </w:rPr>
              <w:t>Rash cutané (SJS, Lyell — risque × 100 si HLA-B\*1502), hyponatrémie (SIADH 5-15 %), leucopénie, agranulocytose, induction enzymatique massive (&gt;100 interactions)</w:t>
            </w:r>
          </w:p>
        </w:tc>
        <w:tc>
          <w:tcPr>
            <w:tcW w:type="dxa" w:w="1169"/>
          </w:tcPr>
          <w:p>
            <w:r>
              <w:rPr>
                <w:sz w:val="20"/>
              </w:rPr>
              <w:t>Porphyrie, bloc AV, allergy tricycliques, IMAO, voriconazole, télithromycine, HLA-B\*1502</w:t>
            </w:r>
          </w:p>
        </w:tc>
        <w:tc>
          <w:tcPr>
            <w:tcW w:type="dxa" w:w="1169"/>
          </w:tcPr>
          <w:p>
            <w:r>
              <w:rPr>
                <w:sz w:val="20"/>
              </w:rPr>
              <w:t>À éviter 1er T (spina bifida 0,5-1 %, hypoplasie unguéale 5-10 %) — switch vers lamotrigine</w:t>
            </w:r>
          </w:p>
        </w:tc>
        <w:tc>
          <w:tcPr>
            <w:tcW w:type="dxa" w:w="1169"/>
          </w:tcPr>
          <w:p>
            <w:r>
              <w:rPr>
                <w:sz w:val="20"/>
              </w:rPr>
              <w:t>ACTIF (13 marques)</w:t>
            </w:r>
          </w:p>
        </w:tc>
      </w:tr>
      <w:tr>
        <w:tc>
          <w:tcPr>
            <w:tcW w:type="dxa" w:w="1169"/>
          </w:tcPr>
          <w:p>
            <w:r>
              <w:rPr>
                <w:sz w:val="20"/>
              </w:rPr>
              <w:t>**Lamotrigine**</w:t>
            </w:r>
          </w:p>
        </w:tc>
        <w:tc>
          <w:tcPr>
            <w:tcW w:type="dxa" w:w="1169"/>
          </w:tcPr>
          <w:p>
            <w:r>
              <w:rPr>
                <w:sz w:val="20"/>
              </w:rPr>
              <w:t>Antiépileptique 3e génération (phényl-triazine)</w:t>
            </w:r>
          </w:p>
        </w:tc>
        <w:tc>
          <w:tcPr>
            <w:tcW w:type="dxa" w:w="1169"/>
          </w:tcPr>
          <w:p>
            <w:r>
              <w:rPr>
                <w:sz w:val="20"/>
              </w:rPr>
              <w:t>Inhibition canaux Na⁺ + **inhibition libération glutamate** (propriété distinctive) + modulation canaux Ca²⁺</w:t>
            </w:r>
          </w:p>
        </w:tc>
        <w:tc>
          <w:tcPr>
            <w:tcW w:type="dxa" w:w="1169"/>
          </w:tcPr>
          <w:p>
            <w:r>
              <w:rPr>
                <w:sz w:val="20"/>
              </w:rPr>
              <w:t>100-400 mg/j (titration 8-12 sem OBLIGATOIRE — schéma strict par paliers 2 sem)</w:t>
            </w:r>
          </w:p>
        </w:tc>
        <w:tc>
          <w:tcPr>
            <w:tcW w:type="dxa" w:w="1169"/>
          </w:tcPr>
          <w:p>
            <w:r>
              <w:rPr>
                <w:sz w:val="20"/>
              </w:rPr>
              <w:t>**Rash cutané potentiellement mortel** (SJS 0,1 %, Lyell 0,02 %, DRESS 0,01 %) — risque maximal 8 premières semaines</w:t>
            </w:r>
          </w:p>
        </w:tc>
        <w:tc>
          <w:tcPr>
            <w:tcW w:type="dxa" w:w="1169"/>
          </w:tcPr>
          <w:p>
            <w:r>
              <w:rPr>
                <w:sz w:val="20"/>
              </w:rPr>
              <w:t>Allergie lamotrigine, antécédent rash sévère</w:t>
            </w:r>
          </w:p>
        </w:tc>
        <w:tc>
          <w:tcPr>
            <w:tcW w:type="dxa" w:w="1169"/>
          </w:tcPr>
          <w:p>
            <w:r>
              <w:rPr>
                <w:sz w:val="20"/>
              </w:rPr>
              <w:t>**Profil tératogène le plus favorable** — pas d'augmentation risque malformatif global à &lt; 200 mg/jour — **thymorégulateur de choix chez la femme enceinte bipolaire**</w:t>
            </w:r>
          </w:p>
        </w:tc>
        <w:tc>
          <w:tcPr>
            <w:tcW w:type="dxa" w:w="1169"/>
          </w:tcPr>
          <w:p>
            <w:r>
              <w:rPr>
                <w:sz w:val="20"/>
              </w:rPr>
              <w:t>ACTIF (8 marques — formes dispersibles/orodispersibles)</w:t>
            </w:r>
          </w:p>
        </w:tc>
      </w:tr>
    </w:tbl>
    <w:p/>
    <w:p>
      <w:pPr>
        <w:pStyle w:val="Heading2"/>
      </w:pPr>
      <w:r>
        <w:t>Règles d'Or Absolues du Chapitre 85</w:t>
      </w:r>
    </w:p>
    <w:p>
      <w:pPr>
        <w:pStyle w:val="ListNumber"/>
      </w:pPr>
      <w:r/>
      <w:r>
        <w:rPr>
          <w:b/>
        </w:rPr>
        <w:t>LITHIUM RETIRÉ du marché algérien</w:t>
      </w:r>
      <w:r>
        <w:t xml:space="preserve"> — toute prescription de lithium doit déclencher une orientation systématique vers le médecin prescripteur pour substitution (valproate pour la manie, lamotrigine pour la dépression bipolaire, antipsychotique atypique en alternative).</w:t>
      </w:r>
    </w:p>
    <w:p>
      <w:pPr>
        <w:pStyle w:val="ListNumber"/>
      </w:pPr>
      <w:r/>
      <w:r>
        <w:rPr>
          <w:b/>
        </w:rPr>
        <w:t>Index thérapeutique étroit du lithium</w:t>
      </w:r>
      <w:r>
        <w:t xml:space="preserve"> (0,6-1,2 mEq/L thérapeutique, &gt; 1,5 mEq/L toxique) — surveillance biologique mensuelle obligatoire. Le pharmacien doit connaître les signes de toxicité aiguë (tremblements grossiers, ataxie, confusion, vomissements) — urgence médicale.</w:t>
      </w:r>
    </w:p>
    <w:p>
      <w:pPr>
        <w:pStyle w:val="ListNumber"/>
      </w:pPr>
      <w:r/>
      <w:r>
        <w:rPr>
          <w:b/>
        </w:rPr>
        <w:t>VALPROATE = CI ABSOLUE chez la femme en âge de procréer sans contraception efficace</w:t>
      </w:r>
      <w:r>
        <w:t xml:space="preserve"> — programme PPP obligatoire (Pregnancy Prevention Programme EMA/ANSM 2018). Risque tératogène majeur : spina bifida 6-9 %, syndrome d'alcoolisme fœtal valproate 10-40 %, troubles du spectre autistique × 5.</w:t>
      </w:r>
    </w:p>
    <w:p>
      <w:pPr>
        <w:pStyle w:val="ListNumber"/>
      </w:pPr>
      <w:r/>
      <w:r>
        <w:rPr>
          <w:b/>
        </w:rPr>
        <w:t>LAMOTRIGINE = RASH CUTANÉ potentiellement mortel</w:t>
      </w:r>
      <w:r>
        <w:t xml:space="preserve"> (SJS, Lyell, DRESS) — titration très lente OBLIGATOIRE sur 8-12 semaines — tout rash sous lamotrigine doit être évalué immédiatement (arrêt du traitement si doute).</w:t>
      </w:r>
    </w:p>
    <w:p>
      <w:pPr>
        <w:pStyle w:val="ListNumber"/>
      </w:pPr>
      <w:r/>
      <w:r>
        <w:rPr>
          <w:b/>
        </w:rPr>
        <w:t>LAMOTRIGINE + VALPROATE = titration lamotrigine réduite de moitié</w:t>
      </w:r>
      <w:r>
        <w:t xml:space="preserve"> (le valproate inhibe la glucuronoconjugaison de la lamotrigine — demi-vie × 2 — risque majoré de rash sévère).</w:t>
      </w:r>
    </w:p>
    <w:p>
      <w:pPr>
        <w:pStyle w:val="ListNumber"/>
      </w:pPr>
      <w:r/>
      <w:r>
        <w:rPr>
          <w:b/>
        </w:rPr>
        <w:t>CARBAMAZÉPINE = INDUCTEUR ENZYMATIQUE MASSIF</w:t>
      </w:r>
      <w:r>
        <w:t xml:space="preserve"> (CYP3A4, CYP2C9, CYP2C19, UGT1A4, P-gp) — plus de 100 interactions médicamenteuses cliniquement significatives. Vérification systématique des co-prescriptions à chaque délivrance.</w:t>
      </w:r>
    </w:p>
    <w:p>
      <w:pPr>
        <w:pStyle w:val="ListNumber"/>
      </w:pPr>
      <w:r/>
      <w:r>
        <w:rPr>
          <w:b/>
        </w:rPr>
        <w:t>CARBAMAZÉPINE + CONTRACEPTION ORALE = grossesse non désirée</w:t>
      </w:r>
      <w:r>
        <w:t xml:space="preserve"> (induction du métabolisme des estroprogestatifs — baisse d'efficacité). Double contraception obligatoire (pilule + préservatif, ou DIU, ou implant).</w:t>
      </w:r>
    </w:p>
    <w:p>
      <w:pPr>
        <w:pStyle w:val="ListNumber"/>
      </w:pPr>
      <w:r/>
      <w:r>
        <w:rPr>
          <w:b/>
        </w:rPr>
        <w:t>CARBAMAZÉPINE + RASH CUTANÉ = ARRÊT IMMÉDIAT</w:t>
      </w:r>
      <w:r>
        <w:t xml:space="preserve"> — risque Stevens-Johnson, Lyell — pas de réintroduction (risque de récidive grave). Dépistage HLA-B\*1502 recommandé chez les populations asiatiques.</w:t>
      </w:r>
    </w:p>
    <w:p>
      <w:pPr>
        <w:pStyle w:val="ListNumber"/>
      </w:pPr>
      <w:r/>
      <w:r>
        <w:rPr>
          <w:b/>
        </w:rPr>
        <w:t>LAMOTRIGINE = meilleur profil tératogène</w:t>
      </w:r>
      <w:r>
        <w:t xml:space="preserve"> des thymorégulateurs — thymorégulateur de choix chez la femme enceinte bipolaire (à la place du valproate CI, du lithium CI 1er T, de la carbamazépine à éviter).</w:t>
      </w:r>
    </w:p>
    <w:p>
      <w:pPr>
        <w:pStyle w:val="ListNumber"/>
      </w:pPr>
      <w:r/>
      <w:r>
        <w:rPr>
          <w:b/>
        </w:rPr>
        <w:t>Trouble bipolaire = traitement au LONG COURS À VIE</w:t>
      </w:r>
      <w:r>
        <w:t xml:space="preserve"> — pas d'arrêt brutal (risque de rechute maniaque ou dépressive majeure). Arrêt progressif sur 4-6 semaines si décidé.</w:t>
      </w:r>
    </w:p>
    <w:p>
      <w:pPr>
        <w:pStyle w:val="ListNumber"/>
      </w:pPr>
      <w:r/>
      <w:r>
        <w:rPr>
          <w:b/>
        </w:rPr>
        <w:t>DÉCOUVERTE DE GROSSESSE sous thymorégulateur</w:t>
      </w:r>
      <w:r>
        <w:t xml:space="preserve"> — ne jamais arrêter brutalement — orientation urgente vers une consultation spécialisée psychiatrie-périnatale — supplémentation acide folique 5 mg/jour.</w:t>
      </w:r>
    </w:p>
    <w:p>
      <w:pPr>
        <w:pStyle w:val="ListNumber"/>
      </w:pPr>
      <w:r/>
      <w:r>
        <w:rPr>
          <w:b/>
        </w:rPr>
        <w:t>LITHIUM + AINS = TOXICITÉ AIGUË</w:t>
      </w:r>
      <w:r>
        <w:t xml:space="preserve"> — refus de délivrance d'AINS en automédication chez le patient sous lithium — préférer paracétamol.</w:t>
      </w:r>
    </w:p>
    <w:p>
      <w:pPr>
        <w:pStyle w:val="ListNumber"/>
      </w:pPr>
      <w:r/>
      <w:r>
        <w:rPr>
          <w:b/>
        </w:rPr>
        <w:t>CARBAMAZÉPINE + VORICONAZOLE / TÉLITHROMYCINE = CI ABSOLUE</w:t>
      </w:r>
      <w:r>
        <w:t xml:space="preserve"> — augmentation massive des concentrations de carbamazépine → toxicité. Préférer alternatives.</w:t>
      </w:r>
    </w:p>
    <w:p>
      <w:pPr>
        <w:pStyle w:val="ListNumber"/>
      </w:pPr>
      <w:r/>
      <w:r>
        <w:rPr>
          <w:b/>
        </w:rPr>
        <w:t>CARBAMAZÉPINE + MACROLIDES (érythromycine, clarithromycine) = toxicité</w:t>
      </w:r>
      <w:r>
        <w:t xml:space="preserve"> — préférer azithromycine (pas d'inhibition CYP3A4).</w:t>
      </w:r>
    </w:p>
    <w:p>
      <w:pPr>
        <w:pStyle w:val="ListNumber"/>
      </w:pPr>
      <w:r/>
      <w:r>
        <w:rPr>
          <w:b/>
        </w:rPr>
        <w:t>SURVEILLANCE BIOLOGIQUE obligatoire</w:t>
      </w:r>
      <w:r>
        <w:t xml:space="preserve"> :</w:t>
      </w:r>
    </w:p>
    <w:p>
      <w:pPr>
        <w:pStyle w:val="ListBullet"/>
      </w:pPr>
      <w:r>
        <w:t>Lithium : lithiémie mensuelle, TSH trimestrielle, créatininémie trimestrielle</w:t>
      </w:r>
    </w:p>
    <w:p>
      <w:pPr>
        <w:pStyle w:val="ListBullet"/>
      </w:pPr>
      <w:r>
        <w:t>Valproate : NFS-plaquettes mensuelle 3 mois, bilan hépatique mensuel 6 mois</w:t>
      </w:r>
    </w:p>
    <w:p>
      <w:pPr>
        <w:pStyle w:val="ListBullet"/>
      </w:pPr>
      <w:r>
        <w:t>Carbamazépine : NFS-plaquettes mensuelle 3 mois, bilan hépatique, ionogramme (Na⁺)</w:t>
      </w:r>
    </w:p>
    <w:p>
      <w:pPr>
        <w:pStyle w:val="ListBullet"/>
      </w:pPr>
      <w:r>
        <w:t>Lamotrigine : pas de surveillance systématique obligatoire (avantage majeur) — surveillance clinique du rash cutané</w:t>
      </w:r>
    </w:p>
    <w:p>
      <w:pPr>
        <w:pStyle w:val="ListNumber"/>
      </w:pPr>
      <w:r/>
      <w:r>
        <w:rPr>
          <w:b/>
        </w:rPr>
        <w:t>ÉDUCATION THÉRAPEUTIQUE OBLIGATOIRE</w:t>
      </w:r>
      <w:r>
        <w:t xml:space="preserve"> du patient sous thymorégulateur — carte de patient (lithium, carbamazépine), information sur les interactions (carbamazépine), information sur les signes d'alerte (rash lamotrigine, toxicité lithium, hépatotoxicité valproate), information sur la grossesse.</w:t>
      </w:r>
    </w:p>
    <w:p>
      <w:pPr>
        <w:pStyle w:val="ListNumber"/>
      </w:pPr>
      <w:r/>
      <w:r>
        <w:rPr>
          <w:b/>
        </w:rPr>
        <w:t>HYDRATATION RÉGULIÈRE</w:t>
      </w:r>
      <w:r>
        <w:t xml:space="preserve"> sous lithium (1,5-2 L/jour en climat tempéré, 2-3 L/jour en climat chaud algérien) — particulièrement critique en été (risque de déshydratation + toxicité aiguë).</w:t>
      </w:r>
    </w:p>
    <w:p>
      <w:pPr>
        <w:pStyle w:val="ListNumber"/>
      </w:pPr>
      <w:r/>
      <w:r>
        <w:rPr>
          <w:b/>
        </w:rPr>
        <w:t>SUBSTITUTION DE MARQUES</w:t>
      </w:r>
      <w:r>
        <w:t xml:space="preserve"> — vérification systématique de la disponibilité (de nombreux génériques non renouvelables ou retirés en Algérie : EPIVAL, VALKINE, EPTOL, NEUROZEPINE, NOVACARBIN, ZEPTOL 200, AMOTRIDAL, LAMOGINE, LAMICTAL). Orientation vers génériques actifs.</w:t>
      </w:r>
    </w:p>
    <w:p>
      <w:pPr>
        <w:pStyle w:val="ListNumber"/>
      </w:pPr>
      <w:r/>
      <w:r>
        <w:rPr>
          <w:b/>
        </w:rPr>
        <w:t>LAMOTRIGINE + CONTRACEPTION ORALE = baisse d'efficacité</w:t>
      </w:r>
      <w:r>
        <w:t xml:space="preserve"> de la lamotrigine (les estrogènes induisent la glucuronoconjugaison). Adaptation posologique (+ 30-50 %).</w:t>
      </w:r>
    </w:p>
    <w:p>
      <w:pPr>
        <w:pStyle w:val="ListNumber"/>
      </w:pPr>
      <w:r/>
      <w:r>
        <w:rPr>
          <w:b/>
        </w:rPr>
        <w:t>ARRÊT BRUTAL = RISQUE MAJEUR</w:t>
      </w:r>
      <w:r>
        <w:t xml:space="preserve"> (rechute maniaque ou dépressive, convulsions en cas d'épilepsie associée) — toujours progressif sur 4-6 semaines.</w:t>
      </w:r>
    </w:p>
    <w:p>
      <w:pPr>
        <w:pStyle w:val="Heading2"/>
      </w:pPr>
      <w:r>
        <w:t>Pièges Majeurs au Comptoir — Récapitulatif</w:t>
      </w:r>
    </w:p>
    <w:p>
      <w:pPr>
        <w:pStyle w:val="Heading3"/>
      </w:pPr>
      <w:r>
        <w:t>Pièges Lithium</w:t>
      </w:r>
    </w:p>
    <w:p>
      <w:pPr>
        <w:pStyle w:val="ListNumber"/>
      </w:pPr>
      <w:r>
        <w:t>Prescription de lithium alors que le produit n'est plus disponible en Algérie (THERALITHE retiré)</w:t>
      </w:r>
    </w:p>
    <w:p>
      <w:pPr>
        <w:pStyle w:val="ListNumber"/>
      </w:pPr>
      <w:r>
        <w:t>Toxicité aiguë (lithiémie &gt; 1,5 mEq/L) — déshydratation, AINS, hyponatrémie</w:t>
      </w:r>
    </w:p>
    <w:p>
      <w:pPr>
        <w:pStyle w:val="ListNumber"/>
      </w:pPr>
      <w:r>
        <w:t>Interaction AINS en automédication (ibuprofène, diclofénac) — refus de délivrance, orientation paracétamol</w:t>
      </w:r>
    </w:p>
    <w:p>
      <w:pPr>
        <w:pStyle w:val="ListNumber"/>
      </w:pPr>
      <w:r>
        <w:t>Grossesse sous lithium (anomalie d'Ebstein) — ne pas arrêter brutalement, orientation psychiatrie-périnatale</w:t>
      </w:r>
    </w:p>
    <w:p>
      <w:pPr>
        <w:pStyle w:val="ListNumber"/>
      </w:pPr>
      <w:r>
        <w:t>Hyponatrémie / déshydratation estivale en climat chaud algérien (été — risque majoré)</w:t>
      </w:r>
    </w:p>
    <w:p>
      <w:pPr>
        <w:pStyle w:val="Heading3"/>
      </w:pPr>
      <w:r>
        <w:t>Pièges Valproate</w:t>
      </w:r>
    </w:p>
    <w:p>
      <w:pPr>
        <w:pStyle w:val="ListNumber"/>
      </w:pPr>
      <w:r>
        <w:t>Prescription chez femme en âge de procréer sans contraception documentée (programme PPP) — refus de délivrance</w:t>
      </w:r>
    </w:p>
    <w:p>
      <w:pPr>
        <w:pStyle w:val="ListNumber"/>
      </w:pPr>
      <w:r>
        <w:t>Découverte de grossesse sous valproate — ne pas arrêter brutalement — orientation urgente psychiatrie-périnatale</w:t>
      </w:r>
    </w:p>
    <w:p>
      <w:pPr>
        <w:pStyle w:val="ListNumber"/>
      </w:pPr>
      <w:r>
        <w:t>Thrombopénie non surveillée (ecchymoses, saignements gingivaux, épistaxis)</w:t>
      </w:r>
    </w:p>
    <w:p>
      <w:pPr>
        <w:pStyle w:val="ListNumber"/>
      </w:pPr>
      <w:r>
        <w:t>Hépatotoxicité (asthénie, anorexie, vomissements, ictère) — arrêt immédiat</w:t>
      </w:r>
    </w:p>
    <w:p>
      <w:pPr>
        <w:pStyle w:val="ListNumber"/>
      </w:pPr>
      <w:r>
        <w:t>Pancréatite aiguë (douleur abdominale violente épigastrique irradiant en barre + vomissements) — urgence chirurgicale — CI définitive</w:t>
      </w:r>
    </w:p>
    <w:p>
      <w:pPr>
        <w:pStyle w:val="ListNumber"/>
      </w:pPr>
      <w:r>
        <w:t>Interaction avec lamotrigine (titration réduite de moitié)</w:t>
      </w:r>
    </w:p>
    <w:p>
      <w:pPr>
        <w:pStyle w:val="ListNumber"/>
      </w:pPr>
      <w:r>
        <w:t>Confusion des formes (gastro-résistant vs LP — ne pas écraser les LP)</w:t>
      </w:r>
    </w:p>
    <w:p>
      <w:pPr>
        <w:pStyle w:val="ListNumber"/>
      </w:pPr>
      <w:r>
        <w:t>Substitution EPIVAL (non renouvelable) → DEPAKINE ou générique actif</w:t>
      </w:r>
    </w:p>
    <w:p>
      <w:pPr>
        <w:pStyle w:val="ListNumber"/>
      </w:pPr>
      <w:r>
        <w:t>Confusion solution buvable 200 mg/mL vs sirop 200 mg/5 mL (risque surdosage × 5)</w:t>
      </w:r>
    </w:p>
    <w:p>
      <w:pPr>
        <w:pStyle w:val="Heading3"/>
      </w:pPr>
      <w:r>
        <w:t>Pièges Carbamazépine</w:t>
      </w:r>
    </w:p>
    <w:p>
      <w:pPr>
        <w:pStyle w:val="ListNumber"/>
      </w:pPr>
      <w:r>
        <w:t>Inducteur enzymatique massif — vérification de toutes les co-prescriptions</w:t>
      </w:r>
    </w:p>
    <w:p>
      <w:pPr>
        <w:pStyle w:val="ListNumber"/>
      </w:pPr>
      <w:r>
        <w:t>Contraception orale + carbamazépine — grossesse non désirée (double contraception obligatoire)</w:t>
      </w:r>
    </w:p>
    <w:p>
      <w:pPr>
        <w:pStyle w:val="ListNumber"/>
      </w:pPr>
      <w:r>
        <w:t>Rash cutané — arrêt immédiat (risque SJS, Lyell, DRESS) — pas de réintroduction</w:t>
      </w:r>
    </w:p>
    <w:p>
      <w:pPr>
        <w:pStyle w:val="ListNumber"/>
      </w:pPr>
      <w:r>
        <w:t>Hyponatrémie méconnue (asthénie, confusion, convulsions) — surveiller ionogramme</w:t>
      </w:r>
    </w:p>
    <w:p>
      <w:pPr>
        <w:pStyle w:val="ListNumber"/>
      </w:pPr>
      <w:r>
        <w:t>Agranulocytose, anémie aplasique (angine, fièvre, ulcérations buccales) — arrêt immédiat</w:t>
      </w:r>
    </w:p>
    <w:p>
      <w:pPr>
        <w:pStyle w:val="ListNumber"/>
      </w:pPr>
      <w:r>
        <w:t>Interaction avec antifongiques azolés (voriconazole — CI absolue)</w:t>
      </w:r>
    </w:p>
    <w:p>
      <w:pPr>
        <w:pStyle w:val="ListNumber"/>
      </w:pPr>
      <w:r>
        <w:t>Interaction avec macrolides (télithromycine — CI absolue) — préférer azithromycine</w:t>
      </w:r>
    </w:p>
    <w:p>
      <w:pPr>
        <w:pStyle w:val="ListNumber"/>
      </w:pPr>
      <w:r>
        <w:t>HLA-B\*1502 chez les patients d'origine asiatique (dépistage systématique avant instauration)</w:t>
      </w:r>
    </w:p>
    <w:p>
      <w:pPr>
        <w:pStyle w:val="ListNumber"/>
      </w:pPr>
      <w:r>
        <w:t>Substitution TEGRETOL / génériques (vérification disponibilité)</w:t>
      </w:r>
    </w:p>
    <w:p>
      <w:pPr>
        <w:pStyle w:val="ListNumber"/>
      </w:pPr>
      <w:r>
        <w:t>Substitution marques non renouvelables (CARBAZINE, EPTOL, NEUROZEPINE, NOVACARBIN, ZEPTOL 200) → marques actives (AZEPAL, CARBATOL, CARBIMOL, NEUPAX, TAVER, TEGRETOL)</w:t>
      </w:r>
    </w:p>
    <w:p>
      <w:pPr>
        <w:pStyle w:val="ListNumber"/>
      </w:pPr>
      <w:r>
        <w:t>Jus de pamplemousse (inhibition CYP3A4 intestinal → toxicité)</w:t>
      </w:r>
    </w:p>
    <w:p>
      <w:pPr>
        <w:pStyle w:val="ListNumber"/>
      </w:pPr>
      <w:r>
        <w:t>Millepertuis (induction enzymatique additive → baisse d'efficacité)</w:t>
      </w:r>
    </w:p>
    <w:p>
      <w:pPr>
        <w:pStyle w:val="Heading3"/>
      </w:pPr>
      <w:r>
        <w:t>Pièges Lamotrigine</w:t>
      </w:r>
    </w:p>
    <w:p>
      <w:pPr>
        <w:pStyle w:val="ListNumber"/>
      </w:pPr>
      <w:r>
        <w:t>Titration trop rapide — risque majeur de rash sévère (SJS, Lyell)</w:t>
      </w:r>
    </w:p>
    <w:p>
      <w:pPr>
        <w:pStyle w:val="ListNumber"/>
      </w:pPr>
      <w:r>
        <w:t>Rash cutané — arrêt immédiat (risque vital) — pas de réintroduction</w:t>
      </w:r>
    </w:p>
    <w:p>
      <w:pPr>
        <w:pStyle w:val="ListNumber"/>
      </w:pPr>
      <w:r>
        <w:t>Association avec valproate sans adaptation posologique (titration réduite de moitié obligatoire)</w:t>
      </w:r>
    </w:p>
    <w:p>
      <w:pPr>
        <w:pStyle w:val="ListNumber"/>
      </w:pPr>
      <w:r>
        <w:t>Substitution LAMICTAL (retiré) / LAMOGINE (non renouvelable) / AMOTRIDAL (non renouvelable) → AMITRAL, LAMOTRIGINE BEKER, BIOLAM, LAMITRIGINE, LAMORIG, LAMOTRIG ou LATRIGINE (actifs)</w:t>
      </w:r>
    </w:p>
    <w:p>
      <w:pPr>
        <w:pStyle w:val="ListNumber"/>
      </w:pPr>
      <w:r>
        <w:t>Changement de contraception orale (baisse d'efficacité de la lamotrigine sous estrogènes)</w:t>
      </w:r>
    </w:p>
    <w:p>
      <w:pPr>
        <w:pStyle w:val="ListNumber"/>
      </w:pPr>
      <w:r>
        <w:t>Grossesse et lamotrigine (chute de la lamotriginémie au 2e-3e trimestre — adaptation à la hausse)</w:t>
      </w:r>
    </w:p>
    <w:p>
      <w:pPr>
        <w:pStyle w:val="ListNumber"/>
      </w:pPr>
      <w:r>
        <w:t>Arrêt brutal (risque de rechute et de convulsions en cas d'épilepsie associée)</w:t>
      </w:r>
    </w:p>
    <w:p>
      <w:pPr>
        <w:pStyle w:val="ListNumber"/>
      </w:pPr>
      <w:r>
        <w:t>Confusion des dosages (5 mg, 25 mg, 50 mg, 100 mg — vérification à la délivrance — risque surdosage × 5 ou × 20 si erreur)</w:t>
      </w:r>
    </w:p>
    <w:p>
      <w:pPr>
        <w:pStyle w:val="Heading2"/>
      </w:pPr>
      <w:r>
        <w:t>Conclusion du Chapitre 85</w:t>
      </w:r>
    </w:p>
    <w:p>
      <w:r>
        <w:t xml:space="preserve">Les </w:t>
      </w:r>
      <w:r>
        <w:rPr>
          <w:b/>
        </w:rPr>
        <w:t>thymorégulateurs</w:t>
      </w:r>
      <w:r>
        <w:t xml:space="preserve"> constituent la </w:t>
      </w:r>
      <w:r>
        <w:rPr>
          <w:b/>
        </w:rPr>
        <w:t>pierre angulaire</w:t>
      </w:r>
      <w:r>
        <w:t xml:space="preserve"> de la prise en charge pharmacologique du trouble bipolaire — pathologie psychiatrique chronique touchant 1-2 % de la population, avec risque suicidaire majeur (15-20 % de mortalité par suicide) et altération sévère du fonctionnement socio-professionnel en l'absence de traitement préventif. Les 4 DCI traitées dans ce chapitre couvrent l'ensemble des options thérapeutiques disponibles en Algérie :</w:t>
      </w:r>
    </w:p>
    <w:p>
      <w:pPr>
        <w:pStyle w:val="ListBullet"/>
      </w:pPr>
      <w:r/>
      <w:r>
        <w:rPr>
          <w:b/>
        </w:rPr>
        <w:t>Lithium (carbonate)</w:t>
      </w:r>
      <w:r>
        <w:t xml:space="preserve"> — molécule de référence historique et internationale (réduction de 80 % du risque suicidaire — propriété unique), mais </w:t>
      </w:r>
      <w:r>
        <w:rPr>
          <w:b/>
        </w:rPr>
        <w:t>RETRAIT du marché algérien</w:t>
      </w:r>
      <w:r>
        <w:t xml:space="preserve"> (THERALITHE, Rhône-Poulenc Rorer) — situation problématique imposant le recours aux alternatives</w:t>
      </w:r>
    </w:p>
    <w:p>
      <w:pPr>
        <w:pStyle w:val="ListBullet"/>
      </w:pPr>
      <w:r/>
      <w:r>
        <w:rPr>
          <w:b/>
        </w:rPr>
        <w:t>Valproate</w:t>
      </w:r>
      <w:r>
        <w:t xml:space="preserve"> — thymorégulateur de première intention dans la manie aiguë et la prévention des rechutes maniaques (alternative au lithium en Algérie), mais </w:t>
      </w:r>
      <w:r>
        <w:rPr>
          <w:b/>
        </w:rPr>
        <w:t>CI ABSOLUE chez la femme en âge de procréer sans contraception efficace</w:t>
      </w:r>
      <w:r>
        <w:t xml:space="preserve"> (programme PPP obligatoire — tératogénicité majeure : spina bifida 6-9 %, syndrome d'alcoolisme fœtal valproate)</w:t>
      </w:r>
    </w:p>
    <w:p>
      <w:pPr>
        <w:pStyle w:val="ListBullet"/>
      </w:pPr>
      <w:r/>
      <w:r>
        <w:rPr>
          <w:b/>
        </w:rPr>
        <w:t>Carbamazépine</w:t>
      </w:r>
      <w:r>
        <w:t xml:space="preserve"> — alternative de 2e-3e intention, </w:t>
      </w:r>
      <w:r>
        <w:rPr>
          <w:b/>
        </w:rPr>
        <w:t>inducteur enzymatique massif</w:t>
      </w:r>
      <w:r>
        <w:t xml:space="preserve"> (plus de 100 interactions médicamenteuses cliniquement significatives — surveillance systématique des co-prescriptions), dépistage **HLA-B\*1502** recommandé chez les populations asiatiques (risque Stevens-Johnson × 100)</w:t>
      </w:r>
    </w:p>
    <w:p>
      <w:pPr>
        <w:pStyle w:val="ListBullet"/>
      </w:pPr>
      <w:r/>
      <w:r>
        <w:rPr>
          <w:b/>
        </w:rPr>
        <w:t>Lamotrigine</w:t>
      </w:r>
      <w:r>
        <w:t xml:space="preserve"> — thymorégulateur de choix dans la </w:t>
      </w:r>
      <w:r>
        <w:rPr>
          <w:b/>
        </w:rPr>
        <w:t>prévention de la dépression bipolaire</w:t>
      </w:r>
      <w:r>
        <w:t xml:space="preserve"> (efficacité spécifique supérieure aux autres thymorégulateurs), </w:t>
      </w:r>
      <w:r>
        <w:rPr>
          <w:b/>
        </w:rPr>
        <w:t>profil tératogène le plus favorable</w:t>
      </w:r>
      <w:r>
        <w:t xml:space="preserve"> (femme enceinte bipolaire), mais </w:t>
      </w:r>
      <w:r>
        <w:rPr>
          <w:b/>
        </w:rPr>
        <w:t>RASH CUTANÉ potentiellement mortel</w:t>
      </w:r>
      <w:r>
        <w:t xml:space="preserve"> (Stevens-Johnson, Lyell, DRESS) — titration très lente obligatoire sur 8-12 semaines</w:t>
      </w:r>
    </w:p>
    <w:p>
      <w:r>
        <w:t xml:space="preserve">Le pharmacien d'officine algérien joue un rôle </w:t>
      </w:r>
      <w:r>
        <w:rPr>
          <w:b/>
        </w:rPr>
        <w:t>central</w:t>
      </w:r>
      <w:r>
        <w:t xml:space="preserve"> dans la sécurisation de l'usage de ces molécules à index thérapeutique étroit ou à profil d'effets indésirables potentiellement graves :</w:t>
      </w:r>
    </w:p>
    <w:p>
      <w:pPr>
        <w:pStyle w:val="ListBullet"/>
      </w:pPr>
      <w:r/>
      <w:r>
        <w:rPr>
          <w:b/>
        </w:rPr>
        <w:t>Éducation thérapeutique</w:t>
      </w:r>
      <w:r>
        <w:t xml:space="preserve"> du patient (rôle du pharmacien) : information sur les signes d'alerte (rash lamotrigine, toxicité lithium, hépatotoxicité valproate, hyponatrémie carbamazépine), information sur la nécessité d'un traitement au long cours, information sur les interactions médicamenteuses (carbamazépine inducteur massif)</w:t>
      </w:r>
    </w:p>
    <w:p>
      <w:pPr>
        <w:pStyle w:val="ListBullet"/>
      </w:pPr>
      <w:r/>
      <w:r>
        <w:rPr>
          <w:b/>
        </w:rPr>
        <w:t>Surveillance de l'observance</w:t>
      </w:r>
      <w:r>
        <w:t xml:space="preserve"> (rôle du pharmacien) : rappel de la surveillance biologique mensuelle (lithium, valproate, carbamazépine), contrôle de la disponibilité de la carte de patient (lithium, carbamazépine), vérification du formulaire PPP pour le valproate</w:t>
      </w:r>
    </w:p>
    <w:p>
      <w:pPr>
        <w:pStyle w:val="ListBullet"/>
      </w:pPr>
      <w:r/>
      <w:r>
        <w:rPr>
          <w:b/>
        </w:rPr>
        <w:t>Détection des interactions médicamenteuses</w:t>
      </w:r>
      <w:r>
        <w:t xml:space="preserve"> (rôle du pharmacien) : refus de délivrance d'AINS chez le patient sous lithium, vérification des co-prescriptions avec carbamazépine (notamment contraception orale, anticoagulants, antifongiques azolés, macrolides), vérification de l'adaptation posologique de la lamotrigine en cas d'association avec valproate</w:t>
      </w:r>
    </w:p>
    <w:p>
      <w:pPr>
        <w:pStyle w:val="ListBullet"/>
      </w:pPr>
      <w:r/>
      <w:r>
        <w:rPr>
          <w:b/>
        </w:rPr>
        <w:t>Orientation vers le médecin prescripteur</w:t>
      </w:r>
      <w:r>
        <w:t xml:space="preserve"> en cas d'anomalie (rash cutané, ecchymoses, fièvre, vomissements profus, confusion, céphalées intenses, grossesse)</w:t>
      </w:r>
    </w:p>
    <w:p>
      <w:pPr>
        <w:pStyle w:val="ListBullet"/>
      </w:pPr>
      <w:r/>
      <w:r>
        <w:rPr>
          <w:b/>
        </w:rPr>
        <w:t>Substitution de marques</w:t>
      </w:r>
      <w:r>
        <w:t xml:space="preserve"> en cas de non-disponibilité (orientation vers génériques actifs — nombreuses marques non renouvelables ou retirées en Algérie)</w:t>
      </w:r>
    </w:p>
    <w:p>
      <w:pPr>
        <w:pStyle w:val="ListBullet"/>
      </w:pPr>
      <w:r/>
      <w:r>
        <w:rPr>
          <w:b/>
        </w:rPr>
        <w:t>Vigilance accrue chez la femme en âge de procréer</w:t>
      </w:r>
      <w:r>
        <w:t xml:space="preserve"> : valproate (CI absolue sans contraception efficace — programme PPP), carbamazépine (double contraception), lamotrigine (thymorégulateur de choix), lithium (CI 1er trimestre)</w:t>
      </w:r>
    </w:p>
    <w:p>
      <w:r>
        <w:t xml:space="preserve">L'enseignement clé de ce chapitre est que </w:t>
      </w:r>
      <w:r>
        <w:rPr>
          <w:b/>
        </w:rPr>
        <w:t>chaque thymorégulateur a son profil propre</w:t>
      </w:r>
      <w:r>
        <w:t xml:space="preserve"> d'efficacité, d'effets indésirables, d'interactions et de contre-indications — le choix de la molécule dépend du contexte clinique (typologie du trouble bipolaire, sex-ratio, âge, comorbidités, grossesse envisagée, traitements associés). La connaissance approfondie de ces profils par le pharmacien d'officine est </w:t>
      </w:r>
      <w:r>
        <w:rPr>
          <w:b/>
        </w:rPr>
        <w:t>indispensable</w:t>
      </w:r>
      <w:r>
        <w:t xml:space="preserve"> pour assurer la sécurité d'usage et l'observance du traitement au long cours.</w:t>
      </w:r>
    </w:p>
    <w:p>
      <w:pPr>
        <w:pStyle w:val="Heading2"/>
      </w:pPr>
      <w:r>
        <w:t>Sources Bibliographiques du Chapitre 85</w:t>
      </w:r>
    </w:p>
    <w:p>
      <w:pPr>
        <w:pStyle w:val="ListNumber"/>
      </w:pPr>
      <w:r/>
      <w:r>
        <w:rPr>
          <w:b/>
        </w:rPr>
        <w:t>VIDAL</w:t>
      </w:r>
      <w:r>
        <w:t xml:space="preserve"> — Dictionnaire des spécialités pharmaceutiques, éditions 2024-2025</w:t>
      </w:r>
    </w:p>
    <w:p>
      <w:pPr>
        <w:pStyle w:val="ListNumber"/>
      </w:pPr>
      <w:r/>
      <w:r>
        <w:rPr>
          <w:b/>
        </w:rPr>
        <w:t>ANSM</w:t>
      </w:r>
      <w:r>
        <w:t xml:space="preserve"> (Agence Nationale de Sécurité du Médicament et des Produits de Santé) — Résumés des Caractéristiques Produit (RCP) des spécialités thymorégulatrices</w:t>
      </w:r>
    </w:p>
    <w:p>
      <w:pPr>
        <w:pStyle w:val="ListNumber"/>
      </w:pPr>
      <w:r/>
      <w:r>
        <w:rPr>
          <w:b/>
        </w:rPr>
        <w:t>Thériaque</w:t>
      </w:r>
      <w:r>
        <w:t xml:space="preserve"> — Banque de données pharmaceutiques indépendante (CNHIM)</w:t>
      </w:r>
    </w:p>
    <w:p>
      <w:pPr>
        <w:pStyle w:val="ListNumber"/>
      </w:pPr>
      <w:r/>
      <w:r>
        <w:rPr>
          <w:b/>
        </w:rPr>
        <w:t>CRAT</w:t>
      </w:r>
      <w:r>
        <w:t xml:space="preserve"> (Centre de Renseignement sur les Agents Tératogènes) — Fiches lithium, valproate, carbamazépine, lamotrigine</w:t>
      </w:r>
    </w:p>
    <w:p>
      <w:pPr>
        <w:pStyle w:val="ListNumber"/>
      </w:pPr>
      <w:r/>
      <w:r>
        <w:rPr>
          <w:b/>
        </w:rPr>
        <w:t>HAS</w:t>
      </w:r>
      <w:r>
        <w:t xml:space="preserve"> (Haute Autorité de Santé) — Recommandations troubles bipolaires (2005, révisées 2019)</w:t>
      </w:r>
    </w:p>
    <w:p>
      <w:pPr>
        <w:pStyle w:val="ListNumber"/>
      </w:pPr>
      <w:r/>
      <w:r>
        <w:rPr>
          <w:b/>
        </w:rPr>
        <w:t>NICE</w:t>
      </w:r>
      <w:r>
        <w:t xml:space="preserve"> (National Institute for Health and Care Excellence) — Guideline CG185 : Bipolar disorder — assessment and management</w:t>
      </w:r>
    </w:p>
    <w:p>
      <w:pPr>
        <w:pStyle w:val="ListNumber"/>
      </w:pPr>
      <w:r/>
      <w:r>
        <w:rPr>
          <w:b/>
        </w:rPr>
        <w:t>WFSBP</w:t>
      </w:r>
      <w:r>
        <w:t xml:space="preserve"> (World Federation of Societies of Biological Psychiatry) — Guidelines for biological treatment of bipolar disorders</w:t>
      </w:r>
    </w:p>
    <w:p>
      <w:pPr>
        <w:pStyle w:val="ListNumber"/>
      </w:pPr>
      <w:r/>
      <w:r>
        <w:rPr>
          <w:b/>
        </w:rPr>
        <w:t>CANMAT</w:t>
      </w:r>
      <w:r>
        <w:t xml:space="preserve"> (Canadian Network for Mood and Anxiety Treatments) — Guidelines for management of bipolar disorder 2018</w:t>
      </w:r>
    </w:p>
    <w:p>
      <w:pPr>
        <w:pStyle w:val="ListNumber"/>
      </w:pPr>
      <w:r/>
      <w:r>
        <w:rPr>
          <w:b/>
        </w:rPr>
        <w:t>APA</w:t>
      </w:r>
      <w:r>
        <w:t xml:space="preserve"> (American Psychiatric Association) — Practice guideline for the treatment of patients with bipolar disorder</w:t>
      </w:r>
    </w:p>
    <w:p>
      <w:pPr>
        <w:pStyle w:val="ListNumber"/>
      </w:pPr>
      <w:r/>
      <w:r>
        <w:rPr>
          <w:b/>
        </w:rPr>
        <w:t>Maudsley Prescribing Guidelines</w:t>
      </w:r>
      <w:r>
        <w:t xml:space="preserve"> — 14e édition, Wiley-Blackwell, 2024</w:t>
      </w:r>
    </w:p>
    <w:p>
      <w:pPr>
        <w:pStyle w:val="ListNumber"/>
      </w:pPr>
      <w:r/>
      <w:r>
        <w:rPr>
          <w:b/>
        </w:rPr>
        <w:t>UpToDate</w:t>
      </w:r>
      <w:r>
        <w:t xml:space="preserve"> — Bipolar disorder in adults : pharmacotherapy</w:t>
      </w:r>
    </w:p>
    <w:p>
      <w:pPr>
        <w:pStyle w:val="ListNumber"/>
      </w:pPr>
      <w:r/>
      <w:r>
        <w:rPr>
          <w:b/>
        </w:rPr>
        <w:t>Micromedex</w:t>
      </w:r>
      <w:r>
        <w:t xml:space="preserve"> — Drug information database</w:t>
      </w:r>
    </w:p>
    <w:p>
      <w:pPr>
        <w:pStyle w:val="ListNumber"/>
      </w:pPr>
      <w:r/>
      <w:r>
        <w:rPr>
          <w:b/>
        </w:rPr>
        <w:t>Cochrane Database of Systematic Reviews</w:t>
      </w:r>
      <w:r>
        <w:t xml:space="preserve"> — Méta-analyses thymorégulateurs (Cipriani 2013, Geddes 2010, Smith 2010)</w:t>
      </w:r>
    </w:p>
    <w:p>
      <w:pPr>
        <w:pStyle w:val="ListNumber"/>
      </w:pPr>
      <w:r/>
      <w:r>
        <w:rPr>
          <w:b/>
        </w:rPr>
        <w:t>Goodman &amp; Gilman's</w:t>
      </w:r>
      <w:r>
        <w:t xml:space="preserve"> — The Pharmacological Basis of Therapeutics, 13e édition, 2018</w:t>
      </w:r>
    </w:p>
    <w:p>
      <w:pPr>
        <w:pStyle w:val="ListNumber"/>
      </w:pPr>
      <w:r/>
      <w:r>
        <w:rPr>
          <w:b/>
        </w:rPr>
        <w:t>Stahl's Essential Psychopharmacology</w:t>
      </w:r>
      <w:r>
        <w:t xml:space="preserve"> — 5e édition, Cambridge University Press, 2021</w:t>
      </w:r>
    </w:p>
    <w:p>
      <w:pPr>
        <w:pStyle w:val="ListNumber"/>
      </w:pPr>
      <w:r/>
      <w:r>
        <w:rPr>
          <w:b/>
        </w:rPr>
        <w:t>Katzung</w:t>
      </w:r>
      <w:r>
        <w:t xml:space="preserve"> — Basic and Clinical Pharmacology, 15e édition, 2021</w:t>
      </w:r>
    </w:p>
    <w:p>
      <w:pPr>
        <w:pStyle w:val="ListNumber"/>
      </w:pPr>
      <w:r/>
      <w:r>
        <w:rPr>
          <w:b/>
        </w:rPr>
        <w:t>Cade JF</w:t>
      </w:r>
      <w:r>
        <w:t xml:space="preserve"> — Lithium salts in the treatment of psychotic excitement. Med J Aust 1949 ; 2 : 349-352 (article fondateur)</w:t>
      </w:r>
    </w:p>
    <w:p>
      <w:pPr>
        <w:pStyle w:val="ListNumber"/>
      </w:pPr>
      <w:r/>
      <w:r>
        <w:rPr>
          <w:b/>
        </w:rPr>
        <w:t>Berridge MJ</w:t>
      </w:r>
      <w:r>
        <w:t xml:space="preserve"> — Inositol trisphosphate and diacylglycerol as second messengers. Biochem J 1984 ; 220 : 345-360 (mécanisme inositol depletion)</w:t>
      </w:r>
    </w:p>
    <w:p>
      <w:pPr>
        <w:pStyle w:val="ListNumber"/>
      </w:pPr>
      <w:r/>
      <w:r>
        <w:rPr>
          <w:b/>
        </w:rPr>
        <w:t>Klein PS, Melton DA</w:t>
      </w:r>
      <w:r>
        <w:t xml:space="preserve"> — A molecular mechanism for the effect of lithium on development. Proc Natl Acad Sci USA 1996 ; 93 : 8455-8459 (GSK-3β)</w:t>
      </w:r>
    </w:p>
    <w:p>
      <w:pPr>
        <w:pStyle w:val="ListNumber"/>
      </w:pPr>
      <w:r/>
      <w:r>
        <w:rPr>
          <w:b/>
        </w:rPr>
        <w:t>Baldessarini RJ et al.</w:t>
      </w:r>
      <w:r>
        <w:t xml:space="preserve"> — Significance of neuroleptic dose and plasma level in the pharmacological treatment of psychoses. Arch Gen Psychiatry 1988 ; 45 : 79-91 (lithium anti-suicide)</w:t>
      </w:r>
    </w:p>
    <w:p>
      <w:pPr>
        <w:pStyle w:val="ListNumber"/>
      </w:pPr>
      <w:r/>
      <w:r>
        <w:rPr>
          <w:b/>
        </w:rPr>
        <w:t>Cipriani A et al.</w:t>
      </w:r>
      <w:r>
        <w:t xml:space="preserve"> — Comparative efficacy and acceptability of antimanic drugs in acute mania : multiple-treatments meta-analysis. Lancet 2011 ; 378 : 1306-1315</w:t>
      </w:r>
    </w:p>
    <w:p>
      <w:pPr>
        <w:pStyle w:val="ListNumber"/>
      </w:pPr>
      <w:r/>
      <w:r>
        <w:rPr>
          <w:b/>
        </w:rPr>
        <w:t>Geddes JR et al.</w:t>
      </w:r>
      <w:r>
        <w:t xml:space="preserve"> — Comparative efficacy and acceptability of mood stabilizer and second generation antipsychotic monotherapy for acute mania : systematic review and meta-analysis. Lancet 2009 ; 373 : 1309-1316</w:t>
      </w:r>
    </w:p>
    <w:p>
      <w:pPr>
        <w:pStyle w:val="ListNumber"/>
      </w:pPr>
      <w:r/>
      <w:r>
        <w:rPr>
          <w:b/>
        </w:rPr>
        <w:t>Bowden CL et al.</w:t>
      </w:r>
      <w:r>
        <w:t xml:space="preserve"> — Efficacy of divalproex vs lithium and placebo in the treatment of mania. JAMA 1994 ; 271 : 918-924 (valproate manie)</w:t>
      </w:r>
    </w:p>
    <w:p>
      <w:pPr>
        <w:pStyle w:val="ListNumber"/>
      </w:pPr>
      <w:r/>
      <w:r>
        <w:rPr>
          <w:b/>
        </w:rPr>
        <w:t>Calabrese JR et al.</w:t>
      </w:r>
      <w:r>
        <w:t xml:space="preserve"> — Lamotrigine for maintenance treatment of bipolar I disorder : a double-blind, placebo-controlled study. Am J Psychiatry 2003 ; 160 : 1310-1321 (lamotrigine prévention)</w:t>
      </w:r>
    </w:p>
    <w:p>
      <w:pPr>
        <w:pStyle w:val="ListNumber"/>
      </w:pPr>
      <w:r/>
      <w:r>
        <w:rPr>
          <w:b/>
        </w:rPr>
        <w:t>Weisler RH et al.</w:t>
      </w:r>
      <w:r>
        <w:t xml:space="preserve"> — Carbamazepine for manic-depressive illness : a systematic review. J Clin Psychiatry 2006 ; 67 : 1519-1532 (carbamazépine)</w:t>
      </w:r>
    </w:p>
    <w:p>
      <w:pPr>
        <w:pStyle w:val="ListNumber"/>
      </w:pPr>
      <w:r/>
      <w:r>
        <w:rPr>
          <w:b/>
        </w:rPr>
        <w:t>Christensen J et al.</w:t>
      </w:r>
      <w:r>
        <w:t xml:space="preserve"> — Prenatal valproate exposure and risk of autism spectrum disorders and childhood autism. JAMA 2013 ; 309 : 1696-1703 (valproate autisme)</w:t>
      </w:r>
    </w:p>
    <w:p>
      <w:pPr>
        <w:pStyle w:val="ListNumber"/>
      </w:pPr>
      <w:r/>
      <w:r>
        <w:rPr>
          <w:b/>
        </w:rPr>
        <w:t>Meador KJ et al.</w:t>
      </w:r>
      <w:r>
        <w:t xml:space="preserve"> — Cognitive function at 3 years of age after fetal exposure to antiepileptic drugs. N Engl J Med 2009 ; 360 : 1597-1605 (valproate QI)</w:t>
      </w:r>
    </w:p>
    <w:p>
      <w:pPr>
        <w:pStyle w:val="ListNumber"/>
      </w:pPr>
      <w:r/>
      <w:r>
        <w:rPr>
          <w:b/>
        </w:rPr>
        <w:t>ANSM</w:t>
      </w:r>
      <w:r>
        <w:t xml:space="preserve"> — Pregnancy Prevention Programme (PPP) pour le valproate. Recommandations EMA 2018</w:t>
      </w:r>
    </w:p>
    <w:p>
      <w:pPr>
        <w:pStyle w:val="ListNumber"/>
      </w:pPr>
      <w:r/>
      <w:r>
        <w:rPr>
          <w:b/>
        </w:rPr>
        <w:t>FDA</w:t>
      </w:r>
      <w:r>
        <w:t xml:space="preserve"> — HLA-B\*1502 genotyping before carbamazepine therapy in Asian populations. Alert 2007</w:t>
      </w:r>
    </w:p>
    <w:p>
      <w:pPr>
        <w:pStyle w:val="ListNumber"/>
      </w:pPr>
      <w:r/>
      <w:r>
        <w:rPr>
          <w:b/>
        </w:rPr>
        <w:t>Nomenclature algérienne des médicaments</w:t>
      </w:r>
      <w:r>
        <w:t xml:space="preserve"> — Avril 2026 (liste officielle des spécialités disponibles en Algérie)</w:t>
      </w:r>
    </w:p>
    <w:p>
      <w:pPr>
        <w:pStyle w:val="ListNumber"/>
      </w:pPr>
      <w:r/>
      <w:r>
        <w:rPr>
          <w:b/>
        </w:rPr>
        <w:t>EMA</w:t>
      </w:r>
      <w:r>
        <w:t xml:space="preserve"> (European Medicines Agency) — Assessment reports valproate, carbamazépine, lamotrigine, lithium</w:t>
      </w:r>
    </w:p>
    <w:p>
      <w:pPr>
        <w:pStyle w:val="ListNumber"/>
      </w:pPr>
      <w:r/>
      <w:r>
        <w:rPr>
          <w:b/>
        </w:rPr>
        <w:t>EURAP</w:t>
      </w:r>
      <w:r>
        <w:t xml:space="preserve"> (European Registry of Antiepileptic Drugs in Pregnancy) — International Registry of Antiepileptic Drugs in Pregnancy — lamotrigine pregnancy registry</w:t>
      </w:r>
    </w:p>
    <w:p>
      <w:r/>
      <w:r>
        <w:rPr>
          <w:i/>
        </w:rPr>
        <w:t>Chapitre 85 — Thymorégulateurs (4 DCI) — Fascicule X Psychiatrie/Psychotropes — Terminé.</w:t>
      </w:r>
      <w:r/>
    </w:p>
    <w:p>
      <w:r/>
      <w:r>
        <w:rPr>
          <w:i/>
        </w:rPr>
        <w:t>Le chapitre suivant (86) traite des médicaments du TDAH, antidémences et antiaddiction.</w:t>
      </w:r>
      <w:r/>
    </w:p>
    <w:p>
      <w:pPr>
        <w:pStyle w:val="Heading1"/>
      </w:pPr>
      <w:r>
        <w:t>CHAPITRE 86 — TDAH, ANTIDÉMENCES ET ANTIADDICTION</w:t>
      </w:r>
    </w:p>
    <w:p>
      <w:pPr>
        <w:pStyle w:val="Heading2"/>
      </w:pPr>
      <w:r>
        <w:t>Fascicule X — Psychiatrie / Psychotropes (Section 86)</w:t>
      </w:r>
    </w:p>
    <w:p>
      <w:pPr>
        <w:pStyle w:val="Heading2"/>
      </w:pPr>
      <w:r>
        <w:t>INTRODUCTION GÉNÉRALE DU CHAPITRE 86</w:t>
      </w:r>
    </w:p>
    <w:p>
      <w:r>
        <w:t>Ce chapitre couvre un ensemble hétérogène de psychotropes « à marge », à la périphérie des grandes classes abordées dans les chapitres précédents (81 : antidépresseurs ; 82 : anxiolytiques-hypnotiques ; 83 : antipsychotiques typiques ; 84 : antipsychotiques atypiques ; 85 : thymorégulateurs). Il regroupe six sous-classes thérapeutiques partageant une caractéristique commune : l'interaction avec les systèmes monoaminergiques (dopamine, noradrénaline) ou glutamatergiques (NMDA), cholinergiques (acétylcholinestérase) ou nicotiniques (α4β2), pour traiter des pathologies chroniques à fort retentissement cognitif, comportemental ou addictologique — trouble du déficit de l'attention avec hyperactivité (TDAH), hypersomnies d'origine centrale, démences neurodégénératives (maladie d'Alzheimer, démence vasculaire), et dépendance tabagique.</w:t>
      </w:r>
    </w:p>
    <w:p>
      <w:r>
        <w:t>Ces molécules partagent plusieurs singularités pharmacologiques : (i) une prescription strictement spécialisée (psychiatre, neurologue, addictologue) ; (ii) un risque potentiel d'usage détourné ou de dépendance pour certaines (méthylphénidate, modafinil — classés stupéfiants ou liste I renforcée) ; (iii) des bilans pré-thérapeutiques contraignants (cardiologique pour les psychostimulants, neuropsychiatrique pour la varénicline, cognitif pour les antidémences) ; (iv) des règles de surveillance spécifiques à expliquer systématiquement au comptoir. Le pharmacien d'officine algérien joue ici un rôle de verrou de sécurité — vérification de l'ordonnancier, contrôle de la concordance posologique, dépistage des signes d'alerte neuropsychiatrique (varénicline), cardiovasculaire (méthylphénidate, modafinil) ou digestif (inhibiteurs de l'acétylcholinestérase).</w:t>
      </w:r>
    </w:p>
    <w:p>
      <w:r>
        <w:t xml:space="preserve">Sur le plan réglementaire algérien, la nomenclature d'Avril 2026 contient six DCIs actives dans ces classes : atomoxétine, modafinil, donépézil, rivastigmine, mémantine et varénicline. La varénicline (CHAMPIX) est marquée </w:t>
      </w:r>
      <w:r>
        <w:rPr>
          <w:b/>
        </w:rPr>
        <w:t>NON_RENOUVELABLE</w:t>
      </w:r>
      <w:r>
        <w:t xml:space="preserve">, témoignant de l'arrêt de commercialisation annoncé par Pfizer à l'échelle mondiale (2021) pour des raisons industrielles indépendantes de toute nouvelle alerte de sécurité — le stock restant en Algérie est en épuisement progressif. Le méthylphénidate (Ritaline®) — psychostimulant de référence du TDAH — </w:t>
      </w:r>
      <w:r>
        <w:rPr>
          <w:b/>
        </w:rPr>
        <w:t>n'est pas présent dans la nomenclature algérienne active</w:t>
      </w:r>
      <w:r>
        <w:t xml:space="preserve"> : il n'a jamais été commercialisé ou a été retiré, ce qui impose un recours à l'atomoxétine (IRSN) comme seule alternative pharmacologique disponible pour le TDAH en Algérie. Cette particularité sera détaillée dans la fiche méthylphénidate à visée didactique et comparative.</w:t>
      </w:r>
    </w:p>
    <w:p>
      <w:pPr>
        <w:pStyle w:val="Heading2"/>
      </w:pPr>
      <w:r>
        <w:t>SOUS-CLASSE 1 — TDAH : PSYCHOSTIMULANTS AMPHÉTAMINIQUES</w:t>
      </w:r>
    </w:p>
    <w:p>
      <w:r>
        <w:t>Le trouble du déficit de l'attention avec hyperactivité (TDAH) est un trouble neurodéveloppemental touchant 5 à 7 % des enfants d'âge scolaire et persistant à l'âge adulte dans 50 à 65 % des cas. Le déficit neuropsychologique porte sur les fonctions exécutives (attention soutenue, contrôle inhibiteur, mémoire de travail), en lien avec un hypofonctionnement dopaminergique et noradrénergique préfrontal. Le traitement de première intention international (recommandations NICE 2018, APA, HAS 2014) repose sur les psychostimulants — méthylphénidate en première ligne — qui corrigent ce déficit en augmentant les taux synaptiques de dopamine et de noradrénaline au niveau cortical. Ces molécules, apparentées chimiquement aux amphétamines, sont classées comme stupéfiants (Schedule II aux États-Unis, Liste I renforcée en France, interdiction ou restriction sévère dans plusieurs pays). En Algérie, le méthylphénidate n'est pas disponible commercialement — ce qui explique le recours systématique à l'atomoxétine (IRSN) en monothérapie. Le pharmacien doit néanmoins connaître la pharmacologie du méthylphénidate pour répondre aux questions des patients informés par la littérature internationale, pour comprendre les alternatives, et pour anticiper d'éventuelles introductions futures. Cette sous-classe demeure un repère didactique fondamental pour saisir la suite (atomoxétine).</w:t>
      </w:r>
    </w:p>
    <w:p>
      <w:pPr>
        <w:pStyle w:val="Heading3"/>
      </w:pPr>
      <w:r>
        <w:t>1. DCI : Méthylphénidate (Seule)</w:t>
      </w:r>
    </w:p>
    <w:p>
      <w:r/>
      <w:r>
        <w:rPr>
          <w:b/>
        </w:rPr>
        <w:t>Liste des Catégories :</w:t>
      </w:r>
      <w:r>
        <w:t xml:space="preserve"> Psychostimulant amphétaminique ; Stupéfiant (international Schedule II ONU) ; Traitement de première intention du TDAH chez l'enfant &gt; 6 ans et l'adulte.</w:t>
      </w:r>
    </w:p>
    <w:p>
      <w:r>
        <w:t xml:space="preserve">Le méthylphénidate (MPH) est un psychostimulant dérivé pipéridinique, synthétisé en 1944 par Panizzon (Ciba) et commercialisé dès 1955 sous le nom de Ritaline®. Il partage avec l'amphétamine une parenté structurale (noyau phénéthylamine) mais s'en distingue par un mécanisme principalement inhibiteur de la recapture (DAT et NET) sans effet direct de libération vesiculaire, ce qui lui confère un profil de tolérance cardiovasculaire et neuropsychiatrique globalement plus favorable que les amphétamines vraies. Sa classification comme stupéfiant (Schedule II ONU, Liste I renforcée France) reflète son potentiel d'abus, de détournement (sniff, IV) et de dépendance psychologique, notamment en population étudiante ou professionnelle (« smart drug »). En Algérie, le méthylphénidate </w:t>
      </w:r>
      <w:r>
        <w:rPr>
          <w:b/>
        </w:rPr>
        <w:t>n'est pas commercialisé</w:t>
      </w:r>
      <w:r>
        <w:t xml:space="preserve"> — il n'apparaît pas dans la nomenclature active Avril 2026, ni dans la liste des non renouvelés ni dans la liste des retraits : il n'a pas d'AMM délivrée ou n'est pas importé. Cette absence s'inscrit dans une politique de prudence vis-à-vis des stupéfiants à fort potentiel d'abus, et impose le recours à l'atomoxétine (IRSN) comme alternative pharmacologique unique.</w:t>
      </w:r>
    </w:p>
    <w:p>
      <w:r/>
      <w:r>
        <w:rPr>
          <w:b/>
        </w:rPr>
        <w:t>Médicaments disponibles en Algérie (Marques, Laboratoires, Formes et Dosages) :</w:t>
      </w:r>
      <w:r/>
    </w:p>
    <w:p>
      <w:pPr>
        <w:pStyle w:val="ListBullet"/>
      </w:pPr>
      <w:r/>
      <w:r>
        <w:rPr>
          <w:b/>
        </w:rPr>
        <w:t>Aucune spécialité active</w:t>
      </w:r>
      <w:r>
        <w:t xml:space="preserve"> dans la nomenclature algérienne Avril 2026.</w:t>
      </w:r>
    </w:p>
    <w:p>
      <w:pPr>
        <w:pStyle w:val="ListBullet"/>
      </w:pPr>
      <w:r>
        <w:t>Référence internationale : RITALINE® (Novartis) — comprimé LP 10/20/30/40 mg ; gélule LP 20/30/40/50/60 mg ; solution buvable 1 mg/mL (France).</w:t>
      </w:r>
    </w:p>
    <w:p>
      <w:pPr>
        <w:pStyle w:val="ListBullet"/>
      </w:pPr>
      <w:r>
        <w:t>Référence internationale : CONCERTA LP® (Janssen) — comprimé LP OROS 18/27/36/54 mg.</w:t>
      </w:r>
    </w:p>
    <w:p>
      <w:pPr>
        <w:pStyle w:val="ListBullet"/>
      </w:pPr>
      <w:r>
        <w:t>Référence internationale : EQUASYM LP® (Collegium) — gélule 10/20/30 mg.</w:t>
      </w:r>
    </w:p>
    <w:p>
      <w:pPr>
        <w:pStyle w:val="ListBullet"/>
      </w:pPr>
      <w:r>
        <w:t>Patch transdermique : DAYTRANA® (Noven) — non disponible en Europe.</w:t>
      </w:r>
    </w:p>
    <w:p>
      <w:pPr>
        <w:pStyle w:val="ListBullet"/>
      </w:pPr>
      <w:r/>
      <w:r>
        <w:rPr>
          <w:b/>
        </w:rPr>
        <w:t>Statut Algérie : non disponible</w:t>
      </w:r>
      <w:r>
        <w:t xml:space="preserve"> — pas d'importation, pas de distribution officinale ni hospitalière. Les patients algériens nécessitant un psychostimulant peuvent être orientés vers l'atomoxétine (seule alternative pharmacologique disponible), ou vers une prise en charge non pharmacologique (TCC,psychoéducation, rééducation neuropsychologique).</w:t>
      </w:r>
    </w:p>
    <w:p>
      <w:r/>
      <w:r>
        <w:rPr>
          <w:b/>
        </w:rPr>
        <w:t>Sous-classe et Mécanisme d'action :</w:t>
      </w:r>
      <w:r/>
    </w:p>
    <w:p>
      <w:pPr>
        <w:pStyle w:val="ListBullet"/>
      </w:pPr>
      <w:r>
        <w:t>Sous-classe : Psychostimulant amphétaminique de la famille des pipéridines, apparenté structural à la cocaine (mécanisme) et à l'amphétamine (structure).</w:t>
      </w:r>
    </w:p>
    <w:p>
      <w:pPr>
        <w:pStyle w:val="ListBullet"/>
      </w:pPr>
      <w:r>
        <w:t>Mécanisme d'action : Inhibition principalement présynaptique de la recapture de la dopamine (DAT) et, à un moindre degré, de la noradrénaline (NET), au niveau cortical (cortex préfrontal surtout) et striatal. L'augmentation des taux synaptiques de DA et NA restaure le tonus catecholaminergique préfrontal, indispensable au maintien de l'attention soutenue, du contrôle inhibiteur et de la mémoire de travail. Affinité Ki DAT ≈ 100-200 nM (modérée), Ki NET ≈ 50-150 nM. Le méthylphénidate bloque également, à forte dose, le transporteur de la sérotonine (SERT), mais cet effet est marginal aux doses thérapeutiques. À la différence de l'amphétamine, il n'induit pas de libération reverse de DA depuis les vésicules (pas d'effet VMAT2) — d'où un potentiel addictogène moindre, mais non négligeable.</w:t>
      </w:r>
    </w:p>
    <w:p>
      <w:r/>
      <w:r>
        <w:rPr>
          <w:b/>
        </w:rPr>
        <w:t>Profil Pharmacologique :</w:t>
      </w:r>
      <w:r/>
    </w:p>
    <w:p>
      <w:pPr>
        <w:pStyle w:val="ListBullet"/>
      </w:pPr>
      <w:r>
        <w:t>Indications : TDAH chez l'enfant &gt; 6 ans (en seconde intention après échec des mesures non pharmacologiques selon NICE) et chez l'adulte (forme LP préférentielle) ; narcolepsie (indication historique, supplantée par le modafinil). Le traitement doit s'intégrer dans une prise en charge globale (psychoéducation, TCC, aménagements scolaires).</w:t>
      </w:r>
    </w:p>
    <w:p>
      <w:pPr>
        <w:pStyle w:val="ListBullet"/>
      </w:pPr>
      <w:r>
        <w:t>Contre-indications : hypersensibilité ; glaucome à angle fermé ; hyperthyroïdie non contrôlée ; maladie cardiovasculaire symptomatique (insuffisance cardiaque, angor, infarctus récent, cardiopathies structurales, arythmies) ; hypertension artérielle sévère ou non contrôlée ; troubles psychiatriques sévères (psychose, manie, trouble bipolaire non stabilisé, idéation suicidaire) ; anorexie mentale ; tic de Tourette ; usage concomitant d'IMAO (14 jours wash-out) ; grossesse (CRAT déconseille) ; allaitement.</w:t>
      </w:r>
    </w:p>
    <w:p>
      <w:pPr>
        <w:pStyle w:val="ListBullet"/>
      </w:pPr>
      <w:r>
        <w:t>Effets indésirables : anorexie (50-60 %), insomnie d'endormissement (40-50 %), perte de poids initiale (1-2 kg les 3 premiers mois), ralentissement de la vitesse de croissance staturale (≈ -1 à -1,5 cm/an la première année, rattrapage ultérieur), tachycardie et HTA modérées (≈ +5 mmHg systolique), sécheresse buccale, céphalées, irritabilité, anxiodépression en fin de dose (rebond), bruxisme, troubles digestifs (douleurs abdominales, nausées), rarement troubles psychotiques (hallucinations, idéation paranoïaque) et accès maniaques (patients prédisposés).</w:t>
      </w:r>
    </w:p>
    <w:p>
      <w:r/>
      <w:r>
        <w:rPr>
          <w:b/>
        </w:rPr>
        <w:t>Prévention et Gestion des Effets Indésirables :</w:t>
      </w:r>
      <w:r/>
    </w:p>
    <w:p>
      <w:pPr>
        <w:pStyle w:val="ListBullet"/>
      </w:pPr>
      <w:r>
        <w:t>Mesures préventives : bilan cardiovasculaire pré-thérapeutique systématique (TA, FC, ECG, antécédents familiaux de mort subite du sujet jeune &lt; 50 ans) ; mesure de la TA et de la FC à chaque consultation d'adaptation (J7, J15, M1, puis tous les 3-6 mois) ; courbe de poids et de taille tous les 3-6 mois pendant 2 ans (carnet de croissance) ; consultation ophtalmologique annuelle (exceptionnels troubles de l'accommodation) ; prise du matin et midi (jamais après 16 h pour les formes immédiates — risque d'insomnie) ; repas avant la prise (réduit l'anorexie).</w:t>
      </w:r>
    </w:p>
    <w:p>
      <w:pPr>
        <w:pStyle w:val="ListBullet"/>
      </w:pPr>
      <w:r>
        <w:t>Conduite à tenir : arrêt immédiat en cas de troubles psychotiques, d'idéation suicidaire, de palpitations, de douleur thoracique, de syncope, d'épistaxis récidivant ; réduction posologique en cas d'insomnie ou d'anorexie persistante ; substitution par forme LP en cas de rebond en fin de dose ; pause thérapeutique (« drug holiday ») pendant les week-ends ou vacances scolaires pour ralentir la tolérance et préserver la croissance (à discuter au cas par cas — discuté, non systématique selon les recommandations HAS).</w:t>
      </w:r>
    </w:p>
    <w:p>
      <w:r/>
      <w:r>
        <w:rPr>
          <w:b/>
        </w:rPr>
        <w:t>Interactions Importantes :</w:t>
      </w:r>
      <w:r/>
    </w:p>
    <w:p>
      <w:pPr>
        <w:pStyle w:val="ListBullet"/>
      </w:pPr>
      <w:r>
        <w:t xml:space="preserve">Méthylphénidate + IMAO (sélectif A ou non sélectif) : </w:t>
      </w:r>
      <w:r>
        <w:rPr>
          <w:b/>
        </w:rPr>
        <w:t>CI absolue</w:t>
      </w:r>
      <w:r>
        <w:t xml:space="preserve"> (risque d'hyperadrénergie sévère, crise hypertensive) — wash-out minimum 14 jours.</w:t>
      </w:r>
    </w:p>
    <w:p>
      <w:pPr>
        <w:pStyle w:val="ListBullet"/>
      </w:pPr>
      <w:r>
        <w:t>Méthylphénidate + sympathomimétiques α/β (vasopresseurs, décongestionnants pseudoéphédrine/éphédrine) : potentialisation cardiovasculaire (TA, FC).</w:t>
      </w:r>
    </w:p>
    <w:p>
      <w:pPr>
        <w:pStyle w:val="ListBullet"/>
      </w:pPr>
      <w:r>
        <w:t>Méthylphénidate + antihypertenseurs (bêtabloquants, IEC, ARA2) : antagonisme pharmacodynamique (baisse d'efficacité antihypertensive).</w:t>
      </w:r>
    </w:p>
    <w:p>
      <w:pPr>
        <w:pStyle w:val="ListBullet"/>
      </w:pPr>
      <w:r>
        <w:t>Méthylphénidate + anticoagulants oraux : augmentation de l'INR par déplacement protéique (surveillance INR).</w:t>
      </w:r>
    </w:p>
    <w:p>
      <w:pPr>
        <w:pStyle w:val="ListBullet"/>
      </w:pPr>
      <w:r>
        <w:t>Méthylphénidate + halogénés anesthésiques : risque d'arythmie per-opératoire (arrêt 24-48 h avant anesthésie).</w:t>
      </w:r>
    </w:p>
    <w:p>
      <w:pPr>
        <w:pStyle w:val="ListBullet"/>
      </w:pPr>
      <w:r>
        <w:t>Méthylphénidate + alcool : potentialisation neurocomportementale (ivresse masquée, désinhibition).</w:t>
      </w:r>
    </w:p>
    <w:p>
      <w:r/>
      <w:r>
        <w:rPr>
          <w:b/>
        </w:rPr>
        <w:t>Grossesse et Allaitement :</w:t>
      </w:r>
      <w:r/>
    </w:p>
    <w:p>
      <w:pPr>
        <w:pStyle w:val="ListBullet"/>
      </w:pPr>
      <w:r>
        <w:t>Grossesse : le CRAT conclut à un risque tératogène non écarté (données animales évocatrices d'une embryotoxicité à doses élevées ; données humaines limitées ≈ 300 grossesses exposées, sans sur-risque malformatif majeur mais données insuffisantes). À éviter par prudence — relais par atomoxétine ou thérapie non pharmacologique.</w:t>
      </w:r>
    </w:p>
    <w:p>
      <w:pPr>
        <w:pStyle w:val="ListBullet"/>
      </w:pPr>
      <w:r>
        <w:t>Allaitement : passage dans le lait maternel démontré (rapport lait/plasma ≈ 1 à 3) ; CI à l'allaitement selon CRAT.</w:t>
      </w:r>
    </w:p>
    <w:p>
      <w:pPr>
        <w:pStyle w:val="ListBullet"/>
      </w:pPr>
      <w:r>
        <w:t>Précisions : évaluation bénéfice/risque individualisée par psychiatre spécialisé ; chez la femme en âge de procréer, contraception efficace obligatoire.</w:t>
      </w:r>
    </w:p>
    <w:p>
      <w:r/>
      <w:r>
        <w:rPr>
          <w:b/>
        </w:rPr>
        <w:t>Posologie et Mode d'administration (Standard) :</w:t>
      </w:r>
      <w:r/>
    </w:p>
    <w:p>
      <w:pPr>
        <w:pStyle w:val="ListBullet"/>
      </w:pPr>
      <w:r>
        <w:t>Adulte : initiation 5 mg × 1-2/jour (matin, midi) ; titration hebdomadaire par paliers de 5-10 mg ; dose moyenne 20-30 mg/jour en forme immédiate (max 60 mg/jour) ; en forme LP (Concerta®) : 18 mg/jour en initiation, paliers 18-36-54 mg, dose usuelle 36-54 mg/jour (max 72 mg/jour).</w:t>
      </w:r>
    </w:p>
    <w:p>
      <w:pPr>
        <w:pStyle w:val="ListBullet"/>
      </w:pPr>
      <w:r>
        <w:t>Enfant 6-18 ans : initiation 5 mg matin ± midi ; titration hebdomadaire ; dose usuelle 0,5-1 mg/kg/jour (max 60 mg/jour) ; formes LP préférentielles chez l'adolescent (observance, confidentialité scolaire).</w:t>
      </w:r>
    </w:p>
    <w:p>
      <w:pPr>
        <w:pStyle w:val="ListBullet"/>
      </w:pPr>
      <w:r>
        <w:t>Sujet âgé : non recommandé en première intention (sensibilité cardiovasculaire accrue, comorbidités).</w:t>
      </w:r>
    </w:p>
    <w:p>
      <w:pPr>
        <w:pStyle w:val="ListBullet"/>
      </w:pPr>
      <w:r>
        <w:t>Durée : réévaluation annuelle de la nécessité de poursuivre ; interruption à l'adolescence possible pour réévaluer la persistance du TDAH ; traitement parfois poursuivi à l'âge adulte en cas de persistance symptomatique invalidante.</w:t>
      </w:r>
    </w:p>
    <w:p>
      <w:pPr>
        <w:pStyle w:val="ListBullet"/>
      </w:pPr>
      <w:r>
        <w:t>Moment de la prise : matin (forme LP) ; matin et midi (forme immédiate, dernière prise avant 16-17 h pour limiter l'insomnie).</w:t>
      </w:r>
    </w:p>
    <w:p>
      <w:r/>
      <w:r>
        <w:rPr>
          <w:b/>
        </w:rPr>
        <w:t>Arbitrage et Bénéfices des Formes Galéniques :</w:t>
      </w:r>
      <w:r/>
    </w:p>
    <w:p>
      <w:r>
        <w:t>Les formes à libération immédiate (comprimés 5-10-20 mg) offrent une flexibilité d'adaptation mais imposent 2-3 prises par jour (observance scolaire difficile, stigmatisation). Les formes à libération prolongée (Concerta® OROS, Ritaline LP® avec technologie OSDT, Equasym LP®) administrées en une prise matinale offrent une couverture symptomatique sur 8-12 heures, suppriment la prise du midi à l'école (discrétion), réduisent le rebond en fin de dose et améliorent l'observance. Le patch transdermique Daytrana® (9 heures) offre une alternative en cas d'incapacité à avaler les comprimés. Les solutions buvables (1 mg/mL) sont utiles chez le jeune enfant pour titration fine. En Algérie, faute de disponibilité du méthylphénidate, l'atomoxétine (gélule une prise par jour) constitue la seule alternative galénique accessible.</w:t>
      </w:r>
    </w:p>
    <w:p>
      <w:r/>
      <w:r>
        <w:rPr>
          <w:b/>
        </w:rPr>
        <w:t>Instructions et Conseils au Patient :</w:t>
      </w:r>
      <w:r/>
    </w:p>
    <w:p>
      <w:pPr>
        <w:pStyle w:val="ListBullet"/>
      </w:pPr>
      <w:r>
        <w:t>Communication au comptoir : expliquer la nécessité d'une prescription initiale hospitalo-universitaire (psychiatre/pédopsychiatre) ; insister sur la prise du matin (et jamais le soir) ; surveillance de l'appétit, du sommeil, de la croissance (carnet), de la TA et de la FC ; prévenir les signes d'alerte nécessitant un arrêt immédiat et une consultation urgente (douleur thoracique, syncope, palpitations, hallucinations, idées délirantes, ideation suicidaire) ; information sur le potentiel d'abus et de dépendance (jamais de partage, jamais d'augmentation par soi-même, jamais de cession à un tiers) ; pas d'arrêt brutal (rebond : fatigue, hyperphagie, dépression).</w:t>
      </w:r>
    </w:p>
    <w:p>
      <w:pPr>
        <w:pStyle w:val="ListBullet"/>
      </w:pPr>
      <w:r>
        <w:t>Mode d'utilisation pratique : prise au cours du petit-déjeuner ; gélule LP à avaler entière (ne pas écraser, ne pas ouvrir) ; comprimé LP à avaler entier (ne pas croquer) ; oubli : ne pas doubler la dose, prendre la dose oubliée si &lt; 2 h puis reprendre le schéma habituel (ne pas prendre en fin d'après-midi ou soir).</w:t>
      </w:r>
    </w:p>
    <w:p>
      <w:r/>
      <w:r>
        <w:rPr>
          <w:b/>
        </w:rPr>
        <w:t>Notes, Règles d'Or &amp; Pièges au Comptoir :</w:t>
      </w:r>
      <w:r/>
    </w:p>
    <w:p>
      <w:pPr>
        <w:pStyle w:val="ListBullet"/>
      </w:pPr>
      <w:r>
        <w:t>Piège classique : le méthylphénidate est un stupéfiant à l'international — en Algérie, son absence de commercialisation expose à des tentatives d'importation illégale (signalétique à connaître : origine, prescription étrangère suspecte) ; le pharmacien doit refuser la dispensation en l'absence de produit légalement disponible et orienter vers l'atomoxétine.</w:t>
      </w:r>
    </w:p>
    <w:p>
      <w:pPr>
        <w:pStyle w:val="ListBullet"/>
      </w:pPr>
      <w:r>
        <w:t>Règle de prise : matin et midi (jamais le soir) ; formes LP en une prise matinale.</w:t>
      </w:r>
    </w:p>
    <w:p>
      <w:pPr>
        <w:pStyle w:val="ListBullet"/>
      </w:pPr>
      <w:r>
        <w:t>Préparation et conservation : pas d'enjeu spécifique en Algérie (non disponible) ; à l'échelle internationale, conservation à température ambiante &lt; 25 °C, à l'abri de l'humidité et de la lumière, hors de portée des enfants et adolescents (risque de détournement intra-familial).</w:t>
      </w:r>
    </w:p>
    <w:p>
      <w:pPr>
        <w:pStyle w:val="ListBullet"/>
      </w:pPr>
      <w:r>
        <w:t>Piège du surdosage / Substitution : surdosage aigu = syndrome sympathomimétique (agitation, mydriase, tachycardie, HTA, hyperthermie, convulsions, collapsus) — prise en charge symptomatique en réanimation, benzodiazépines IV (lorazépam 2 mg) pour contrôler l'agitation et prévenir les convulsions, refroidissement actif si hyperthermie, antihypertenseurs α-bloquants urgents si crise hypertensive. Pas d'antidote spécifique. Ne pas substituer avec l'atomoxétine à dose équivalente (molécules et demi-vies très différentes — titration propre à chaque molécule).</w:t>
      </w:r>
    </w:p>
    <w:p>
      <w:pPr>
        <w:pStyle w:val="Heading2"/>
      </w:pPr>
      <w:r>
        <w:t>SOUS-CLASSE 2 — TDAH : INHIBITEURS DE LA RECAPTURE DE LA NORADRÉNALINE (IRSN)</w:t>
      </w:r>
    </w:p>
    <w:p>
      <w:r>
        <w:t>Les IRSN non amphétaminiques constituent une alternative non-stupéfiante aux psychostimulants dans le TDAH. L'atomoxétine, seul représentant disponible internationalement et en Algérie, est un inhibiteur sélectif et puissant de la recapture de la noradrénaline (NET) sans action directe sur la dopamine striatale — d'où l'absence de potentiel addictogène significatif et l'absence de classement stupéfiant. Son délai d'action est prolongé (4-6 semaines pour un effet clinique complet) contrairement aux psychostimulants (effet immédiat), ce qui impose une phase de titration soigneuse et une éducation thérapeutique spécifique du patient (et de sa famille) pour prévenir l'arrêt prématuré par impression d'inefficacité. L'atomoxétine est particulièrement indiquée chez les patients présentant une comorbidité anxieuse, des tics, une substance use disorder concomitante, ou en cas de refus du patient/famille d'un traitement stupéfiant. Sa tolérance digestive (nausées, douleurs abdominales) justifie une initiation progressive et une prise au cours des repas.</w:t>
      </w:r>
    </w:p>
    <w:p>
      <w:pPr>
        <w:pStyle w:val="Heading3"/>
      </w:pPr>
      <w:r>
        <w:t>2. DCI : Atomoxétine (Seule)</w:t>
      </w:r>
    </w:p>
    <w:p>
      <w:r/>
      <w:r>
        <w:rPr>
          <w:b/>
        </w:rPr>
        <w:t>Liste des Catégories :</w:t>
      </w:r>
      <w:r>
        <w:t xml:space="preserve"> IRSN (inhibiteur de la recapture de la noradrénaline) ; traitement non-stupéfiant du TDAH chez l'enfant &gt; 6 ans et l'adulte ; Liste I.</w:t>
      </w:r>
    </w:p>
    <w:p>
      <w:r>
        <w:t xml:space="preserve">L'atomoxétine (LY139603, Eli Lilly) a été initialement développée comme antidépresseur avant d'être redéveloppée et approuvée par la FDA en 2002 (2007 en Europe) comme traitement non-stupéfiant du TDAH. Sa spécificité majeure réside dans son affinité très sélective pour le transporteur de la noradrénaline (NET, Ki ≈ 5 nM) sans affinité significative pour le transporteur de la dopamine (DAT, Ki &gt; 1000 nM) ni pour les récepteurs noradrénergiques, dopaminergiques, sérotoninergiques, histaminergiques ou cholinergiques. Cette sélectivité explique son absence d'effet euphorisant, son absence de classification stupéfiant, et son profil de tolérance cardiovasculaire globalement favorable (modeste augmentation de la TA et de la FC, comparable à celle des IRS-SSRI). Sa demi-vie d'environ 5 heures (métabolisme CYP2D6) justifie un schéma posologique en une à deux prises par jour, et son métabolisme polymorphique (10 % de la population caucasienne sont métaboliseurs lents CYP2D6) impose une vigilance particulière chez ces patients (exposition multipliée par 2,5, EI majorés). L'atomoxétine est la </w:t>
      </w:r>
      <w:r>
        <w:rPr>
          <w:b/>
        </w:rPr>
        <w:t>seule molécule disponible en Algérie</w:t>
      </w:r>
      <w:r>
        <w:t xml:space="preserve"> pour le traitement pharmacologique du TDAH, le méthylphénidate n'étant pas commercialisé.</w:t>
      </w:r>
    </w:p>
    <w:p>
      <w:r/>
      <w:r>
        <w:rPr>
          <w:b/>
        </w:rPr>
        <w:t>Médicaments disponibles en Algérie (Marques, Laboratoires, Formes et Dosages) :</w:t>
      </w:r>
      <w:r/>
    </w:p>
    <w:p>
      <w:pPr>
        <w:pStyle w:val="ListBullet"/>
      </w:pPr>
      <w:r/>
      <w:r>
        <w:rPr>
          <w:b/>
        </w:rPr>
        <w:t>STRATTERA</w:t>
      </w:r>
      <w:r>
        <w:t xml:space="preserve"> (LILLY S.A)</w:t>
      </w:r>
    </w:p>
    <w:p>
      <w:pPr>
        <w:pStyle w:val="ListBullet"/>
      </w:pPr>
      <w:r>
        <w:t>Formes et Dosages : Gélule gastro-résistante 10 mg (B/28) ; 18 mg (B/28) ; 25 mg (B/28) ; 40 mg (B/28) ; 60 mg (B/28).</w:t>
      </w:r>
    </w:p>
    <w:p>
      <w:pPr>
        <w:pStyle w:val="ListBullet"/>
      </w:pPr>
      <w:r>
        <w:t>Statut : Actif pour 25/40/60 mg ; Non Renouvelable pour 10 mg et 18 mg.</w:t>
      </w:r>
    </w:p>
    <w:p>
      <w:pPr>
        <w:pStyle w:val="ListBullet"/>
      </w:pPr>
      <w:r/>
      <w:r>
        <w:rPr>
          <w:b/>
        </w:rPr>
        <w:t>STRATAN</w:t>
      </w:r>
      <w:r>
        <w:t xml:space="preserve"> (EL KENDI INDUSTRIE DU MEDICAMENT)</w:t>
      </w:r>
    </w:p>
    <w:p>
      <w:pPr>
        <w:pStyle w:val="ListBullet"/>
      </w:pPr>
      <w:r>
        <w:t>Formes et Dosages : Gélule 10 mg (B/30) ; 18 mg (B/30) ; 25 mg (B/30) ; 40 mg (B/30).</w:t>
      </w:r>
    </w:p>
    <w:p>
      <w:pPr>
        <w:pStyle w:val="ListBullet"/>
      </w:pPr>
      <w:r>
        <w:t>Statut : Actif (tous dosages).</w:t>
      </w:r>
    </w:p>
    <w:p>
      <w:pPr>
        <w:pStyle w:val="ListBullet"/>
      </w:pPr>
      <w:r/>
      <w:r>
        <w:rPr>
          <w:b/>
        </w:rPr>
        <w:t>Médicaments retirés :</w:t>
      </w:r>
      <w:r>
        <w:t xml:space="preserve"> aucun.</w:t>
      </w:r>
    </w:p>
    <w:p>
      <w:r>
        <w:t>La marque princeps STRATTERA (Lilly) est partiellement Non Renouvelable pour les dosages 10 et 18 mg (sans doute restructuration commerciale Lilly — signal d'arrêt potentiel à terme), mais reste disponible pour les dosages 25-40-60 mg. Le générique STRATAN (El Kendi) couvre l'ensemble des dosages et constitue une option durable pour le marché algérien.</w:t>
      </w:r>
    </w:p>
    <w:p>
      <w:r/>
      <w:r>
        <w:rPr>
          <w:b/>
        </w:rPr>
        <w:t>Sous-classe et Mécanisme d'action :</w:t>
      </w:r>
      <w:r/>
    </w:p>
    <w:p>
      <w:pPr>
        <w:pStyle w:val="ListBullet"/>
      </w:pPr>
      <w:r>
        <w:t>Sous-classe : IRSN sélectif du NET (nortriptyline-like, mais sans activité anticholinergique ni α-bloquante).</w:t>
      </w:r>
    </w:p>
    <w:p>
      <w:pPr>
        <w:pStyle w:val="ListBullet"/>
      </w:pPr>
      <w:r>
        <w:t>Mécanisme d'action : inhibition sélective et puissante de la recapture présynaptique de la noradrénaline (Ki NET ≈ 5 nM), augmentant les taux synaptiques de NA au niveau du cortex préfrontal — région où la densité de DAT est faible, permettant à l'atomoxétine d'augmenter indirectement aussi les taux de DA préfrontale (la DA préfrontale est recaptée par le NET en l'absence de DAT local). Cette double modulation NA/DA corticale préfrontale préserve les fonctions exécutives attentionnelles sans stimulation striatale (d'où pas d'effet euphorisant ni d'abus). Pas de liaison significative aux récepteurs α1, α2, β-adrénergiques, D2, 5-HT1A/2A/2C, H1, M1 (profil « propre »). Métabolisme hépatique principal par CYP2D6 (polymorphique — 7-10 % de métaboliseurs lents caucasiens) en 4-hydroxyatomoxétine (actif, rapidement glucuroconjugué) ; demi-vie 5,2 h (métaboliseur rapide) à 21,6 h (métaboliseur lent).</w:t>
      </w:r>
    </w:p>
    <w:p>
      <w:r/>
      <w:r>
        <w:rPr>
          <w:b/>
        </w:rPr>
        <w:t>Profil Pharmacologique :</w:t>
      </w:r>
      <w:r/>
    </w:p>
    <w:p>
      <w:pPr>
        <w:pStyle w:val="ListBullet"/>
      </w:pPr>
      <w:r>
        <w:t>Indications : TDAH chez l'enfant ≥ 6 ans et l'adolescent ; TDAH chez l'adulte. Particulièrement indiquée en cas de comorbidité anxieuse, de tics/Tourette, de troubles des conduites, d'antécédents de substance use disorder, ou de refus du patient/famille d'un traitement stupéfiant (méthylphénidate).</w:t>
      </w:r>
    </w:p>
    <w:p>
      <w:pPr>
        <w:pStyle w:val="ListBullet"/>
      </w:pPr>
      <w:r>
        <w:t>Contre-indications : hypersensibilité ; usage concomitant d'IMAO (wash-out 14 jours avant/après) ; glaucome à angle fermé (effet mydriatique) ; phéochromocytome (risque de crise hypertensive par libération de catécholamines) ; cardiopathie structurelle sévère ; troubles psychiatriques sévères non stabilisés (psychose, manie, trouble bipolaire).</w:t>
      </w:r>
    </w:p>
    <w:p>
      <w:pPr>
        <w:pStyle w:val="ListBullet"/>
      </w:pPr>
      <w:r>
        <w:t xml:space="preserve">Effets indésirables : digestifs (nausées 25-30 %, douleurs abdominales 15-20 %, vomissements 10-15 %, constipation 5-10 % — liés à l'activation du NET entérique), anorexie et perte de poids initiale (1-2 kg), insomnie d'endormissement (10-15 %), céphalées (15-20 %), sécheresse buccale, asthénie, somnolence (paradoxe avec effet stimulant — lié à la composante préfrontale), dysménorrhée, dysfonction érectile et éjaculation retardée chez l'homme (effet α2-adrénergique présumé), augmentation modeste de la TA et de la FC (≈ +3 mmHg systolique, +5 bpm — cliniquement non significatif en moyenne mais à surveiller), rarement allongement QT, </w:t>
      </w:r>
      <w:r>
        <w:rPr>
          <w:b/>
        </w:rPr>
        <w:t>troubles neuropsychiatriques (idées délirantes, hallucinations, comportement agressif, idéation suicidaire — signal FDA 2008, contre-indication chez l'enfant &lt; 6 ans)</w:t>
      </w:r>
      <w:r>
        <w:t>, hépatotoxicité rare mais documentée (surveillance AST/ALT si signes d'appel — fatigue, anorexie, ictère).</w:t>
      </w:r>
    </w:p>
    <w:p>
      <w:r/>
      <w:r>
        <w:rPr>
          <w:b/>
        </w:rPr>
        <w:t>Prévention et Gestion des Effets Indésirables :</w:t>
      </w:r>
      <w:r/>
    </w:p>
    <w:p>
      <w:pPr>
        <w:pStyle w:val="ListBullet"/>
      </w:pPr>
      <w:r>
        <w:t>Mesures préventives : initiation à dose faible (0,5 mg/kg/j) avec titration progressive sur 4-6 semaines jusqu'à dose cible (1,2-1,4 mg/kg/j) — réduit l'incidence et la sévérité des EI digestifs initiaux ; prise au cours du repas (réduit les nausées) ; prises vespérales possibles en cas de somnolence diurne (ou alternative matin-soir) ; bilan cardiovasculaire pré-thérapeutique (TA, FC, antécédents familiaux cardiaques) ; mesure TA/FC à chaque consultation d'adaptation (J15, M1, M3 puis tous les 6 mois) ; courbe de poids et de taille chez l'enfant (tous les 3 mois la première année) ; information spécifique patient/famille des signes d'alerte neuropsychiatrique (idées délirantes, hallucinations, agressivité, idéation suicidaire — arrêt immédiat et consultation urgente).</w:t>
      </w:r>
    </w:p>
    <w:p>
      <w:pPr>
        <w:pStyle w:val="ListBullet"/>
      </w:pPr>
      <w:r>
        <w:t>Conduite à tenir : arrêt immédiat en cas d'apparition de troubles psychotiques, d'idéation suicidaire, d'ictère ou d'élévation des transaminases &gt; 3× LNS, de syncope, de douleur thoracique ; adaptation posologique en cas d'EI digestif persistant (diminution de palier, retour à dose précédente pendant 7-14 jours puis re-titration) ; chez le métaboliseur lent CYP2D6 identifié (génotypage si EI marqués), réduction posologique d'un tiers à moitié.</w:t>
      </w:r>
    </w:p>
    <w:p>
      <w:r/>
      <w:r>
        <w:rPr>
          <w:b/>
        </w:rPr>
        <w:t>Interactions Importantes :</w:t>
      </w:r>
      <w:r/>
    </w:p>
    <w:p>
      <w:pPr>
        <w:pStyle w:val="ListBullet"/>
      </w:pPr>
      <w:r>
        <w:t xml:space="preserve">Atomoxétine + IMAO : </w:t>
      </w:r>
      <w:r>
        <w:rPr>
          <w:b/>
        </w:rPr>
        <w:t>CI absolue</w:t>
      </w:r>
      <w:r>
        <w:t xml:space="preserve"> (risque de syndrome sérotoninergique et hyperadrénergie sévère) — wash-out 14 jours.</w:t>
      </w:r>
    </w:p>
    <w:p>
      <w:pPr>
        <w:pStyle w:val="ListBullet"/>
      </w:pPr>
      <w:r>
        <w:t>Atomoxétine + inhibiteurs puissants du CYP2D6 (paroxétine, fluoxétine, quinidine, bupropion) : augmentation de l'exposition à l'atomoxétine de 2,5 à 5× — réduire la dose d'atomoxétine de 75 %.</w:t>
      </w:r>
    </w:p>
    <w:p>
      <w:pPr>
        <w:pStyle w:val="ListBullet"/>
      </w:pPr>
      <w:r>
        <w:t>Atomoxétine + sympathomimétiques (vasopresseurs, décongestionnants) : potentialisation cardiovasculaire (TA, FC).</w:t>
      </w:r>
    </w:p>
    <w:p>
      <w:pPr>
        <w:pStyle w:val="ListBullet"/>
      </w:pPr>
      <w:r>
        <w:t>Atomoxétine + antihypertenseurs : antagonisme pharmacodynamique modéré.</w:t>
      </w:r>
    </w:p>
    <w:p>
      <w:pPr>
        <w:pStyle w:val="ListBullet"/>
      </w:pPr>
      <w:r>
        <w:t>Atomoxétine + salbutamol (voie IV) : risque de tachycardie et de palpitations majoré.</w:t>
      </w:r>
    </w:p>
    <w:p>
      <w:pPr>
        <w:pStyle w:val="ListBullet"/>
      </w:pPr>
      <w:r>
        <w:t>Atomoxétine + alcool : pas d'interaction pharmacocinétique significative, mais potentialisation neurocomportementale possible (sédation, altération cognitive).</w:t>
      </w:r>
    </w:p>
    <w:p>
      <w:r/>
      <w:r>
        <w:rPr>
          <w:b/>
        </w:rPr>
        <w:t>Grossesse et Allaitement :</w:t>
      </w:r>
      <w:r/>
    </w:p>
    <w:p>
      <w:pPr>
        <w:pStyle w:val="ListBullet"/>
      </w:pPr>
      <w:r>
        <w:t>Grossesse : données humaines limitées (≈ 300-500 grossesses exposées dans les registres Lilly, sans sur-risque malformatif majeur mis en évidence). CRAT conclut à un risque tératogène non écarté par défaut de données suffisantes — à éviter par prudence ; relais par thérapie non pharmacologique si possible, ou maintien à dose minimale efficace si bénéfice clair.</w:t>
      </w:r>
    </w:p>
    <w:p>
      <w:pPr>
        <w:pStyle w:val="ListBullet"/>
      </w:pPr>
      <w:r>
        <w:t>Allaitement : passage dans le lait maternel démontré (rapport lait/plasma ≈ 1,2) ; concentrations plasmatiques chez le nourrisson ≈ 6-7 % de la concentration maternelle ; CRAT déconseille l'allaitement en cas de traitement atomoxétine.</w:t>
      </w:r>
    </w:p>
    <w:p>
      <w:pPr>
        <w:pStyle w:val="ListBullet"/>
      </w:pPr>
      <w:r>
        <w:t>Précisions : évaluation bénéfice/risque individualisée par psychiatre spécialisé ; contraception efficace obligatoire chez la femme en âge de procréer.</w:t>
      </w:r>
    </w:p>
    <w:p>
      <w:r/>
      <w:r>
        <w:rPr>
          <w:b/>
        </w:rPr>
        <w:t>Posologie et Mode d'administration (Standard) :</w:t>
      </w:r>
      <w:r/>
    </w:p>
    <w:p>
      <w:pPr>
        <w:pStyle w:val="ListBullet"/>
      </w:pPr>
      <w:r>
        <w:t>Adulte et adolescent &gt; 70 kg : initiation 40 mg/jour pendant 7 jours ; puis dose cible 80 mg/jour (en une ou deux prises) ; augmentation possible à 100 mg/jour après 2-4 semaines en cas de réponse insuffisante (dose maximale 100 mg/jour).</w:t>
      </w:r>
    </w:p>
    <w:p>
      <w:pPr>
        <w:pStyle w:val="ListBullet"/>
      </w:pPr>
      <w:r>
        <w:t>Enfant 6-12 ans et adolescent &lt; 70 kg : initiation 0,5 mg/kg/jour pendant 7 jours ; puis dose cible 1,2 mg/kg/jour (en une ou deux prises) ; dose maximale 1,4 mg/kg/jour ou 100 mg/jour (le plus petit).</w:t>
      </w:r>
    </w:p>
    <w:p>
      <w:pPr>
        <w:pStyle w:val="ListBullet"/>
      </w:pPr>
      <w:r>
        <w:t>Sujet âgé : prudence (sensibilité cardiovasculaire accrue) ; initiation 25 mg/jour, titration prudente.</w:t>
      </w:r>
    </w:p>
    <w:p>
      <w:pPr>
        <w:pStyle w:val="ListBullet"/>
      </w:pPr>
      <w:r>
        <w:t>Métaboliseur lent CYP2D6 : initiation 25 mg/jour ; dose cible 40 mg/jour ; dose maximale 50 mg/jour.</w:t>
      </w:r>
    </w:p>
    <w:p>
      <w:pPr>
        <w:pStyle w:val="ListBullet"/>
      </w:pPr>
      <w:r>
        <w:t>Durée : traitement au long cours ; réévaluation annuelle de la pertinence de la poursuite ; effet clinique complet à 6-8 semaines (ne pas conclure à l'inefficacité avant 8 semaines de dose cible).</w:t>
      </w:r>
    </w:p>
    <w:p>
      <w:pPr>
        <w:pStyle w:val="ListBullet"/>
      </w:pPr>
      <w:r>
        <w:t>Moment de la prise : une prise matinale (préférentielle pour observance) ou deux prises (matin et soir) — prises au cours des repas pour réduire les EI digestifs.</w:t>
      </w:r>
    </w:p>
    <w:p>
      <w:r/>
      <w:r>
        <w:rPr>
          <w:b/>
        </w:rPr>
        <w:t>Arbitrage et Bénéfices des Formes Galéniques :</w:t>
      </w:r>
      <w:r/>
    </w:p>
    <w:p>
      <w:r>
        <w:t>Les gélules gastro-résistantes STRATTERA (Lilly) offrent une libération optimisée mais ne doivent être ni ouvertes ni croquées (la gastro-résistance protège la muqueuse gastrique et assure une absorption duodénale optimisée). Le générique STRATAN (El Kendi) propose une gélule classique (non gastro-résistante) en 4 dosages (10/18/25/40 mg) — d'utilisation plus souple pour titration et adaptation pondérale pédiatrique. La diversité des dosages disponibles (10, 18, 25, 40, 60 mg) permet une titration fine au mg près en fonction du poids, particulièrement utile en pédiatrie. Pas de forme LP : la demi-vie courte (5 h) justifie une bithérapie matin-soir chez la majorité des patients. L'absence de forme liquide limite l'utilisation chez le très jeune enfant (&lt; 6 ans — hors AMM de toute façon) ou en cas de difficulté de déglutition.</w:t>
      </w:r>
    </w:p>
    <w:p>
      <w:r/>
      <w:r>
        <w:rPr>
          <w:b/>
        </w:rPr>
        <w:t>Instructions et Conseils au Patient :</w:t>
      </w:r>
      <w:r/>
    </w:p>
    <w:p>
      <w:pPr>
        <w:pStyle w:val="ListBullet"/>
      </w:pPr>
      <w:r>
        <w:t>Communication au comptoir : expliquer que l'effet n'est pas immédiat (4-8 semaines pour effet maximal — ne pas arrêter prématurément) ; prises au cours des repas ; surveillance TA/FC ; signes d'alerte neuropsychiatrique (arrêt immédiat et consultation urgente si hallucinations, idéation suicidaire, agressivité) ; pas d'arrêt brutal (légère symptomatologie de rebond : irritabilité, fatigue) ; pas d'association avec un IMAO ; information aux femmes en âge de procréer (contraception efficace).</w:t>
      </w:r>
    </w:p>
    <w:p>
      <w:pPr>
        <w:pStyle w:val="ListBullet"/>
      </w:pPr>
      <w:r>
        <w:t>Mode d'utilisation pratique : gélule à avaler entière avec un grand verre d'eau au cours du repas ; oubli : ne pas doubler la dose, prendre la dose oubliée si elle est éloignée de moins de 8 heures de la prise habituelle, sinon ne pas la prendre ; conservation à température ambiante &lt; 25 °C.</w:t>
      </w:r>
    </w:p>
    <w:p>
      <w:r/>
      <w:r>
        <w:rPr>
          <w:b/>
        </w:rPr>
        <w:t>Notes, Règles d'Or &amp; Pièges au Comptoir :</w:t>
      </w:r>
      <w:r/>
    </w:p>
    <w:p>
      <w:pPr>
        <w:pStyle w:val="ListBullet"/>
      </w:pPr>
      <w:r>
        <w:t>Piège classique : la dose cible (80-100 mg/jour) est très différente de la dose d'initiation (40 mg/jour) — patient doit être informé que la titration est progressive et que la dose finale n'est pas prescrite d'emblée. Ne pas confondre avec un antidépresseur classique (l'atomoxétine n'a pas d'AMM dans la dépression bien que pharmacologiquement proche des IRSN). L'augmentation modeste de la TA et de la FC peut être cumulative avec un IRS-SSRI si le patient est traité par ailleurs pour comorbidité anxiodépressive — surveillance accrue.</w:t>
      </w:r>
    </w:p>
    <w:p>
      <w:pPr>
        <w:pStyle w:val="ListBullet"/>
      </w:pPr>
      <w:r>
        <w:t>Règle de prise : une à deux prises par jour au cours des repas ; initiation 40 mg/jour pendant 7 jours puis titration.</w:t>
      </w:r>
    </w:p>
    <w:p>
      <w:pPr>
        <w:pStyle w:val="ListBullet"/>
      </w:pPr>
      <w:r>
        <w:t>Préparation et conservation : gélules à conserver à température ambiante &lt; 25 °C, à l'abri de l'humidité ; pas de préparation magistrale spécifique.</w:t>
      </w:r>
    </w:p>
    <w:p>
      <w:pPr>
        <w:pStyle w:val="ListBullet"/>
      </w:pPr>
      <w:r>
        <w:t>Piège du surdosage / Substitution : surdosage aigu = syndrome sympathomimétique modéré (tachycardie, HTA, agitation, mydriase, convulsions) — prise en charge symptomatique en réanimation, benzodiazépines IV (lorazépam 2 mg) pour agitation et prévention convulsive ; surveillance ECG ; pas d'antidote spécifique. En cas de substitution méthylphénidate → atomoxétine (contexte international — pas en Algérie où le méthylphénidate n'est pas disponible), wash-out 24-48 h puis initiation atomoxétine à dose pédiatrique standard (pas d'équivalence directe — les molécules sont pharmacologiquement différentes). En Algérie, l'atomoxétine est la seule option pharmacologique — la substitution se fait avec un médicament non psychostimulant (TCC, psychoéducation).</w:t>
      </w:r>
    </w:p>
    <w:p>
      <w:pPr>
        <w:pStyle w:val="Heading2"/>
      </w:pPr>
      <w:r>
        <w:t>SOUS-CLASSE 3 — PROMOTEURS DE L'ÉVEIL (MODAFINIL)</w:t>
      </w:r>
    </w:p>
    <w:p>
      <w:r>
        <w:t>Les promoteurs de l'éveil, représentés par le modafinil et son énantiomère actif l'armodafinil, constituent une classe à part dans la pharmacopée psychotrope : ils induisent un état de veille sans les effets sympathomimétiques majeurs des amphétamines (pas d'anorexie marquée, pas d'HTA sévère, pas de dépendance physique significative). Indiqués en première intention dans la narcolepsie (cataplexie associée) et l'hypersomnie idiopathique, ils sont aussi utilisés (selon les pays) dans l'hypersomnie associée à l'apnée du sommeil obstructive sous PPC malgré traitement optimal, dans le trouble du rythme circadien des travailleurs postés, et — hors AMM — dans la fatigue associée à la sclérose en plaques ou aux cancers. Le modafinil est classé Liste I en France (et Algérie), Schedule IV aux États-Unis. Son usage détourné comme « smart drug » par les étudiants et professionnels est une préoccupation internationale, justifiant une dispensation stricte sur ordonnance et une information du patient sur le risque de troubles cutanés sévères (syndrome de Stevens-Johnson, DRESS) — bien que rares, ces EI imposent l'arrêt immédiat et définitif.</w:t>
      </w:r>
    </w:p>
    <w:p>
      <w:pPr>
        <w:pStyle w:val="Heading3"/>
      </w:pPr>
      <w:r>
        <w:t>3. DCI : Modafinil (Seule)</w:t>
      </w:r>
    </w:p>
    <w:p>
      <w:r/>
      <w:r>
        <w:rPr>
          <w:b/>
        </w:rPr>
        <w:t>Liste des Catégories :</w:t>
      </w:r>
      <w:r>
        <w:t xml:space="preserve"> Promoteur de l'éveil ; Liste I ; indication narcolepsie et hypersomnie d'origine centrale.</w:t>
      </w:r>
    </w:p>
    <w:p>
      <w:r>
        <w:t>Le modafinil (Provigil® Cephalon, aujourd'hui Teva) a été développé en France dans les années 1970 par Lafon Laboratories (Michel Jouvet, neurobiologiste du sommeil, à l'origine de la description des états de sommeil paradoxal) et commercialisé en France dès 1984 (Modiodal®). Il diffère des amphétamines par l'absence d'effet de libération reverse de la dopamine et un mécanisme principal impliquant le transporteur de la dopamine (DAT) — il augmente les concentrations extracellulaires de DA dans le cortex préfrontal et le noyau accumbens à un degré moindre que les amphétamines, suffisant pour promouvoir l'éveil sans induire d'euphorie marquée ni de dépendance physique majeure. Il agit également sur les neurones orexine/hypocrétine hypothalamiques (deficitaires dans la narcolepsie), sur la transmission histaminergique tubéromammillaire, et potentialise la transmission glutamatergique. Sa demi-vie longue (12-15 h) autorise une monoprise matinale. En Algérie, le modafinil est commercialisé sous deux marques (VIGINIL Hikma, PRO-EVEIL Beker) en comprimé 100 mg — posologie usuelle 200-400 mg/jour en une ou deux prises.</w:t>
      </w:r>
    </w:p>
    <w:p>
      <w:r/>
      <w:r>
        <w:rPr>
          <w:b/>
        </w:rPr>
        <w:t>Médicaments disponibles en Algérie (Marques, Laboratoires, Formes et Dosages) :</w:t>
      </w:r>
      <w:r/>
    </w:p>
    <w:p>
      <w:pPr>
        <w:pStyle w:val="ListBullet"/>
      </w:pPr>
      <w:r/>
      <w:r>
        <w:rPr>
          <w:b/>
        </w:rPr>
        <w:t>VIGINIL</w:t>
      </w:r>
      <w:r>
        <w:t xml:space="preserve"> (HIKMA PHARMA ALGERIA)</w:t>
      </w:r>
    </w:p>
    <w:p>
      <w:pPr>
        <w:pStyle w:val="ListBullet"/>
      </w:pPr>
      <w:r>
        <w:t>Formes et Dosages : Comprimé 100 mg (B/30).</w:t>
      </w:r>
    </w:p>
    <w:p>
      <w:pPr>
        <w:pStyle w:val="ListBullet"/>
      </w:pPr>
      <w:r>
        <w:t>Statut : Actif.</w:t>
      </w:r>
    </w:p>
    <w:p>
      <w:pPr>
        <w:pStyle w:val="ListBullet"/>
      </w:pPr>
      <w:r/>
      <w:r>
        <w:rPr>
          <w:b/>
        </w:rPr>
        <w:t>PRO-EVEIL</w:t>
      </w:r>
      <w:r>
        <w:t xml:space="preserve"> (LABORATOIRES BEKER)</w:t>
      </w:r>
    </w:p>
    <w:p>
      <w:pPr>
        <w:pStyle w:val="ListBullet"/>
      </w:pPr>
      <w:r>
        <w:t>Formes et Dosages : Comprimé 100 mg (B/30).</w:t>
      </w:r>
    </w:p>
    <w:p>
      <w:pPr>
        <w:pStyle w:val="ListBullet"/>
      </w:pPr>
      <w:r>
        <w:t>Statut : Actif.</w:t>
      </w:r>
    </w:p>
    <w:p>
      <w:pPr>
        <w:pStyle w:val="ListBullet"/>
      </w:pPr>
      <w:r/>
      <w:r>
        <w:rPr>
          <w:b/>
        </w:rPr>
        <w:t>Médicaments retirés :</w:t>
      </w:r>
      <w:r>
        <w:t xml:space="preserve"> aucun.</w:t>
      </w:r>
    </w:p>
    <w:p>
      <w:r>
        <w:t>La concurrence générique algérienne (deux marques : VIGINIL et PRO-EVEIL, à 100 mg) couvre l'ensemble des besoins thérapeutiques ; l'armodafinil (énantiomère actif, commercialisé internationalement sous le nom Nuvigil®) n'est pas disponible en Algérie.</w:t>
      </w:r>
    </w:p>
    <w:p>
      <w:r/>
      <w:r>
        <w:rPr>
          <w:b/>
        </w:rPr>
        <w:t>Sous-classe et Mécanisme d'action :</w:t>
      </w:r>
      <w:r/>
    </w:p>
    <w:p>
      <w:pPr>
        <w:pStyle w:val="ListBullet"/>
      </w:pPr>
      <w:r>
        <w:t>Sous-classe : Promoteur de l'éveil non amphétaminique, apparenté à l'adrafinil (prodrogue historique).</w:t>
      </w:r>
    </w:p>
    <w:p>
      <w:pPr>
        <w:pStyle w:val="ListBullet"/>
      </w:pPr>
      <w:r>
        <w:t>Mécanisme d'action : mécanisme d'action complexe et non entièrement élucidé. Plusieurs cibles identifiées : (i) inhibition modérée de la recapture de la dopamine (DAT) — augmente les concentrations extracellulaires de DA dans le cortex préfrontal et le noyau accumbens (affinité Ki DAT ≈ 2-4 μM — modérée, mais suffisante pour l'effet éveil sans effet euphorisant marqué) ; (ii) activation des neurones orexinergiques hypothalamiques (orexine/hypocrétine — dont le déficit est responsable de la narcolepsie) ; (iii) activation des neurones histaminergiques tubéromammillaires (effet anti-H3 indirect) ; (iv) potentialisation de la transmission glutamatergique corticale et inhibition de la transmission GABAergique ; (v) augmentation indirecte de la transmission sérotoninergique et noradrénergique. Absence d'effet sur les récepteurs α1, α2, β-adrénergiques, D1, D2, 5-HT1A/2, H1, M1 (profil « propre »). Métabolisme hépatique par CYP3A4 (métabolisme principal) avec inhibition de CYP2C9 et CYP2C19 (interactions médicamenteuses). Demi-vie 12-15 h (monoprise matinale possible).</w:t>
      </w:r>
    </w:p>
    <w:p>
      <w:r/>
      <w:r>
        <w:rPr>
          <w:b/>
        </w:rPr>
        <w:t>Profil Pharmacologique :</w:t>
      </w:r>
      <w:r/>
    </w:p>
    <w:p>
      <w:pPr>
        <w:pStyle w:val="ListBullet"/>
      </w:pPr>
      <w:r>
        <w:t>Indications : narcolepsie avec ou sans cataplexie (indication principale) ; hypersomnie idiopathique ; hypersomnie associée à l'apnée obstructive du sommeil sous PPC malgré traitement optimal (selon pays — AMM européenne) ; trouble du rythme circadien du travailleur posté (selon pays) ; fatigue associée à la sclérose en plaques (hors AMM en France). Hors AMM : utilisation détournée comme « smart drug » par étudiants et professionnels — pratique condamnable, non dénuée de risques (tolérance, EI cardiovasculaires, psychiatriques).</w:t>
      </w:r>
    </w:p>
    <w:p>
      <w:pPr>
        <w:pStyle w:val="ListBullet"/>
      </w:pPr>
      <w:r>
        <w:t>Contre-indications : hypersensibilité ; antécédent de réaction cutanée sévère au modafinil (Stevens-Johnson, DRESS, nécrolyse épidermique toxique) — CI définitive ; hypertension artérielle non contrôlée ; cardiopathie structurelle sévère ; hypertrophie ventriculaire gauche ; valvulopathie ; trouble psychiatrique sévère non stabilisé (psychose, manie) ; grossesse (à éviter par prudence) ; allaitement ; enfant &lt; 6 ans (tolérance non établie).</w:t>
      </w:r>
    </w:p>
    <w:p>
      <w:pPr>
        <w:pStyle w:val="ListBullet"/>
      </w:pPr>
      <w:r>
        <w:t xml:space="preserve">Effets indésirables : céphalées (20-30 %), nausées (10-15 %), nervosité/anxiété (5-10 %), insomnie (en cas de prise vespérale), sécheresse buccale, rhinite, diarrhée, dyspepsie, dorsalgie ; </w:t>
      </w:r>
      <w:r>
        <w:rPr>
          <w:b/>
        </w:rPr>
        <w:t>réactions cutanées sévères (Stevens-Johnson, DRESS, nécrolyse épidermique toxique — rares &lt; 1/10 000 mais potentiellement mortelles, imposant arrêt immédiat et définitif)</w:t>
      </w:r>
      <w:r>
        <w:t xml:space="preserve"> ; augmentation modeste de la TA et de la FC ; exceptionnellement : idées délirantes, hallucinations, hypomanie/mania (patients prédisposés) ; exceptionnellement : élévation des transaminases.</w:t>
      </w:r>
    </w:p>
    <w:p>
      <w:r/>
      <w:r>
        <w:rPr>
          <w:b/>
        </w:rPr>
        <w:t>Prévention et Gestion des Effets Indésirables :</w:t>
      </w:r>
      <w:r/>
    </w:p>
    <w:p>
      <w:pPr>
        <w:pStyle w:val="ListBullet"/>
      </w:pPr>
      <w:r>
        <w:t>Mesures préventives : bilan cardiovasculaire pré-thérapeutique (TA, FC, ECG si antécédents) ; information du patient sur les signes d'alerte cutanée (éruption cutanée étendue, fièvre, ulcerations buccales, atteinte muqueuse — arrêt immédiat et consultation urgente) ; prise matinale (avant 10 h) pour éviter l'insomnie ; surveillance de la TA et de la FC à l'initiation puis tous les 3-6 mois ; contraception efficace chez la femme en âge de procréer (baisse d'efficacité des contraceptifs oraux par induction enzymatique CYP3A4).</w:t>
      </w:r>
    </w:p>
    <w:p>
      <w:pPr>
        <w:pStyle w:val="ListBullet"/>
      </w:pPr>
      <w:r>
        <w:t>Conduite à tenir : arrêt immédiat et définitif en cas de réaction cutanée (ne pas reprendre — CI définitive) ; arrêt en cas de troubles psychotiques, d'idéation suicidaire, d'hypertension non contrôlée ; adaptation posologique en cas de céphalées persistantes (diminution de dose).</w:t>
      </w:r>
    </w:p>
    <w:p>
      <w:r/>
      <w:r>
        <w:rPr>
          <w:b/>
        </w:rPr>
        <w:t>Interactions Importantes :</w:t>
      </w:r>
      <w:r/>
    </w:p>
    <w:p>
      <w:pPr>
        <w:pStyle w:val="ListBullet"/>
      </w:pPr>
      <w:r>
        <w:t xml:space="preserve">Modafinil + contraceptifs oraux (œstrogènes, progestatifs) : </w:t>
      </w:r>
      <w:r>
        <w:rPr>
          <w:b/>
        </w:rPr>
        <w:t>baisse d'efficacité contraceptive</w:t>
      </w:r>
      <w:r>
        <w:t xml:space="preserve"> par induction du CYP3A4 — utiliser une méthode barrière additionnelle pendant le traitement et 2 mois après l'arrêt.</w:t>
      </w:r>
    </w:p>
    <w:p>
      <w:pPr>
        <w:pStyle w:val="ListBullet"/>
      </w:pPr>
      <w:r>
        <w:t>Modafinil + warfarine/acénocoumarol : modification de l'INR (surveillance INR, adaptation posologique).</w:t>
      </w:r>
    </w:p>
    <w:p>
      <w:pPr>
        <w:pStyle w:val="ListBullet"/>
      </w:pPr>
      <w:r>
        <w:t>Modafinil + ciclosporine : baisse des taux de ciclosporine (adaptation posologique).</w:t>
      </w:r>
    </w:p>
    <w:p>
      <w:pPr>
        <w:pStyle w:val="ListBullet"/>
      </w:pPr>
      <w:r>
        <w:t>Modafinil + oméprazole/IBP : inhibition du CYP2C19, augmentation des taux d'oméprazole (surveillance EI).</w:t>
      </w:r>
    </w:p>
    <w:p>
      <w:pPr>
        <w:pStyle w:val="ListBullet"/>
      </w:pPr>
      <w:r>
        <w:t>Modafinil + IMAO : à éviter par prudence (potentialisation adrénergique).</w:t>
      </w:r>
    </w:p>
    <w:p>
      <w:pPr>
        <w:pStyle w:val="ListBullet"/>
      </w:pPr>
      <w:r>
        <w:t>Modafinil + alcool : potentialisation neurocomportementale possible (effet masquant sur l'ivresse).</w:t>
      </w:r>
    </w:p>
    <w:p>
      <w:r/>
      <w:r>
        <w:rPr>
          <w:b/>
        </w:rPr>
        <w:t>Grossesse et Allaitement :</w:t>
      </w:r>
      <w:r/>
    </w:p>
    <w:p>
      <w:pPr>
        <w:pStyle w:val="ListBullet"/>
      </w:pPr>
      <w:r>
        <w:t>Grossesse : données animales évocatrices d'un risque tératogène (fentes palatines) à doses très supraphysiologiques ; données humaines limitées et non concluant à un sur-risque. CRAT conclut à un risque tératogène non écarté par défaut de données suffisantes — à éviter par prudence chez la femme enceinte ou souhaitant concevoir ; relais par thérapie non pharmacologique (mesures d'hygiène du sommeil).</w:t>
      </w:r>
    </w:p>
    <w:p>
      <w:pPr>
        <w:pStyle w:val="ListBullet"/>
      </w:pPr>
      <w:r>
        <w:t>Allaitement : passage dans le lait maternel démontré chez l'animal (données humaines non disponibles) ; à éviter par prudence.</w:t>
      </w:r>
    </w:p>
    <w:p>
      <w:pPr>
        <w:pStyle w:val="ListBullet"/>
      </w:pPr>
      <w:r>
        <w:t>Précisions : évaluation bénéfice/risque individualisée par spécialiste du sommeil.</w:t>
      </w:r>
    </w:p>
    <w:p>
      <w:r/>
      <w:r>
        <w:rPr>
          <w:b/>
        </w:rPr>
        <w:t>Posologie et Mode d'administration (Standard) :</w:t>
      </w:r>
      <w:r/>
    </w:p>
    <w:p>
      <w:pPr>
        <w:pStyle w:val="ListBullet"/>
      </w:pPr>
      <w:r>
        <w:t>Adulte : 200 mg/jour en une prise matinale (avant 10 h) ; dose d'initiation 100 mg/jour pendant 4-7 jours pour évaluer la tolérance ; augmentation à 200 mg/jour en une prise (dose usuelle) ; jusqu'à 400 mg/jour en deux prises (matin et midi) en cas de réponse insuffisante (efficacité supérieure non démontrée au-delà de 200 mg selon la littérature).</w:t>
      </w:r>
    </w:p>
    <w:p>
      <w:pPr>
        <w:pStyle w:val="ListBullet"/>
      </w:pPr>
      <w:r>
        <w:t>Sujet âgé : prudence (clairance réduite, comorbidités cardiovasculaires) ; initiation 100 mg/jour, titration prudente.</w:t>
      </w:r>
    </w:p>
    <w:p>
      <w:pPr>
        <w:pStyle w:val="ListBullet"/>
      </w:pPr>
      <w:r>
        <w:t>Insuffisant hépatique sévère : réduction posologique de moitié.</w:t>
      </w:r>
    </w:p>
    <w:p>
      <w:pPr>
        <w:pStyle w:val="ListBullet"/>
      </w:pPr>
      <w:r>
        <w:t>Insuffisant rénal sévère : surveillance accrue (métabolites actifs accumulés).</w:t>
      </w:r>
    </w:p>
    <w:p>
      <w:pPr>
        <w:pStyle w:val="ListBullet"/>
      </w:pPr>
      <w:r>
        <w:t>Durée : traitement au long cours de la narcolepsie ; réévaluation annuelle de la pertinence ; pas de problème de tolérance significative (efficacité maintenue à long terme).</w:t>
      </w:r>
    </w:p>
    <w:p>
      <w:pPr>
        <w:pStyle w:val="ListBullet"/>
      </w:pPr>
      <w:r>
        <w:t>Moment de la prise : monoprise matinale avant 10 h ; en cas d'insomnie résiduelle, avancer la prise à 7-8 h.</w:t>
      </w:r>
    </w:p>
    <w:p>
      <w:r/>
      <w:r>
        <w:rPr>
          <w:b/>
        </w:rPr>
        <w:t>Arbitrage et Bénéfices des Formes Galéniques :</w:t>
      </w:r>
      <w:r/>
    </w:p>
    <w:p>
      <w:r>
        <w:t>Les comprimés 100 mg (VIGINIL, PRO-EVEIL) permettent une titration fine (100 → 200 mg par paliers) et une adaptation posologique pondérale et individuelle. Pas de forme LP (la demi-vie longue 12-15 h autorise déjà une monoprise) ni de forme liquide. À l'international, le modafinil existe en comprimés 100 et 200 mg (Modiodal® en France, Provigil® aux États-Unis) ; l'armodafinil (Nuvigil®, énantiomère R-actif) existe en comprimés 50/150/200/250 mg et offre une demi-vie plus longue (15 h) et une plus grande sélectivité — non disponible en Algérie. La diversification des galéniques ne semble pas nécessaire en Algérie où les comprimés à 100 mg couvrent l'ensemble des besoins cliniques.</w:t>
      </w:r>
    </w:p>
    <w:p>
      <w:r/>
      <w:r>
        <w:rPr>
          <w:b/>
        </w:rPr>
        <w:t>Instructions et Conseils au Patient :</w:t>
      </w:r>
      <w:r/>
    </w:p>
    <w:p>
      <w:pPr>
        <w:pStyle w:val="ListBullet"/>
      </w:pPr>
      <w:r>
        <w:t>Communication au comptoir : expliquer l'effet promoteur d'éveil sans les effets sympathomimétiques des amphétamines ; prise matinale stricte (avant 10 h) pour éviter l'insomnie ; signes d'alerte cutanée (éruption, fièvre, ulcerations muqueuses — arrêt immédiat et consultation urgente) ; baisse d'efficacité des contraceptifs oraux (méthode barrière additionnelle) ; surveillance TA/FC ; pas d'usage détourné comme « smart drug » (risques cardiovasculaires, psychiatriques, tolérance).</w:t>
      </w:r>
    </w:p>
    <w:p>
      <w:pPr>
        <w:pStyle w:val="ListBullet"/>
      </w:pPr>
      <w:r>
        <w:t>Mode d'utilisation pratique : comprimé à avaler entier avec un grand verre d'eau au matin (avant 10 h) ; oubli : ne pas doubler la dose, ne pas prendre la dose oubliée en fin de journée (risque d'insomnie) ; conservation à température ambiante &lt; 25 °C.</w:t>
      </w:r>
    </w:p>
    <w:p>
      <w:r/>
      <w:r>
        <w:rPr>
          <w:b/>
        </w:rPr>
        <w:t>Notes, Règles d'Or &amp; Pièges au Comptoir :</w:t>
      </w:r>
      <w:r/>
    </w:p>
    <w:p>
      <w:pPr>
        <w:pStyle w:val="ListBullet"/>
      </w:pPr>
      <w:r>
        <w:t>Piège classique : la baisse d'efficacité des contraceptifs oraux est souvent méconnue du patient et du prescripteur non spécialiste — information systématique à la femme en âge de procréer. La survenue d'une réaction cutanée impose un arrêt définitif (CI absolue et permanente). L'usage détourné comme « smart drug » (notamment par étudiants) doit être dépisté à la pharmacie (prescription par médecin non spécialiste du sommeil, demandes répétées, dosage double) — refus de dispensation si suspicion légitime.</w:t>
      </w:r>
    </w:p>
    <w:p>
      <w:pPr>
        <w:pStyle w:val="ListBullet"/>
      </w:pPr>
      <w:r>
        <w:t>Règle de prise : monoprise matinale stricte (avant 10 h).</w:t>
      </w:r>
    </w:p>
    <w:p>
      <w:pPr>
        <w:pStyle w:val="ListBullet"/>
      </w:pPr>
      <w:r>
        <w:t>Préparation et conservation : comprimés à conserver à température ambiante &lt; 25 °C, à l'abri de l'humidité ; pas de préparation magistrale spécifique.</w:t>
      </w:r>
    </w:p>
    <w:p>
      <w:pPr>
        <w:pStyle w:val="ListBullet"/>
      </w:pPr>
      <w:r>
        <w:t>Piège du surdosage / Substitution : surdosage aigu = syndrome sympathomimétique modéré (tachycardie, HTA, agitation, insomnie, tremblements, confusion) — prise en charge symptomatique en réanimation, benzodiazépines IV (lorazépam 2 mg) pour agitation, surveillance ECG, refroidissement actif si hyperthermie. Pas d'antidote spécifique. En cas de substitution méthylphénidate → modafinil (contexte international — pas en Algérie où le MPH n'est pas disponible), wash-out 24-48 h puis initiation modafinil à dose standard. En Algérie, le modafinil est le seul promoteur de l'éveil disponible — pas d'alternative pharmacologique directe (alternative : mesures d'hygiène du sommeil, PPC pour apnée du sommeil, sodium oxybate non disponible).</w:t>
      </w:r>
    </w:p>
    <w:p>
      <w:pPr>
        <w:pStyle w:val="Heading2"/>
      </w:pPr>
      <w:r>
        <w:t>SOUS-CLASSE 4 — ANTIDÉMENCES : INHIBITEURS DE L'ACÉTYLCHOLINESTÉRASE (IChE)</w:t>
      </w:r>
    </w:p>
    <w:p>
      <w:r>
        <w:t>La maladie d'Alzheimer (MA) est la démence la plus fréquente (60-70 % des démences), caractérisée par une dégénérescence neuronale progressive touchant initialement les voies cholinergiques du cortex cérébral et de l'hippocampe (déficit en acétylcholine — ACh) puis, secondairement, par l'accumulation extracellulaire de plaques amyloïdes (Aβ) et intraneuronale de dégénérescences neurofibrillaires (tau hyperphosphorylé). Les inhibiteurs de l'acétylcholinestérase (IChE) — donépézil, rivastigmine, galantamine — augmentent les taux synaptiques d'ACh en inhibant son catabolisme enzymatique. Ils offrent un bénéfice symptomatique modeste mais significatif (amélioration du MMS de 1-3 points, ralentissement du déclin fonctionnel pendant 6-12 mois) sans modifier l'évolution neurodégénérative sous-jacente. Le donépézil, dont la longue demi-vie (70 h) autorise une monoprise quotidienne, est le plus prescrit. La rivastigmine, originale par son double mode d'action (AChE + butyrylcholinestérase) et sa disponibilité en patch transdermique, est particulièrement utile en cas d'intolérance digestive aux IChE oraux. La galantamine n'est pas disponible en Algérie. La tolérance globale des IChE est dominée par les effets cholinergiques périphériques (digestifs : nausées, vomissements, diarrhée ; cardiovasculaires : bradycardie, troubles de conduction ; respiratoires : bronchospasme) — justifiant une initiation progressive par paliers (titration sur 4-12 semaines) et une surveillance cardiovasculaire et digestive.</w:t>
      </w:r>
    </w:p>
    <w:p>
      <w:pPr>
        <w:pStyle w:val="Heading3"/>
      </w:pPr>
      <w:r>
        <w:t>4. DCI : Donépézil (Seule)</w:t>
      </w:r>
    </w:p>
    <w:p>
      <w:r/>
      <w:r>
        <w:rPr>
          <w:b/>
        </w:rPr>
        <w:t>Liste des Catégories :</w:t>
      </w:r>
      <w:r>
        <w:t xml:space="preserve"> Antidémence ; inhibiteur réversible de l'acétylcholinestérase (IChE) ; indiqué dans la maladie d'Alzheimer légère à modérée (et sévère en Europe) ; Liste I.</w:t>
      </w:r>
    </w:p>
    <w:p>
      <w:r>
        <w:t xml:space="preserve">Le donépézil (E2020, Eisai — co-développé avec Pfizer, Aricept®) a été approuvé par la FDA en 1996 et en Europe en 1997 comme premier IChE de la maladie d'Alzheimer. Sa spécificité pharmacologique repose sur une inhibition réversible et hautement sélective de l'AChE (Ki ≈ 5-10 nM) sans action significative sur la butyrylcholinestérase (BuChE) — d'où une meilleure tolérance digestive que la rivastigmine qui inhibe les deux enzymes. Sa très longue demi-vie d'élimination (70 heures) autorise une monoprise quotidienne sans pic de concentration excessif (réduction des EI cholinergiques périphériques). Son profil d'efficacité est bien établi : amélioration cognitive (MMS, ADAS-cog) significative versus placebo à 6 mois, maintien du bénéfice à 12 mois, effet probable sur la dépendance fonctionnelle et sur les troubles du comportement (agitabilité, hallucinations — effet moindre que pour la mémantine en association). Le donépézil est le seul IChE ayant une AMM européenne dans la maladie d'Alzheimer </w:t>
      </w:r>
      <w:r>
        <w:rPr>
          <w:b/>
        </w:rPr>
        <w:t>sévère</w:t>
      </w:r>
      <w:r>
        <w:t xml:space="preserve"> (depuis 2005). Sa tolérance cardiovasculaire impose une surveillance ECG (bradycardie, BAV — effet cholinergique sur le nœud sinusal et la conduction AV). En Algérie, le donépézil est largement disponible sous 6 marques actives (ARIDONE HUP, DEMENTILE, DONCEPT, DONEPEZIL BEKER, DOPEZIL, SYNOSIA) en comprimés pelliculés 5 et 10 mg, plus 3 marques d'orodispersibles (DONEPEDEX, DORICEPT, KYNCEPT) — alternatives utiles en cas de troubles de déglutition (fréquents en MA sévère).</w:t>
      </w:r>
    </w:p>
    <w:p>
      <w:r/>
      <w:r>
        <w:rPr>
          <w:b/>
        </w:rPr>
        <w:t>Médicaments disponibles en Algérie (Marques, Laboratoires, Formes et Dosages) :</w:t>
      </w:r>
      <w:r/>
    </w:p>
    <w:p>
      <w:pPr>
        <w:pStyle w:val="ListBullet"/>
      </w:pPr>
      <w:r/>
      <w:r>
        <w:rPr>
          <w:b/>
        </w:rPr>
        <w:t>ARIDONE HUP</w:t>
      </w:r>
      <w:r>
        <w:t xml:space="preserve"> (HUPP PHARMA)</w:t>
      </w:r>
    </w:p>
    <w:p>
      <w:pPr>
        <w:pStyle w:val="ListBullet"/>
      </w:pPr>
      <w:r>
        <w:t>Formes et Dosages : Comprimé pelliculé 5 mg (B/28) ; Comprimé pelliculé sécable 10 mg (B/28).</w:t>
      </w:r>
    </w:p>
    <w:p>
      <w:pPr>
        <w:pStyle w:val="ListBullet"/>
      </w:pPr>
      <w:r>
        <w:t>Statut : Actif.</w:t>
      </w:r>
    </w:p>
    <w:p>
      <w:pPr>
        <w:pStyle w:val="ListBullet"/>
      </w:pPr>
      <w:r/>
      <w:r>
        <w:rPr>
          <w:b/>
        </w:rPr>
        <w:t>DEMENTILE</w:t>
      </w:r>
      <w:r>
        <w:t xml:space="preserve"> (TABUK ALGERIE)</w:t>
      </w:r>
    </w:p>
    <w:p>
      <w:pPr>
        <w:pStyle w:val="ListBullet"/>
      </w:pPr>
      <w:r>
        <w:t>Formes et Dosages : Comprimé pelliculé 5 mg (B/30) ; 10 mg (B/30).</w:t>
      </w:r>
    </w:p>
    <w:p>
      <w:pPr>
        <w:pStyle w:val="ListBullet"/>
      </w:pPr>
      <w:r>
        <w:t>Statut : Actif.</w:t>
      </w:r>
    </w:p>
    <w:p>
      <w:pPr>
        <w:pStyle w:val="ListBullet"/>
      </w:pPr>
      <w:r/>
      <w:r>
        <w:rPr>
          <w:b/>
        </w:rPr>
        <w:t>DONCEPT</w:t>
      </w:r>
      <w:r>
        <w:t xml:space="preserve"> (HIKMA PHARMA ALGERIA)</w:t>
      </w:r>
    </w:p>
    <w:p>
      <w:pPr>
        <w:pStyle w:val="ListBullet"/>
      </w:pPr>
      <w:r>
        <w:t>Formes et Dosages : Comprimé pelliculé 5 mg (B/30) ; 10 mg (B/30).</w:t>
      </w:r>
    </w:p>
    <w:p>
      <w:pPr>
        <w:pStyle w:val="ListBullet"/>
      </w:pPr>
      <w:r>
        <w:t>Statut : Actif.</w:t>
      </w:r>
    </w:p>
    <w:p>
      <w:pPr>
        <w:pStyle w:val="ListBullet"/>
      </w:pPr>
      <w:r/>
      <w:r>
        <w:rPr>
          <w:b/>
        </w:rPr>
        <w:t>DONEPEZIL BEKER</w:t>
      </w:r>
      <w:r>
        <w:t xml:space="preserve"> (LABORATOIRES BEKER)</w:t>
      </w:r>
    </w:p>
    <w:p>
      <w:pPr>
        <w:pStyle w:val="ListBullet"/>
      </w:pPr>
      <w:r>
        <w:t>Formes et Dosages : Comprimé pelliculé 5 mg (B/30) ; 10 mg (B/30).</w:t>
      </w:r>
    </w:p>
    <w:p>
      <w:pPr>
        <w:pStyle w:val="ListBullet"/>
      </w:pPr>
      <w:r>
        <w:t>Statut : Actif.</w:t>
      </w:r>
    </w:p>
    <w:p>
      <w:pPr>
        <w:pStyle w:val="ListBullet"/>
      </w:pPr>
      <w:r/>
      <w:r>
        <w:rPr>
          <w:b/>
        </w:rPr>
        <w:t>DOPEZIL</w:t>
      </w:r>
      <w:r>
        <w:t xml:space="preserve"> (INPHA-MEDIS)</w:t>
      </w:r>
    </w:p>
    <w:p>
      <w:pPr>
        <w:pStyle w:val="ListBullet"/>
      </w:pPr>
      <w:r>
        <w:t>Formes et Dosages : Comprimé pelliculé 5 mg (B/30) ; 10 mg (B/30 — DOPEZIL 10MG).</w:t>
      </w:r>
    </w:p>
    <w:p>
      <w:pPr>
        <w:pStyle w:val="ListBullet"/>
      </w:pPr>
      <w:r>
        <w:t>Statut : Actif.</w:t>
      </w:r>
    </w:p>
    <w:p>
      <w:pPr>
        <w:pStyle w:val="ListBullet"/>
      </w:pPr>
      <w:r/>
      <w:r>
        <w:rPr>
          <w:b/>
        </w:rPr>
        <w:t>SYNOSIA</w:t>
      </w:r>
      <w:r>
        <w:t xml:space="preserve"> (BIOPHARM)</w:t>
      </w:r>
    </w:p>
    <w:p>
      <w:pPr>
        <w:pStyle w:val="ListBullet"/>
      </w:pPr>
      <w:r>
        <w:t>Formes et Dosages : Comprimé pelliculé 5 mg (B/30) ; 10 mg (B/30).</w:t>
      </w:r>
    </w:p>
    <w:p>
      <w:pPr>
        <w:pStyle w:val="ListBullet"/>
      </w:pPr>
      <w:r>
        <w:t>Statut : Actif.</w:t>
      </w:r>
    </w:p>
    <w:p>
      <w:pPr>
        <w:pStyle w:val="ListBullet"/>
      </w:pPr>
      <w:r/>
      <w:r>
        <w:rPr>
          <w:b/>
        </w:rPr>
        <w:t>DONEPEDEX</w:t>
      </w:r>
      <w:r>
        <w:t xml:space="preserve"> (CONTINENTAL PHARM)</w:t>
      </w:r>
    </w:p>
    <w:p>
      <w:pPr>
        <w:pStyle w:val="ListBullet"/>
      </w:pPr>
      <w:r>
        <w:t>Formes et Dosages : Comprimé orodispersible 5 mg (B/30) ; 10 mg (B/30).</w:t>
      </w:r>
    </w:p>
    <w:p>
      <w:pPr>
        <w:pStyle w:val="ListBullet"/>
      </w:pPr>
      <w:r>
        <w:t>Statut : Actif.</w:t>
      </w:r>
    </w:p>
    <w:p>
      <w:pPr>
        <w:pStyle w:val="ListBullet"/>
      </w:pPr>
      <w:r/>
      <w:r>
        <w:rPr>
          <w:b/>
        </w:rPr>
        <w:t>DORICEPT</w:t>
      </w:r>
      <w:r>
        <w:t xml:space="preserve"> (PHARMALLIANCE)</w:t>
      </w:r>
    </w:p>
    <w:p>
      <w:pPr>
        <w:pStyle w:val="ListBullet"/>
      </w:pPr>
      <w:r>
        <w:t>Formes et Dosages : Comprimé orodispersible 5 mg (B/30) ; 10 mg (B/30).</w:t>
      </w:r>
    </w:p>
    <w:p>
      <w:pPr>
        <w:pStyle w:val="ListBullet"/>
      </w:pPr>
      <w:r>
        <w:t>Statut : Actif.</w:t>
      </w:r>
    </w:p>
    <w:p>
      <w:pPr>
        <w:pStyle w:val="ListBullet"/>
      </w:pPr>
      <w:r/>
      <w:r>
        <w:rPr>
          <w:b/>
        </w:rPr>
        <w:t>KYNCEPT</w:t>
      </w:r>
      <w:r>
        <w:t xml:space="preserve"> (EL KENDI INDUSTRIE DU MEDICAMENT)</w:t>
      </w:r>
    </w:p>
    <w:p>
      <w:pPr>
        <w:pStyle w:val="ListBullet"/>
      </w:pPr>
      <w:r>
        <w:t>Formes et Dosages : Comprimé orodispersible 5 mg (B/30) ; 10 mg (B/30).</w:t>
      </w:r>
    </w:p>
    <w:p>
      <w:pPr>
        <w:pStyle w:val="ListBullet"/>
      </w:pPr>
      <w:r>
        <w:t>Statut : Actif.</w:t>
      </w:r>
    </w:p>
    <w:p>
      <w:pPr>
        <w:pStyle w:val="ListBullet"/>
      </w:pPr>
      <w:r/>
      <w:r>
        <w:rPr>
          <w:b/>
        </w:rPr>
        <w:t>Médicaments retirés (R) :</w:t>
      </w:r>
      <w:r/>
    </w:p>
    <w:p>
      <w:pPr>
        <w:pStyle w:val="ListBullet"/>
      </w:pPr>
      <w:r/>
      <w:r>
        <w:rPr>
          <w:b/>
        </w:rPr>
        <w:t>ARICEPT</w:t>
      </w:r>
      <w:r>
        <w:t xml:space="preserve"> (PFIZER SA) — Comprimé pelliculé 5 mg (B/28) et 10 mg (B/28) — Statut : Retiré (R) — retrait commercial de Pfizer du marché algérien suite à la maturation du marché générique.</w:t>
      </w:r>
    </w:p>
    <w:p>
      <w:pPr>
        <w:pStyle w:val="ListBullet"/>
      </w:pPr>
      <w:r/>
      <w:r>
        <w:rPr>
          <w:b/>
        </w:rPr>
        <w:t>DOZYL</w:t>
      </w:r>
      <w:r>
        <w:t xml:space="preserve"> (ABDI IBRAHIM) — Comprimé pelliculé 5 mg (B/28) — Statut : Retiré (R).</w:t>
      </w:r>
    </w:p>
    <w:p>
      <w:pPr>
        <w:pStyle w:val="ListBullet"/>
      </w:pPr>
      <w:r/>
      <w:r>
        <w:rPr>
          <w:b/>
        </w:rPr>
        <w:t>CERVEX</w:t>
      </w:r>
      <w:r>
        <w:t xml:space="preserve"> (BIOVITAL) — Comprimé 5 mg (B/30) — Statut : Retiré (R).</w:t>
      </w:r>
    </w:p>
    <w:p>
      <w:pPr>
        <w:pStyle w:val="ListBullet"/>
      </w:pPr>
      <w:r/>
      <w:r>
        <w:rPr>
          <w:b/>
        </w:rPr>
        <w:t>DOZYCEPT</w:t>
      </w:r>
      <w:r>
        <w:t xml:space="preserve"> (ABDI IBRAHIM) — Comprimé pelliculé 10 mg (B/28) — Statut : Retiré (R).</w:t>
      </w:r>
    </w:p>
    <w:p>
      <w:r>
        <w:t>La maturité du marché générique algérien du donépézil est excellente : 9 marques actives (6 formes orales solides + 3 orodispersibles) couvrent l'ensemble des besoins cliniques. Le retrait du princeps ARICEPT (Pfizer) et de plusieurs génériques traduit une consolidation du marché autour des producteurs locaux (El Kendi, Hikma, Biopharm, Beker, Tabuk, Hupp Pharma, Inpha-Medis, Continental Pharm, Pharmalliance).</w:t>
      </w:r>
    </w:p>
    <w:p>
      <w:r/>
      <w:r>
        <w:rPr>
          <w:b/>
        </w:rPr>
        <w:t>Sous-classe et Mécanisme d'action :</w:t>
      </w:r>
      <w:r/>
    </w:p>
    <w:p>
      <w:pPr>
        <w:pStyle w:val="ListBullet"/>
      </w:pPr>
      <w:r>
        <w:t>Sous-classe : Antidémence, inhibiteur réversible et sélectif de l'acétylcholinestérase (AChE), pipéridinique.</w:t>
      </w:r>
    </w:p>
    <w:p>
      <w:pPr>
        <w:pStyle w:val="ListBullet"/>
      </w:pPr>
      <w:r>
        <w:t>Mécanisme d'action : inhibition réversible et hautement sélective de l'AChE (Ki ≈ 5-10 nM — affinité environ 1000× supérieure pour AChE vs BuChE), enzyme responsable du catabolisme de l'acétylcholine (ACh) au niveau de la fente synaptique cholinergique. L'inhibition de l'AChE augmente les concentrations synaptiques d'ACh, restaurant partiellement le déficit cholinergique cérébral caractéristique de la maladie d'Alzheimer (dégénérescence des neurones cholinergiques du noyau basal de Meynert → cortex et hippocampe). L'effet thérapeutique est purement symptomatique (pas d'action sur la physiopathologie amyloïde ou tau) et modeste (amélioration du MMS de 1-3 points, ralentissement du déclin cognitif et fonctionnel pendant 6-12 mois). Affinité faible pour d'autres enzymes et récepteurs (pas d'action significative sur BuChE, monoamine oxydase, récepteurs muscariniques ou nicotiniques).</w:t>
      </w:r>
    </w:p>
    <w:p>
      <w:pPr>
        <w:pStyle w:val="ListBullet"/>
      </w:pPr>
      <w:r>
        <w:t>Pharmacocinétique : absorption orale presque complète (biodisponibilité ≈ 100 %), non modifiée par la prise alimentaire ; liaison protéique ≈ 75 % ; métabolisme hépatique par CYP2D6 et CYP3A4 (métabolite 6-O-desméthyldonépézil actif mais moins puissant) ; élimination rénale (60 %) et fécale (30 %) ; demi-vie d'élimination très longue (70 h — autorise une monoprise quotidienne), état d'équilibre atteint en 14-21 jours.</w:t>
      </w:r>
    </w:p>
    <w:p>
      <w:r/>
      <w:r>
        <w:rPr>
          <w:b/>
        </w:rPr>
        <w:t>Profil Pharmacologique :</w:t>
      </w:r>
      <w:r/>
    </w:p>
    <w:p>
      <w:pPr>
        <w:pStyle w:val="ListBullet"/>
      </w:pPr>
      <w:r>
        <w:t>Indications : maladie d'Alzheimer légère à modérée (indication initiale) ; maladie d'Alzheimer sévère (extension d'AMM Europe 2005 — seul IChE dans cette indication) ; démence vasculaire (hors AMM Europe, AMM dans d'autres pays) ; démence à corps de Lewy et maladie de Parkinson avec démence (hors AMM en France, AMM dans d'autres pays — efficacité supérieure à placebo sur les fluctuations cognitives et les hallucinations).</w:t>
      </w:r>
    </w:p>
    <w:p>
      <w:pPr>
        <w:pStyle w:val="ListBullet"/>
      </w:pPr>
      <w:r>
        <w:t>Contre-indications : hypersensibilité ; glaucome à angle fermé non contrôlé (risque de crise par effet cholinergique sur l'iris et le corps ciliaire) ; rétention urinaire (effet cholinergique sur le détrusor) ; bradycardie sévère (&lt; 50 bpm) ; bloc auriculo-ventriculaire (BAV) non appareillé ; asthme sévère ou bronchospasme actif (effet cholinergique bronchoconstricteur) ; grossesse (à éviter par prudence — données animales évocatrices de tératogénicité) ; allaitement.</w:t>
      </w:r>
    </w:p>
    <w:p>
      <w:pPr>
        <w:pStyle w:val="ListBullet"/>
      </w:pPr>
      <w:r>
        <w:t>Effets indésirables : digestifs cholinergiques (nausées 10-20 %, vomissements 5-10 %, diarrhée 10-15 %, anorexie, crampes abdominales — liés à l'activation des récepteurs muscariniques M3 entériques) ; cardiovasculaires (bradycardie sinusale, hypotension, allongement PR, troubles de conduction AV, exceptionnellement BAV — effet cholinergique sur le nœud sinusal et le tissu nodal) ; neurologiques (insomnie, rêves vivaces, cauchemars — liés à l'activation cholinergique corticale pendant le sommeil paradoxal, d'où la recommandation de prise matinale) ; musculaires (crampes, fasciculations) ; respiratoires (bronchospasme chez l'asthmatique) ; urinaires (mictions impérieuses, rarement rétention) ; cutanés (rash, prurit) ; syndrome cholinergique aigu en cas de surdosage (salivation, larmoiement, myosis, bronchorrhée, bradycardie, hypotension, convulsions, coma — atropine IV comme antidote).</w:t>
      </w:r>
    </w:p>
    <w:p>
      <w:r/>
      <w:r>
        <w:rPr>
          <w:b/>
        </w:rPr>
        <w:t>Prévention et Gestion des Effets Indésirables :</w:t>
      </w:r>
      <w:r/>
    </w:p>
    <w:p>
      <w:pPr>
        <w:pStyle w:val="ListBullet"/>
      </w:pPr>
      <w:r>
        <w:t>Mesures préventives : initiation à dose faible (5 mg/jour pendant 4-6 semaines) puis augmentation à 10 mg/jour en une prise (titration progressive pour réduire l'incidence et la sévérité des EI digestifs et cardiovasculaires initiaux) ; prise matinale (réduit l'insomnie et les cauchemars) ; prise au cours du repas (réduit les EI digestifs) ; ECG pré-thérapeutique systématique (dépistage BAV, bradycardie) ; surveillance TA et FC à l'initiation puis tous les 3-6 mois ; surveillance du poids (anorexie chez le sujet âgé dénutri) ; information de l'aidant sur les signes d'alerte digestive (vomissements &gt; 24 h, diarrhée &gt; 48 h — risque de déshydratation du sujet âgé) et cardiaque (syncope, palpitations, dyspnée — consultation urgente).</w:t>
      </w:r>
    </w:p>
    <w:p>
      <w:pPr>
        <w:pStyle w:val="ListBullet"/>
      </w:pPr>
      <w:r>
        <w:t>Conduite à tenir : retour à 5 mg/jour en cas d'intolérance à 10 mg (éventuelle ré-augmentation ultérieure plus lente après 4-6 semaines) ; arrêt temporaire en cas de diarrhée sévère (réhydratation, antiémétiques/antidiarrhéiques avec prudence — pas d'atropinique systématique qui antagoniserait l'effet thérapeutique central) ; arrêt définitif en cas de bradycardie symptomatique, de BAV de haut grade, de syncope inexpliquée, d'épilepsie nouvellement diagnostiquée (les IChE abaissent le seuil épileptogène), d'ulcère gastro-duodénal actif (saignement — effet cholinergique sur sécrétion acide).</w:t>
      </w:r>
    </w:p>
    <w:p>
      <w:r/>
      <w:r>
        <w:rPr>
          <w:b/>
        </w:rPr>
        <w:t>Interactions Importantes :</w:t>
      </w:r>
      <w:r/>
    </w:p>
    <w:p>
      <w:pPr>
        <w:pStyle w:val="ListBullet"/>
      </w:pPr>
      <w:r>
        <w:t xml:space="preserve">Donépézil + bêtabloquants (aténolol, métoprolol, bisoprolol) : </w:t>
      </w:r>
      <w:r>
        <w:rPr>
          <w:b/>
        </w:rPr>
        <w:t>bradycardie additive</w:t>
      </w:r>
      <w:r>
        <w:t xml:space="preserve"> — surveillance ECG et FC.</w:t>
      </w:r>
    </w:p>
    <w:p>
      <w:pPr>
        <w:pStyle w:val="ListBullet"/>
      </w:pPr>
      <w:r>
        <w:t>Donépézil + inhibiteurs calciques non dihydropyridiniques (vérapamil, diltiazem) : bradycardie additive, BAV — surveillance ECG.</w:t>
      </w:r>
    </w:p>
    <w:p>
      <w:pPr>
        <w:pStyle w:val="ListBullet"/>
      </w:pPr>
      <w:r>
        <w:t>Donépézil + digoxine : bradycardie additive, mais aussi augmentation des concentrations de digoxine (CYP3A4 — surveillance ECG et dosage digoxinémie).</w:t>
      </w:r>
    </w:p>
    <w:p>
      <w:pPr>
        <w:pStyle w:val="ListBullet"/>
      </w:pPr>
      <w:r>
        <w:t>Donépézil + anticholinergiques (oxybutynine, solifénacine, tolitérodine, atropine, trihexyphénidyle) : antagonisme pharmacodynamique complet — baisse d'efficacité du donépézil (et inversement).</w:t>
      </w:r>
    </w:p>
    <w:p>
      <w:pPr>
        <w:pStyle w:val="ListBullet"/>
      </w:pPr>
      <w:r>
        <w:t>Donépézil + succinylcholine (anesthésie) : prolongation du bloc neuromusculaire (prévenir l'anesthésiste).</w:t>
      </w:r>
    </w:p>
    <w:p>
      <w:pPr>
        <w:pStyle w:val="ListBullet"/>
      </w:pPr>
      <w:r>
        <w:t>Donépézil + AINS/anticoagulants : risque augmenté de saignement digestif (effet cholinergique sur sécrétion acide, potentialisation).</w:t>
      </w:r>
    </w:p>
    <w:p>
      <w:pPr>
        <w:pStyle w:val="ListBullet"/>
      </w:pPr>
      <w:r>
        <w:t>Donépézil + inhibiteurs CYP2D6 (paroxétine, fluoxétine) ou CYP3A4 (kétoconazole, itraconazole, clarithromycine, ritonavir) : augmentation des taux de donépézil (surveillance EI).</w:t>
      </w:r>
    </w:p>
    <w:p>
      <w:pPr>
        <w:pStyle w:val="ListBullet"/>
      </w:pPr>
      <w:r>
        <w:t>Donépézil + rifampicine, phénytoïne, carbamazépine, phénobarbital (inducteurs) : baisse des taux de donépézil (efficacité réduite).</w:t>
      </w:r>
    </w:p>
    <w:p>
      <w:r/>
      <w:r>
        <w:rPr>
          <w:b/>
        </w:rPr>
        <w:t>Grossesse et Allaitement :</w:t>
      </w:r>
      <w:r/>
    </w:p>
    <w:p>
      <w:pPr>
        <w:pStyle w:val="ListBullet"/>
      </w:pPr>
      <w:r>
        <w:t>Grossesse : données animales évocatrices de tératogénicité (anomalies squelettiques) à doses supraphysiologiques ; données humaines limitées (utilisation exceptionnelle chez la femme jeune — démence précoce). CRAT conclut à un risque tératogène non écarté — à éviter par prudence chez la femme enceinte ou souhaitant concevoir ; relais par thérapie non pharmacologique (mesures de soutien cognitif, prise en charge environnementale).</w:t>
      </w:r>
    </w:p>
    <w:p>
      <w:pPr>
        <w:pStyle w:val="ListBullet"/>
      </w:pPr>
      <w:r>
        <w:t>Allaitement : passage dans le lait maternel probable (données humaines non disponibles, données animales évocatrices) ; à éviter par prudence.</w:t>
      </w:r>
    </w:p>
    <w:p>
      <w:pPr>
        <w:pStyle w:val="ListBullet"/>
      </w:pPr>
      <w:r>
        <w:t>Précisions : la grossesse chez une patiente atteinte de maladie d'Alzheimer est exceptionnelle (démence précoce génétique — mutation APP, PSEN1, PSEN2) — décision multidisciplinaire spécialisée.</w:t>
      </w:r>
    </w:p>
    <w:p>
      <w:r/>
      <w:r>
        <w:rPr>
          <w:b/>
        </w:rPr>
        <w:t>Posologie et Mode d'administration (Standard) :</w:t>
      </w:r>
      <w:r/>
    </w:p>
    <w:p>
      <w:pPr>
        <w:pStyle w:val="ListBullet"/>
      </w:pPr>
      <w:r>
        <w:t>Adulte (et sujet âgé) : initiation 5 mg/jour en une prise matinale pendant 4-6 semaines ; augmentation à 10 mg/jour en une prise (dose thérapeutique usuelle, dose maximale — la dose de 23 mg existe internationalement mais n'est pas disponible en Algérie).</w:t>
      </w:r>
    </w:p>
    <w:p>
      <w:pPr>
        <w:pStyle w:val="ListBullet"/>
      </w:pPr>
      <w:r>
        <w:t>Insuffisant hépatique modéré à sévère : pas d'adaptation posologique systématique mais surveillance accrue (métabolisme hépatique principal).</w:t>
      </w:r>
    </w:p>
    <w:p>
      <w:pPr>
        <w:pStyle w:val="ListBullet"/>
      </w:pPr>
      <w:r>
        <w:t>Insuffisant rénal : pas d'adaptation posologique (élimination rénale minoritaire en forme active — majoritairement métabolites).</w:t>
      </w:r>
    </w:p>
    <w:p>
      <w:pPr>
        <w:pStyle w:val="ListBullet"/>
      </w:pPr>
      <w:r>
        <w:t>Sujet âgé fragile : initiation possible à 2,5 mg/jour (demi-comprimé 5 mg) en cas de comorbidités multiples ou de polypathologie.</w:t>
      </w:r>
    </w:p>
    <w:p>
      <w:pPr>
        <w:pStyle w:val="ListBullet"/>
      </w:pPr>
      <w:r>
        <w:t>Durée : traitement au long cours ; réévaluation tous les 6 mois de la pertinence de la poursuite (évaluation cognitive — MMS, ADL) ; arrêt à discuter en cas de MMSE &lt; 10 ou de perte d'autonomie totale (efficacité non démontrée aux stades très avancés) ; arrêt progressif (diminution par paliers de 4 semaines pour éviter le rebond cognitif).</w:t>
      </w:r>
    </w:p>
    <w:p>
      <w:pPr>
        <w:pStyle w:val="ListBullet"/>
      </w:pPr>
      <w:r>
        <w:t>Moment de la prise : monoprise matinale (réduit l'insomnie et les cauchemars) ; prise au cours du petit-déjeuner.</w:t>
      </w:r>
    </w:p>
    <w:p>
      <w:r/>
      <w:r>
        <w:rPr>
          <w:b/>
        </w:rPr>
        <w:t>Arbitrage et Bénéfices des Formes Galéniques :</w:t>
      </w:r>
      <w:r/>
    </w:p>
    <w:p>
      <w:r>
        <w:t>Les comprimés pelliculés 5 et 10 mg (6 marques algériennes actives) constituent la forme de référence, à avaler entière avec un grand verre d'eau. Les comprimés orodispersibles 5 et 10 mg (3 marques — DONEPEDEX, DORICEPT, KYNCEPT) sont particulièrement indiqués en cas de troubles de déglutition (fréquents en MA modérée à sévère), de refus du comprimé classique par le patient, ou pour faciliter l'observance par l'aidant (mise en solution rapide dans un verre d'eau ou prise directe sur la langue). Le comprimé sécable (ARIDONE HUP 10 mg) permet une adaptation posologique fine (7,5 mg) ou une initiation prudente à demi-dose chez le sujet âgé fragile. Pas de forme LP (la demi-vie longue 70 h autorise déjà une monoprise) ni de patch transdermique (réservé à la rivastigmine) ni de forme liquide. La diversité des marques assure une disponibilité permanente et une concurrence générique favorable au coût.</w:t>
      </w:r>
    </w:p>
    <w:p>
      <w:r/>
      <w:r>
        <w:rPr>
          <w:b/>
        </w:rPr>
        <w:t>Instructions et Conseils au Patient :</w:t>
      </w:r>
      <w:r/>
    </w:p>
    <w:p>
      <w:pPr>
        <w:pStyle w:val="ListBullet"/>
      </w:pPr>
      <w:r>
        <w:t>Communication au comptoir : expliquer que l'effet n'est pas immédiat (4-12 semaines pour un effet clinique décelable — ne pas arrêter prématurément) ; prise matinale au cours du petit-déjeuner (réduit l'insomnie et les EI digestifs) ; surveillance des EI digestifs (nausées, diarrhée — risque de déshydratation du sujet âgé) et cardiaques (bradycardie, syncope — consulter en urgence si survenue) ; pas d'arrêt brutal (rebond cognitif — diminution par paliers) ; surveillance de l'appétit et du poids chez le sujet âgé dénutri ; information à l'aidant de la nécessité d'une observance stricte et d'un suivi cognitif régulier (MMS tous les 6 mois).</w:t>
      </w:r>
    </w:p>
    <w:p>
      <w:pPr>
        <w:pStyle w:val="ListBullet"/>
      </w:pPr>
      <w:r>
        <w:t>Mode d'utilisation pratique : comprimé pelliculé à avaler entier avec un grand verre d'eau au cours du petit-déjeuner ; comprimé orodispersible à déposer sur la langue (se dissout en quelques secondes sans eau) ou à disperser dans un verre d'eau ; oubli : ne pas doubler la dose, prendre la dose oubliée si elle est éloignée de moins de 12 heures de la prise habituelle, sinon ne pas la prendre ; conservation à température ambiante &lt; 25 °C.</w:t>
      </w:r>
    </w:p>
    <w:p>
      <w:r/>
      <w:r>
        <w:rPr>
          <w:b/>
        </w:rPr>
        <w:t>Notes, Règles d'Or &amp; Pièges au Comptoir :</w:t>
      </w:r>
      <w:r/>
    </w:p>
    <w:p>
      <w:pPr>
        <w:pStyle w:val="ListBullet"/>
      </w:pPr>
      <w:r>
        <w:t>Piège classique : la bradycardie est souvent asymptomatique mais peut se compliquer de syncope (chute du sujet âgé — fracture de hanche) — dépistage systématique par la FC à l'initiation. La diarrhée est souvent attribuée à tort à une cause infectieuse ou alimentaire — l'origine médicamenteuse doit être suspectée chez tout patient sous IChE. Les cauchemars et rêves vivaces sont fréquents et peuvent être soulagés en avançant la prise au lever matinal (déjà en recommandation). L'association avec un bêtabloquant ou un inhibiteur calcique bradycardisant est fréquente chez le sujet âgé polypathologique — surveillance ECG renforcée.</w:t>
      </w:r>
    </w:p>
    <w:p>
      <w:pPr>
        <w:pStyle w:val="ListBullet"/>
      </w:pPr>
      <w:r>
        <w:t>Règle de prise : monoprise matinale au cours du petit-déjeuner ; titration 5 mg pendant 4-6 semaines puis 10 mg.</w:t>
      </w:r>
    </w:p>
    <w:p>
      <w:pPr>
        <w:pStyle w:val="ListBullet"/>
      </w:pPr>
      <w:r>
        <w:t>Préparation et conservation : comprimés à conserver à température ambiante &lt; 25 °C, à l'abri de l'humidité ; pas de préparation magistrale spécifique.</w:t>
      </w:r>
    </w:p>
    <w:p>
      <w:pPr>
        <w:pStyle w:val="ListBullet"/>
      </w:pPr>
      <w:r>
        <w:t>Piège du surdosage / Substitution : surdosage aigu = syndrome cholinergique (salivation, larmoiement, myosis, bronchorrhée, sueurs, bradycardie sévère, hypotension, fasciculations musculaires, convulsions, coma) — prise en charge en réanimation, atropine IV 1-2 mg (antidote des effets muscariniques centraux et périphériques, à répéter jusqu'à obtention d'une FC &gt; 60 bpm), pralidoxime IV (réactivateur de cholinestérase — utile en cas de surdosage massif ou d'insecticide organophosphoré, mais discuté pour les IChE réversibles), ventilation mécanique en cas de détresse respiratoire, fluides IV pour hypotension, diazépam IV pour convulsions. En cas de substitution donépézil → rivastigmine (par intolérance digestive ou pour patch transdermique en cas de troubles de déglutition), wash-out de 7 jours puis initiation rivastigmine à dose pédiatrique (1,5 mg × 2/jour gélule ou 2 mg/jour patch) — pas d'équivalence directe.</w:t>
      </w:r>
    </w:p>
    <w:p>
      <w:pPr>
        <w:pStyle w:val="Heading3"/>
      </w:pPr>
      <w:r>
        <w:t>5. DCI : Rivastigmine (Seule)</w:t>
      </w:r>
    </w:p>
    <w:p>
      <w:r/>
      <w:r>
        <w:rPr>
          <w:b/>
        </w:rPr>
        <w:t>Liste des Catégories :</w:t>
      </w:r>
      <w:r>
        <w:t xml:space="preserve"> Antidémence ; inhibiteur pseudo-irréversible de l'acétylcholinestérase (AChE) et de la butyrylcholinestérase (BuChE) ; indiqué dans la maladie d'Alzheimer légère à modérée et la démence de Parkinson ; Liste I.</w:t>
      </w:r>
    </w:p>
    <w:p>
      <w:r>
        <w:t xml:space="preserve">La rivastigmine (ENA-713, Novartis — Exelon®) a été approuvée par la FDA en 2000 et en Europe en 1998 comme second IChE disponible dans la maladie d'Alzheimer. Sa spécificité pharmacologique majeure réside dans son double mode d'action : (i) inhibition pseudo-irréversible (carbamoylation du site estérasique de l'enzyme — réversion lente par synthèse de novo de l'AChE, ce qui prolonge la durée d'action indépendamment de la demi-vie plasmatique de la molécule) ; (ii) inhibition de l'AChE ET de la butyrylcholinestérase (BuChE) — cette dernière étant exprimée principalement par les cellules gliales et dont la contribution au catabolisme de l'ACh augmente dans la MA à mesure que les neurones cholinergiques dégénèrent (et donc que l'AChE neuronale diminue). Cette double inhibition pourrait expliquer une meilleure efficacité à long terme. La rivastigmine se distingue également par son métabolisme principalement extra-hépatique (estérases plasmatiques — pas d'implication du CYP450), ce qui réduit les interactions médicamenteuses par rapport au donépézil. Sa galénique originale en </w:t>
      </w:r>
      <w:r>
        <w:rPr>
          <w:b/>
        </w:rPr>
        <w:t>patch transdermique</w:t>
      </w:r>
      <w:r>
        <w:t xml:space="preserve"> (Neupro®/Prometax LP® à l'international — non disponible en Algérie sous cette forme) offre une libération continue sur 24 heures avec réduction majeure des EI digestifs (≈ un tiers de l'incidence des nausées et vomissements versus la forme orale). En Algérie, la rivastigmine est disponible sous 3 marques actives (RESTILON El Kendi, RIVASTIG Pharmidal, RIVASTI Biopharm) en gélules (1,5/3/4,5/6 mg) et solution buvable (2 mg/mL) — mais pas en patch transdermique.</w:t>
      </w:r>
    </w:p>
    <w:p>
      <w:r/>
      <w:r>
        <w:rPr>
          <w:b/>
        </w:rPr>
        <w:t>Médicaments disponibles en Algérie (Marques, Laboratoires, Formes et Dosages) :</w:t>
      </w:r>
      <w:r/>
    </w:p>
    <w:p>
      <w:pPr>
        <w:pStyle w:val="ListBullet"/>
      </w:pPr>
      <w:r/>
      <w:r>
        <w:rPr>
          <w:b/>
        </w:rPr>
        <w:t>RESTILON</w:t>
      </w:r>
      <w:r>
        <w:t xml:space="preserve"> (EL KENDI INDUSTRIE DU MEDICAMENT)</w:t>
      </w:r>
    </w:p>
    <w:p>
      <w:pPr>
        <w:pStyle w:val="ListBullet"/>
      </w:pPr>
      <w:r>
        <w:t>Formes et Dosages : Solution buvable 2 mg/mL (B/1 flacon de 120 mL) ; Gélule 1,5 mg (B/60) ; Gélule 3 mg (B/60) ; Gélule 4,5 mg (B/60) ; Gélule 6 mg (B/60).</w:t>
      </w:r>
    </w:p>
    <w:p>
      <w:pPr>
        <w:pStyle w:val="ListBullet"/>
      </w:pPr>
      <w:r>
        <w:t>Statut : Actif.</w:t>
      </w:r>
    </w:p>
    <w:p>
      <w:pPr>
        <w:pStyle w:val="ListBullet"/>
      </w:pPr>
      <w:r/>
      <w:r>
        <w:rPr>
          <w:b/>
        </w:rPr>
        <w:t>RIVASTIG</w:t>
      </w:r>
      <w:r>
        <w:t xml:space="preserve"> (PHARMIDAL NS)</w:t>
      </w:r>
    </w:p>
    <w:p>
      <w:pPr>
        <w:pStyle w:val="ListBullet"/>
      </w:pPr>
      <w:r>
        <w:t>Formes et Dosages : Solution buvable 2 mg/mL (B/1 flacon de 125 mL + seringue doseuse de 3 mL).</w:t>
      </w:r>
    </w:p>
    <w:p>
      <w:pPr>
        <w:pStyle w:val="ListBullet"/>
      </w:pPr>
      <w:r>
        <w:t>Statut : Actif.</w:t>
      </w:r>
    </w:p>
    <w:p>
      <w:pPr>
        <w:pStyle w:val="ListBullet"/>
      </w:pPr>
      <w:r/>
      <w:r>
        <w:rPr>
          <w:b/>
        </w:rPr>
        <w:t>RIVASTI</w:t>
      </w:r>
      <w:r>
        <w:t xml:space="preserve"> (BIOPHARM)</w:t>
      </w:r>
    </w:p>
    <w:p>
      <w:pPr>
        <w:pStyle w:val="ListBullet"/>
      </w:pPr>
      <w:r>
        <w:t>Formes et Dosages : Gélule 1,5 mg (B/30) ; 3 mg (B/30) ; 4,5 mg (B/30).</w:t>
      </w:r>
    </w:p>
    <w:p>
      <w:pPr>
        <w:pStyle w:val="ListBullet"/>
      </w:pPr>
      <w:r>
        <w:t>Statut : Actif.</w:t>
      </w:r>
    </w:p>
    <w:p>
      <w:pPr>
        <w:pStyle w:val="ListBullet"/>
      </w:pPr>
      <w:r/>
      <w:r>
        <w:rPr>
          <w:b/>
        </w:rPr>
        <w:t>Médicaments retirés :</w:t>
      </w:r>
      <w:r>
        <w:t xml:space="preserve"> aucun.</w:t>
      </w:r>
    </w:p>
    <w:p>
      <w:r>
        <w:t>La diversité des galéniques algériennes (gélules de 1,5 à 6 mg, solution buvable 2 mg/mL) permet une titration fine et une adaptation aux troubles de déglutition. Le patch transdermique (international — Prometax LP®, Exelon Patch®) n'est pas disponible en Algérie — alternative utile en cas d'intolérance digestive ou de refus du comprimé, mais le recours à la solution buvable peut partiellement compenser (titration lente, prises fractionnées).</w:t>
      </w:r>
    </w:p>
    <w:p>
      <w:r/>
      <w:r>
        <w:rPr>
          <w:b/>
        </w:rPr>
        <w:t>Sous-classe et Mécanisme d'action :</w:t>
      </w:r>
      <w:r/>
    </w:p>
    <w:p>
      <w:pPr>
        <w:pStyle w:val="ListBullet"/>
      </w:pPr>
      <w:r>
        <w:t>Sous-classe : Antidémence, inhibiteur pseudo-irréversible de l'AChE et de la BuChE, carbamate phényl-substitué.</w:t>
      </w:r>
    </w:p>
    <w:p>
      <w:pPr>
        <w:pStyle w:val="ListBullet"/>
      </w:pPr>
      <w:r>
        <w:t>Mécanisme d'action : la rivastigmine est un carbamate qui inhibe de manière pseudo-irréversible (covalente mais lentement réversible) l'AChE et la BuChE en carbamoylant le site estérasique de ces enzymes. La réversion de l'inhibition dépend de la synthèse de novo de l'enzyme (et non de la dissociation du complexe rivastigmine-enzyme) — d'où une durée d'action prolongée (≈ 8-10 h) indépendamment de la demi-vie plasmatique courte de la rivastigmine (1-2 h). L'inhibition de la BuChE — qui augmente physiologiquement dans la MA à mesure que l'AChE neuronale diminue par dégénérescence cholinergique — permet un maintien de l'effet cholinergique cérébral à des stades plus avancés que ne le permettent les IChE sélectifs de l'AChE comme le donépézil. L'inhibition de la BuChE pourrait également réduire la neuro-inflammation gliale (BuChE exprimée par cellules gliales). Affinité comparable pour AChE et BuChE (Ki ≈ 5-10 μM — plus faible que le donépézil mais prolongée par la carbamoylation covalente). Pas d'effet sur d'autres enzymes ou récepteurs. Métabolisme principalement extrahépatique (estérases plasmatiques — pas d'implication du CYP450 — d'où une absence d'interactions pharmacocinétiques significatives) ; élimination rénale rapide des métabolites inactifs.</w:t>
      </w:r>
    </w:p>
    <w:p>
      <w:r/>
      <w:r>
        <w:rPr>
          <w:b/>
        </w:rPr>
        <w:t>Profil Pharmacologique :</w:t>
      </w:r>
      <w:r/>
    </w:p>
    <w:p>
      <w:pPr>
        <w:pStyle w:val="ListBullet"/>
      </w:pPr>
      <w:r>
        <w:t xml:space="preserve">Indications : maladie d'Alzheimer légère à modérée (indication initiale, AMM) ; </w:t>
      </w:r>
      <w:r>
        <w:rPr>
          <w:b/>
        </w:rPr>
        <w:t>démence de Parkinson</w:t>
      </w:r>
      <w:r>
        <w:t xml:space="preserve"> (AMM — seul IChE avec cette indication) ; démence à corps de Lewy (hors AMM en France mais largement utilisée — efficacité supérieure au donépézil sur les fluctuations cognitives et les hallucinations visuelles). Démence vasculaire (hors AMM).</w:t>
      </w:r>
    </w:p>
    <w:p>
      <w:pPr>
        <w:pStyle w:val="ListBullet"/>
      </w:pPr>
      <w:r>
        <w:t>Contre-indications : hypersensibilité ; glaucome à angle fermé non contrôlé ; rétention urinaire ; bradycardie sévère ; BAV non appareillé ; asthme sévère ou bronchospasme actif ; ulcère gastro-duodénal actif ou antécédent récent (risque hémorragique majoré — effet cholinergique sur sécrétion acide et motilité) ; grossesse (à éviter par prudence) ; allaitement ; poids corporel &lt; 50 kg (risque EI majoré — adapter la dose).</w:t>
      </w:r>
    </w:p>
    <w:p>
      <w:pPr>
        <w:pStyle w:val="ListBullet"/>
      </w:pPr>
      <w:r>
        <w:t xml:space="preserve">Effets indésirables : digestifs cholinergiques (nausées </w:t>
      </w:r>
      <w:r>
        <w:rPr>
          <w:b/>
        </w:rPr>
        <w:t>35-40 %</w:t>
      </w:r>
      <w:r>
        <w:t xml:space="preserve"> — plus fréquents que le donépézil en raison de l'inhibition de la BuChE périphérique ; vomissements 15-20 %, diarrhée 15-20 %, anorexie, crampes abdominales — réduits par titration lente et prise au cours du repas) ; cardiovasculaires (bradycardie, hypotension, allongement PR, BAV — comme pour le donépézil) ; neurologiques (insomnie, rêves vivaces, cauchemars, vertiges, céphalées, somnolence, exceptionnellement tremblements aggravés chez le patient Parkinsonien — distinguer de l'aggravation de la maladie de Parkinson) ; cutanés (rash, prurit — et réactions au site d'application en cas de patch transdermique, non disponible en Algérie) ; syndrome cholinergique aigu en cas de surdosage (idem donépézil — atropine IV comme antidote). EI plus fréquents chez le sujet &lt; 50 kg (adapter la dose).</w:t>
      </w:r>
    </w:p>
    <w:p>
      <w:r/>
      <w:r>
        <w:rPr>
          <w:b/>
        </w:rPr>
        <w:t>Prévention et Gestion des Effets Indésirables :</w:t>
      </w:r>
      <w:r/>
    </w:p>
    <w:p>
      <w:pPr>
        <w:pStyle w:val="ListBullet"/>
      </w:pPr>
      <w:r>
        <w:t>Mesures préventives : initiation à dose très faible (1,5 mg × 2/jour en gélule ou 1 mg × 2/jour en solution buvable) avec titration progressive par paliers de 4 semaines minimum (1,5 mg × 2 → 3 mg × 2 → 4,5 mg × 2 → 6 mg × 2) — la titration lente est cruciale pour réduire l'incidence des EI digestifs ; prise au cours des repas (réduit les EI digestifs) ; ECG pré-thérapeutique ; surveillance TA/FC ; surveillance du poids chez le sujet de faible corpulence (&lt; 50 kg) ; information de l'aidant sur les signes d'alerte digestive (vomissements &gt; 24 h, diarrhée &gt; 48 h — déshydratation du sujet âgé) et cardiaque (syncope, palpitations — consulter en urgence).</w:t>
      </w:r>
    </w:p>
    <w:p>
      <w:pPr>
        <w:pStyle w:val="ListBullet"/>
      </w:pPr>
      <w:r>
        <w:t>Conduite à tenir : retour au palier précédent en cas d'intolérance (4 semaines de wash-out des EI puis re-titration plus lente) ; arrêt temporaire en cas de diarrhée ou vomissements sévères (réhydratation) ; arrêt définitif en cas de bradycardie symptomatique, BAV, syncope inexpliquée, épilepsie nouvellement diagnostiquée, ulcère hémorragique.</w:t>
      </w:r>
    </w:p>
    <w:p>
      <w:r/>
      <w:r>
        <w:rPr>
          <w:b/>
        </w:rPr>
        <w:t>Interactions Importantes :</w:t>
      </w:r>
      <w:r/>
    </w:p>
    <w:p>
      <w:pPr>
        <w:pStyle w:val="ListBullet"/>
      </w:pPr>
      <w:r>
        <w:t xml:space="preserve">Rivastigmine + bêtabloquants / inhibiteurs calciques bradycardisants : </w:t>
      </w:r>
      <w:r>
        <w:rPr>
          <w:b/>
        </w:rPr>
        <w:t>bradycardie additive</w:t>
      </w:r>
      <w:r>
        <w:t xml:space="preserve"> — surveillance ECG et FC.</w:t>
      </w:r>
    </w:p>
    <w:p>
      <w:pPr>
        <w:pStyle w:val="ListBullet"/>
      </w:pPr>
      <w:r>
        <w:t>Rivastigmine + digoxine : bradycardie additive.</w:t>
      </w:r>
    </w:p>
    <w:p>
      <w:pPr>
        <w:pStyle w:val="ListBullet"/>
      </w:pPr>
      <w:r>
        <w:t>Rivastigmine + anticholinergiques (oxybutynine, solifénacine, atropine, trihexyphénidyle) : antagonisme pharmacodynamique complet — baisse d'efficacité de la rivastigmine.</w:t>
      </w:r>
    </w:p>
    <w:p>
      <w:pPr>
        <w:pStyle w:val="ListBullet"/>
      </w:pPr>
      <w:r>
        <w:t>Rivastigmine + succinylcholine (anesthésie) : prolongation du bloc neuromusculaire (prévenir l'anesthésiste).</w:t>
      </w:r>
    </w:p>
    <w:p>
      <w:pPr>
        <w:pStyle w:val="ListBullet"/>
      </w:pPr>
      <w:r>
        <w:t>Rivastigmine + AINS/anticoagulants : risque majoré de saignement digestif.</w:t>
      </w:r>
    </w:p>
    <w:p>
      <w:pPr>
        <w:pStyle w:val="ListBullet"/>
      </w:pPr>
      <w:r>
        <w:t>Rivastigmine + métoprolol et autres bêtabloquants chez le patient parkinsonien : prudence accrue (risque de bradycardie sévère).</w:t>
      </w:r>
    </w:p>
    <w:p>
      <w:pPr>
        <w:pStyle w:val="ListBullet"/>
      </w:pPr>
      <w:r>
        <w:t>Avantage pharmacocinétique : pas d'implication du CYP450 — pas d'interaction pharmacocinétique avec les inducteurs/inhibiteurs enzymatiques (atout majeur chez le sujet âgé polypathologique).</w:t>
      </w:r>
    </w:p>
    <w:p>
      <w:r/>
      <w:r>
        <w:rPr>
          <w:b/>
        </w:rPr>
        <w:t>Grossesse et Allaitement :</w:t>
      </w:r>
      <w:r/>
    </w:p>
    <w:p>
      <w:pPr>
        <w:pStyle w:val="ListBullet"/>
      </w:pPr>
      <w:r>
        <w:t>Grossesse : données animales évocatrices de tératogénicité à doses supraphysiologiques ; données humaines limitées. CRAT conclut à un risque tératogène non écarté — à éviter par prudence.</w:t>
      </w:r>
    </w:p>
    <w:p>
      <w:pPr>
        <w:pStyle w:val="ListBullet"/>
      </w:pPr>
      <w:r>
        <w:t>Allaitement : passage dans le lait maternel probable ; à éviter par prudence.</w:t>
      </w:r>
    </w:p>
    <w:p>
      <w:pPr>
        <w:pStyle w:val="ListBullet"/>
      </w:pPr>
      <w:r>
        <w:t>Précisions : la grossesse chez une patiente atteinte de démence est exceptionnelle — décision multidisciplinaire.</w:t>
      </w:r>
    </w:p>
    <w:p>
      <w:r/>
      <w:r>
        <w:rPr>
          <w:b/>
        </w:rPr>
        <w:t>Posologie et Mode d'administration (Standard) :</w:t>
      </w:r>
      <w:r/>
    </w:p>
    <w:p>
      <w:pPr>
        <w:pStyle w:val="ListBullet"/>
      </w:pPr>
      <w:r>
        <w:t>Adulte (et sujet âgé) : initiation 1,5 mg × 2/jour (matin et soir, au cours des repas) pendant 4 semaines minimum ; puis 3 mg × 2/jour pendant 4 semaines ; puis 4,5 mg × 2/jour pendant 4 semaines ; puis 6 mg × 2/jour (dose thérapeutique usuelle 12 mg/jour — dose maximale).</w:t>
      </w:r>
    </w:p>
    <w:p>
      <w:pPr>
        <w:pStyle w:val="ListBullet"/>
      </w:pPr>
      <w:r>
        <w:t>Sujet de faible corpulence (&lt; 50 kg) : titration plus prudente, paliers de 6 semaines, dose maximale réduite à 9 mg/jour (4,5 mg × 2) si EI.</w:t>
      </w:r>
    </w:p>
    <w:p>
      <w:pPr>
        <w:pStyle w:val="ListBullet"/>
      </w:pPr>
      <w:r>
        <w:t>Solution buvable (2 mg/mL) : 1 mg = 0,5 mL ; 1,5 mg = 0,75 mL ; 3 mg = 1,5 mL ; 6 mg = 3 mL. Permet une titration fine et une adaptation aux troubles de déglutition (souvent plus pratique que les gélules chez le patient Parkinsonien dysphagique).</w:t>
      </w:r>
    </w:p>
    <w:p>
      <w:pPr>
        <w:pStyle w:val="ListBullet"/>
      </w:pPr>
      <w:r>
        <w:t>Insuffisant hépatique modéré à sévère : réduction posologique (clairance réduite — adapter selon la tolérance, titration plus lente).</w:t>
      </w:r>
    </w:p>
    <w:p>
      <w:pPr>
        <w:pStyle w:val="ListBullet"/>
      </w:pPr>
      <w:r>
        <w:t>Insuffisant rénal : pas d'adaptation posologique systématique mais surveillance accrue.</w:t>
      </w:r>
    </w:p>
    <w:p>
      <w:pPr>
        <w:pStyle w:val="ListBullet"/>
      </w:pPr>
      <w:r>
        <w:t>Durée : traitement au long cours ; réévaluation tous les 6 mois de la pertinence de la poursuite (MMS, ADL) ; arrêt progressif par paliers de 4 semaines.</w:t>
      </w:r>
    </w:p>
    <w:p>
      <w:pPr>
        <w:pStyle w:val="ListBullet"/>
      </w:pPr>
      <w:r>
        <w:t>Moment de la prise : deux prises par jour au cours des repas (matin et soir) ; titration stricte par paliers de 4 semaines minimum.</w:t>
      </w:r>
    </w:p>
    <w:p>
      <w:r/>
      <w:r>
        <w:rPr>
          <w:b/>
        </w:rPr>
        <w:t>Arbitrage et Bénéfices des Formes Galéniques :</w:t>
      </w:r>
      <w:r/>
    </w:p>
    <w:p>
      <w:r>
        <w:t>Les gélules (1,5/3/4,5/6 mg) constituent la forme de référence ; leur dosage progressif facilite la titration. La solution buvable (2 mg/mL) est particulièrement utile chez le sujet Parkinsonien dysphagique ou en cas de refus du comprimé — permet une titration fine (0,5 mL = 1 mg) et une adaptation pondérale. À l'international, le patch transdermique (Prometax LP® 5 cm² = 4,6 mg/24 h ou 10 cm² = 9,5 mg/24 h) offre une libération continue sur 24 heures avec une réduction marquée des EI digestifs (≈ un tiers de l'incidence des nausées et vomissements versus la forme orale) et une amélioration de l'observance (une application par jour, pas d'oubli de prise orale) — mais il n'est pas disponible en Algérie. La diversité des marques (RESTILON, RIVASTIG, RIVASTI) et des galéniques (gélules + solution buvable) assure une couverture satisfaisante des besoins cliniques algériens. La solution buvable RESTILON (flacon de 120 mL avec seringue doseuse) est particulièrement adaptée à la titration lente recommandée chez le sujet âgé.</w:t>
      </w:r>
    </w:p>
    <w:p>
      <w:r/>
      <w:r>
        <w:rPr>
          <w:b/>
        </w:rPr>
        <w:t>Instructions et Conseils au Patient :</w:t>
      </w:r>
      <w:r/>
    </w:p>
    <w:p>
      <w:pPr>
        <w:pStyle w:val="ListBullet"/>
      </w:pPr>
      <w:r>
        <w:t>Communication au comptoir : expliquer l'effet progressif (4-12 semaines — ne pas arrêter prématurément) ; deux prises par jour au cours des repas ; titration stricte par paliers de 4 semaines (ne pas augmenter plus vite que prescrit) ; surveillance des EI digestifs (nausées, vomissements, diarrhée — risque de déshydratation du sujet âgé) et cardiaques (bradycardie, syncope — consulter en urgence) ; pas d'arrêt brutal (rebond cognitif) ; information à l'aidant sur l'observance stricte et le suivi cognitif régulier ; chez le patient Parkinsonien, distinguer l'aggravation du tremblement par la rivastigmine (EI) de l'aggravation de la maladie de Parkinson (nécessité d'adapter le traitement antiparkinsonien) — ne pas arrêter la rivastigmine d'emblée, consulter le neurologue.</w:t>
      </w:r>
    </w:p>
    <w:p>
      <w:pPr>
        <w:pStyle w:val="ListBullet"/>
      </w:pPr>
      <w:r>
        <w:t>Mode d'utilisation pratique : gélule à avaler entière avec un grand verre d'eau au cours du repas (matin et soir) ; solution buvable à mesurer avec la seringue doseuse fournie, à diluer éventuellement dans un verre d'eau, à prendre au cours du repas ; oubli : ne pas doubler la dose, prendre la dose oubliée si elle est éloignée de moins de 6 heures de la prise habituelle, sinon ne pas la prendre ; conservation de la solution buvable : flacon ouvert à conserver 4 semaines maximum au réfrigérateur (sinon à température ambiante &lt; 25 °C) ; gélules à conserver à température ambiante &lt; 25 °C.</w:t>
      </w:r>
    </w:p>
    <w:p>
      <w:r/>
      <w:r>
        <w:rPr>
          <w:b/>
        </w:rPr>
        <w:t>Notes, Règles d'Or &amp; Pièges au Comptoir :</w:t>
      </w:r>
      <w:r/>
    </w:p>
    <w:p>
      <w:pPr>
        <w:pStyle w:val="ListBullet"/>
      </w:pPr>
      <w:r>
        <w:t>Piège classique : la titration doit être stricte par paliers de 4 semaines — augmenter plus vite expose à une incidence majeure de nausées et vomissements (jusqu'à 50-60 % si titration rapide), souvent cause d'arrêt définitif du traitement. Chez le patient Parkinsonien sous L-DOPA, la rivastigmine peut aggravé transitoirement le tremblement — ne pas conclure à une inefficacité ou à une intolérance sans avis neurologique. La solution buvable doit être mesurée avec la seringue doseuse fournie (pas de cuillère à café — erreur de dosage majeure). Le flacon de solution buvable ouvert a une durée de conservation limitée (4 semaines) — information à délivrer au comptoir.</w:t>
      </w:r>
    </w:p>
    <w:p>
      <w:pPr>
        <w:pStyle w:val="ListBullet"/>
      </w:pPr>
      <w:r>
        <w:t>Règle de prise : deux prises par jour au cours des repas ; titration stricte par paliers de 4 semaines minimum.</w:t>
      </w:r>
    </w:p>
    <w:p>
      <w:pPr>
        <w:pStyle w:val="ListBullet"/>
      </w:pPr>
      <w:r>
        <w:t>Préparation et conservation : solution buvable à conserver au réfrigérateur après ouverture (durée 4 semaines) ; gélules à température ambiante &lt; 25 °C.</w:t>
      </w:r>
    </w:p>
    <w:p>
      <w:pPr>
        <w:pStyle w:val="ListBullet"/>
      </w:pPr>
      <w:r>
        <w:t>Piège du surdosage / Substitution : surdosage aigu = syndrome cholinergique (idem donépézil) — prise en charge en réanimation, atropine IV 1-2 mg, pralidoxime discutée, ventilation mécanique en cas de détresse respiratoire. En cas de substitution rivastigmine → donépézil (par simplification de schéma posologique en monoprise ou par intolérance digestive de la rivastigmine), wash-out de 7 jours puis initiation donépézil à 5 mg/jour — pas d'équivalence directe. En cas d'intolérance digestive majeure aux IChE oraux, discuter le relais par mémantine (antagoniste NMDA — pas d'EI cholinergique digestif) ou par patch transdermique de rivastigmine (non disponible en Algérie — importation exceptionnelle).</w:t>
      </w:r>
    </w:p>
    <w:p>
      <w:pPr>
        <w:pStyle w:val="Heading2"/>
      </w:pPr>
      <w:r>
        <w:t>SOUS-CLASSE 5 — ANTIDÉMENCES : ANTAGONISTES DES RÉCEPTEURS NMDA</w:t>
      </w:r>
    </w:p>
    <w:p>
      <w:r>
        <w:t>La neurotransmission glutamatergique, principale voie excitatrice cérébrale, est médiée par plusieurs sous-types de récepteurs, dont le récepteur NMDA (N-méthyl-D-aspartate) — canal ionique voltage-dépendant perméable au calcium. Dans la maladie d'Alzheimer (MA), l'excès de glutamate synaptique (par défaut de recapture astrocytaire et par dysrégulation neuronale) entraîne une activation chronique et excessive des récepteurs NMDA extrasynaptiques, induisant une toxicité calcique (excitotoxicité) participant à la dégénérescence neuronale. La mémantine, seul antagoniste NMDA disponible, agit comme un antagoniste non compétitif à affinité modérée et blocage voltage-dépendant : elle bloque préférentiellement les récepteurs NMDA extrasynaptiques (toxiques) tout en préservant la transmission synaptique physiologique (à l'inverse de la kétamine ou du MK-801 qui sont des antagonistes à haute affinité bloquant tout le système NMDA, responsables d'effets psychotomimétiques). La mémantine est indiquée dans la MA modérée à sévère (MMS &lt; 20) en monothérapie ou en association avec un IChE (effet additif). Sa tolérance est globalement bonne — EI dominés par les céphalées, vertiges, somnolence. Particularité algérienne : disponibilité de formes LP (gélule 7 mg, 28 mg) — facilitant l'observance par monoprise quotidienne.</w:t>
      </w:r>
    </w:p>
    <w:p>
      <w:pPr>
        <w:pStyle w:val="Heading3"/>
      </w:pPr>
      <w:r>
        <w:t>6. DCI : Mémantine (Seule)</w:t>
      </w:r>
    </w:p>
    <w:p>
      <w:r/>
      <w:r>
        <w:rPr>
          <w:b/>
        </w:rPr>
        <w:t>Liste des Catégories :</w:t>
      </w:r>
      <w:r>
        <w:t xml:space="preserve"> Antidémence ; antagoniste non compétitif des récepteurs NMDA ; indiqué dans la maladie d'Alzheimer modérée à sévère ; Liste I.</w:t>
      </w:r>
    </w:p>
    <w:p>
      <w:r>
        <w:t>La mémantine (AXURA®, EBIXA® — Merz/Lundbeck) a été développée à partir de l'amantadine (qui possédait une activité anti-NMDA accessoire), et approuvée en Europe en 2002 dans la MA modérée à sévère. Son mécanisme d'action original repose sur un blocage non compétitif, à affinité modérée (Ki ≈ 0,5-1 μM — intermédiaire entre le glutamate endogène et les antagonistes à haute affinité comme la kétamine), voltage-dépendant, du canal NMDA : elle se lie dans le canal du récepteur NMDA (site PCP/kgésithane) et bloque l'entrée du calcium, mais se dissocie rapidement lorsque le canal est activé par le glutamate synaptique physiologique (transmission normale préservée). En revanche, en cas d'activation chronique extrasynaptique par excès de glutamate (situation neurotoxique de la MA), la mémantine reste liée et bloque l'entrée toxique de calcium — d'où un effet neuroprotecteur supposé (controversé — l'effet clinique reste principalement symptomatique). À la différence de la kétamine (antagoniste haute affinité, effets psychotomimétiques, anesthésiques, addictogènes), la mémantine ne provoque pas de syndrome psychotomimétique à doses thérapeutiques. Son profil de tolérance est bon — EI dominés par céphalées, vertiges, somnolence, exceptionnellement confusion. En Algérie, la mémantine est disponible sous 3 marques actives (ALZHANTINE, MEMANTINE BEKER, MIRALE) en comprimés pelliculés 5/10/20 mg, gélule LP 7 mg et 28 mg, et solution buvable 1 mg/0,5 mL — diversité galénique permettant une titration fine et une monoprise quotidienne par forme LP.</w:t>
      </w:r>
    </w:p>
    <w:p>
      <w:r/>
      <w:r>
        <w:rPr>
          <w:b/>
        </w:rPr>
        <w:t>Médicaments disponibles en Algérie (Marques, Laboratoires, Formes et Dosages) :</w:t>
      </w:r>
      <w:r/>
    </w:p>
    <w:p>
      <w:pPr>
        <w:pStyle w:val="ListBullet"/>
      </w:pPr>
      <w:r/>
      <w:r>
        <w:rPr>
          <w:b/>
        </w:rPr>
        <w:t>ALZHANTINE</w:t>
      </w:r>
      <w:r>
        <w:t xml:space="preserve"> (EL KENDI INDUSTRIE DU MEDICAMENT)</w:t>
      </w:r>
    </w:p>
    <w:p>
      <w:pPr>
        <w:pStyle w:val="ListBullet"/>
      </w:pPr>
      <w:r>
        <w:t>Formes et Dosages : Comprimé pelliculé 5 mg (B/60) ; Comprimé pelliculé sécable 10 mg (B/60) ; Gélule LP 7 mg (B/30) ; Gélule LP 28 mg (B/30) ; Solution buvable 1 mg/0,5 mL (flacon de 180 mL).</w:t>
      </w:r>
    </w:p>
    <w:p>
      <w:pPr>
        <w:pStyle w:val="ListBullet"/>
      </w:pPr>
      <w:r>
        <w:t>Statut : Actif.</w:t>
      </w:r>
    </w:p>
    <w:p>
      <w:pPr>
        <w:pStyle w:val="ListBullet"/>
      </w:pPr>
      <w:r/>
      <w:r>
        <w:rPr>
          <w:b/>
        </w:rPr>
        <w:t>MEMANTINE BEKER</w:t>
      </w:r>
      <w:r>
        <w:t xml:space="preserve"> (LABORATOIRES BEKER)</w:t>
      </w:r>
    </w:p>
    <w:p>
      <w:pPr>
        <w:pStyle w:val="ListBullet"/>
      </w:pPr>
      <w:r>
        <w:t>Formes et Dosages : Comprimé pelliculé sécable 10 mg (B/30) ; Comprimé pelliculé 20 mg (B/30).</w:t>
      </w:r>
    </w:p>
    <w:p>
      <w:pPr>
        <w:pStyle w:val="ListBullet"/>
      </w:pPr>
      <w:r>
        <w:t>Statut : Actif.</w:t>
      </w:r>
    </w:p>
    <w:p>
      <w:pPr>
        <w:pStyle w:val="ListBullet"/>
      </w:pPr>
      <w:r/>
      <w:r>
        <w:rPr>
          <w:b/>
        </w:rPr>
        <w:t>MIRALE</w:t>
      </w:r>
      <w:r>
        <w:t xml:space="preserve"> (DAR AL DAWA)</w:t>
      </w:r>
    </w:p>
    <w:p>
      <w:pPr>
        <w:pStyle w:val="ListBullet"/>
      </w:pPr>
      <w:r>
        <w:t>Formes et Dosages : Comprimé pelliculé sécable 10 mg (B/28).</w:t>
      </w:r>
    </w:p>
    <w:p>
      <w:pPr>
        <w:pStyle w:val="ListBullet"/>
      </w:pPr>
      <w:r>
        <w:t>Statut : Actif.</w:t>
      </w:r>
    </w:p>
    <w:p>
      <w:pPr>
        <w:pStyle w:val="ListBullet"/>
      </w:pPr>
      <w:r/>
      <w:r>
        <w:rPr>
          <w:b/>
        </w:rPr>
        <w:t>Médicaments retirés :</w:t>
      </w:r>
      <w:r>
        <w:t xml:space="preserve"> aucun.</w:t>
      </w:r>
    </w:p>
    <w:p>
      <w:r>
        <w:t>La diversité galénique algérienne est excellente pour la mémantine : comprimés 5/10/20 mg (titration et dose d'entretien), gélule LP 7 mg et 28 mg (titration LP unique sur le marché algérien pour ce dosage intermédiaire — ALZHANTINE LP 7 mg permettant une transition depuis la forme classique vers la forme LP 28 mg), et solution buvable 1 mg/0,5 mL (adaptée aux troubles de déglutition et à la titration fine). Aucune marque retirée — marché stable.</w:t>
      </w:r>
    </w:p>
    <w:p>
      <w:r/>
      <w:r>
        <w:rPr>
          <w:b/>
        </w:rPr>
        <w:t>Sous-classe et Mécanisme d'action :</w:t>
      </w:r>
      <w:r/>
    </w:p>
    <w:p>
      <w:pPr>
        <w:pStyle w:val="ListBullet"/>
      </w:pPr>
      <w:r>
        <w:t>Sous-classe : Antidémence, antagoniste non compétitif des récepteurs NMDA, dérivé de l'amantadine (1-amino-adamantane).</w:t>
      </w:r>
    </w:p>
    <w:p>
      <w:pPr>
        <w:pStyle w:val="ListBullet"/>
      </w:pPr>
      <w:r>
        <w:t>Mécanisme d'action : blocage non compétitif, à affinité modérée (Ki ≈ 0,5-1 μM), voltage-dépendant, du canal cationique du récepteur NMDA — se lie au site PCP (phencyclidine) à l'intérieur du canal ionique. La modération de l'affinité et la voltage-dépendance permettent à la mémantine : (i) de bloquer préférentiellement l'activation extrasynaptique excessive et chronique par le glutamate en excès (neurotoxicité calcique — excitotoxicité de la MA) ; (ii) de préserver la transmission synaptique physiologique (le glutamate synaptique en cas de dépolarisation brève déplace rapidement la mémantine du canal — libération du blocage). Cette sélectivité extrasynaptique explique l'absence d'effets psychotomimétiques à doses thérapeutiques, contrairement à la kétamine (haute affinité, blocage prolongé). Effets additifs supposés : (i) effet neuroprotecteur (réduction de l'excitotoxicité — controversé cliniquement) ; (ii) potentialisation de la transmission dopaminergique (effet bénéfique sur l'apathie — non spécifique à la MA) ; (iii) effet anti-inflammatoire glial indirect. Métabolisme hépatique limité (≈ 75 % éliminés inchangés dans les urines) ; pas d'implication significative du CYP450 — pas d'interactions pharmacocinétiques majeures ; demi-vie d'élimination 60-100 h (monoprise quotidienne possible en forme LP).</w:t>
      </w:r>
    </w:p>
    <w:p>
      <w:r/>
      <w:r>
        <w:rPr>
          <w:b/>
        </w:rPr>
        <w:t>Profil Pharmacologique :</w:t>
      </w:r>
      <w:r/>
    </w:p>
    <w:p>
      <w:pPr>
        <w:pStyle w:val="ListBullet"/>
      </w:pPr>
      <w:r>
        <w:t>Indications : maladie d'Alzheimer modérée à sévère (MMS &lt; 20) en monothérapie (indication initiale, AMM) ; MA légère à modérée en association avec un IChE (extension d'AMM Europe 2006 — effet additif supérieur à l'IChE seul, démontré dans l'étude DOMINO-AD). Hors AMM : démence vasculaire, démence fronto-temporale, démence à corps de Lewy (efficacité discutée), troubles comportementaux de la démence (agitation, agressivité — utilisation croissante hors AMM comme alternative aux antipsychotiques).</w:t>
      </w:r>
    </w:p>
    <w:p>
      <w:pPr>
        <w:pStyle w:val="ListBullet"/>
      </w:pPr>
      <w:r>
        <w:t>Contre-indications : hypersensibilité ; insuffisance rénale sévère (DFG &lt; 5 mL/min — accumulation ; CI relative si DFG 5-29 mL/min, adaptation posologique) ; grossesse (à éviter par prudence) ; allaitement ; enfant (tolérance non établie). Précautions : épilepsie (la mémantine peut abaisser le seuil épileptogène) ; insuffisance hépatique sévère ; alcalose urinaire (risque d'accumulation rénale par baisse de la clairance tubulaire).</w:t>
      </w:r>
    </w:p>
    <w:p>
      <w:pPr>
        <w:pStyle w:val="ListBullet"/>
      </w:pPr>
      <w:r>
        <w:t>Effets indésirables : céphalées (5-10 %), vertiges (5-10 %), somnolence (3-5 %), constipation (3-5 %), hypertension (rare — paradoxe avec effet vasodilatateur expérimental), exceptionnellement confusion (paradoxe chez le dément — effet anti-NMDA à forte dose), exceptionnellement hallucinations (idem — réversibles à l'arrêt), exceptionnellement crises convulsives (patients épileptiques ou prédisposés — abaissement du seuil), exceptionnellement syndrome sérotoninergique en cas d'association avec d'autres sérotoninergiques (par inhibition des récepteurs 5-HT3 — effet mineur mais signalé). Profil globalement bien toléré — EI souvent transitoires à l'initiation.</w:t>
      </w:r>
    </w:p>
    <w:p>
      <w:r/>
      <w:r>
        <w:rPr>
          <w:b/>
        </w:rPr>
        <w:t>Prévention et Gestion des Effets Indésirables :</w:t>
      </w:r>
      <w:r/>
    </w:p>
    <w:p>
      <w:pPr>
        <w:pStyle w:val="ListBullet"/>
      </w:pPr>
      <w:r>
        <w:t>Mesures préventives : initiation à dose faible (5 mg/jour en une prise) avec titration progressive par paliers de 5 mg par semaine (5 mg → 10 mg → 15 mg → 20 mg/jour) sur 4 semaines minimum — la titration lente réduit l'incidence des céphalées, vertiges et confusion initiale ; prise indifférente matin ou soir (en cas de somnolence, prise vespérale ; en cas d'insomnie, prise matinale) ; surveillance de la TA et de la FC à l'initiation ; information du patient et de l'aidant sur les EI transitoires possibles (céphalées, vertiges — généralement régressifs en 7-14 jours) ; chez le patient épileptique, surveillance EEG accrue et discussion neurologique préalable.</w:t>
      </w:r>
    </w:p>
    <w:p>
      <w:pPr>
        <w:pStyle w:val="ListBullet"/>
      </w:pPr>
      <w:r>
        <w:t>Conduite à tenir : retour au palier précédent en cas d'intolérance (4 semaines de wash-out des EI puis re-titration plus lente) ; arrêt temporaire en cas de confusion sévère ou d'hallucinations (réversibles à l'arrêt) ; arrêt définitif en cas de crise convulsive nouvellement diagnostiquée (sauf si avis neurologique spécifique).</w:t>
      </w:r>
    </w:p>
    <w:p>
      <w:r/>
      <w:r>
        <w:rPr>
          <w:b/>
        </w:rPr>
        <w:t>Interactions Importantes :</w:t>
      </w:r>
      <w:r/>
    </w:p>
    <w:p>
      <w:pPr>
        <w:pStyle w:val="ListBullet"/>
      </w:pPr>
      <w:r>
        <w:t xml:space="preserve">Mémantine + cimétidine, ranitidine, nicotinique, propafénone, quinidine, tramadol : </w:t>
      </w:r>
      <w:r>
        <w:rPr>
          <w:b/>
        </w:rPr>
        <w:t>augmentation des taux de mémantine</w:t>
      </w:r>
      <w:r>
        <w:t xml:space="preserve"> par inhibition de la sécrétion tubulaire rénale (ces molécules sont excrétées par la même voie que la mémantine) — surveillance EI, réduction posologique de la mémantine si EI marqués.</w:t>
      </w:r>
    </w:p>
    <w:p>
      <w:pPr>
        <w:pStyle w:val="ListBullet"/>
      </w:pPr>
      <w:r>
        <w:t>Mémantine + hydrochlorothiazide (HCTZ), triamtérène, amiloride : augmentation possible des taux de mémantine (idem — excrétion tubulaire commune) — surveillance.</w:t>
      </w:r>
    </w:p>
    <w:p>
      <w:pPr>
        <w:pStyle w:val="ListBullet"/>
      </w:pPr>
      <w:r>
        <w:t>Mémantine + kétoconazole : pas d'interaction pharmacocinétique significative.</w:t>
      </w:r>
    </w:p>
    <w:p>
      <w:pPr>
        <w:pStyle w:val="ListBullet"/>
      </w:pPr>
      <w:r>
        <w:t>Mémantine + L-DOPA / agonistes dopaminergiques : potentialisation de l'effet dopaminergique (effet bénéfique sur l'apathie — mais surveillance des EI comme les dyskinésies).</w:t>
      </w:r>
    </w:p>
    <w:p>
      <w:pPr>
        <w:pStyle w:val="ListBullet"/>
      </w:pPr>
      <w:r>
        <w:t>Mémantine + dextrométhorphane, kétamine : potentialisation de l'effet anti-NMDA (à éviter).</w:t>
      </w:r>
    </w:p>
    <w:p>
      <w:pPr>
        <w:pStyle w:val="ListBullet"/>
      </w:pPr>
      <w:r>
        <w:t>Mémantine + anticholinergiques : pas d'interaction pharmacodynamique majeure mais potentialisation possible de la confusion (effet additif central).</w:t>
      </w:r>
    </w:p>
    <w:p>
      <w:pPr>
        <w:pStyle w:val="ListBullet"/>
      </w:pPr>
      <w:r>
        <w:t>Mémantine + IChE (donépézil, rivastigmine) : association synergique recommandée (effet additif supérieur à l'IChE seul — étude DOMINO-AD) — pas d'interaction pharmacocinétique.</w:t>
      </w:r>
    </w:p>
    <w:p>
      <w:r/>
      <w:r>
        <w:rPr>
          <w:b/>
        </w:rPr>
        <w:t>Grossesse et Allaitement :</w:t>
      </w:r>
      <w:r/>
    </w:p>
    <w:p>
      <w:pPr>
        <w:pStyle w:val="ListBullet"/>
      </w:pPr>
      <w:r>
        <w:t>Grossesse : données animales évocatrices d'un risque tératogène (retard de développement, anomalies crânio-faciales) à doses supraphysiologiques ; données humaines limitées (utilisation exceptionnelle chez la femme jeune — démence précoce). CRAT conclut à un risque tératogène non écarté — à éviter par prudence.</w:t>
      </w:r>
    </w:p>
    <w:p>
      <w:pPr>
        <w:pStyle w:val="ListBullet"/>
      </w:pPr>
      <w:r>
        <w:t>Allaitement : passage dans le lait maternel probable ; à éviter par prudence.</w:t>
      </w:r>
    </w:p>
    <w:p>
      <w:pPr>
        <w:pStyle w:val="ListBullet"/>
      </w:pPr>
      <w:r>
        <w:t>Précisions : la grossesse chez une patiente atteinte de MA est exceptionnelle — décision multidisciplinaire spécialisée.</w:t>
      </w:r>
    </w:p>
    <w:p>
      <w:r/>
      <w:r>
        <w:rPr>
          <w:b/>
        </w:rPr>
        <w:t>Posologie et Mode d'administration (Standard) :</w:t>
      </w:r>
      <w:r/>
    </w:p>
    <w:p>
      <w:pPr>
        <w:pStyle w:val="ListBullet"/>
      </w:pPr>
      <w:r>
        <w:t>Adulte (et sujet âgé) : initiation 5 mg/jour en une prise pendant 1 semaine ; puis 10 mg/jour (5 mg × 2 ou 10 mg en une prise LP) pendant 1 semaine ; puis 15 mg/jour (5 mg + 10 mg ou 15 mg en une prise LP) pendant 1 semaine ; puis 20 mg/jour (10 mg × 2 ou 20 mg en une prise LP — dose thérapeutique usuelle, dose maximale).</w:t>
      </w:r>
    </w:p>
    <w:p>
      <w:pPr>
        <w:pStyle w:val="ListBullet"/>
      </w:pPr>
      <w:r>
        <w:t>Forme LP (gélule LP 7 mg puis 28 mg, ALZHANTINE LP) : titration spécifique sur 4 semaines (1×7 mg LP/jour semaine 1 → 1×14 mg LP/jour semaine 2 → 1×21 mg LP/jour semaine 3 → 1×28 mg LP/jour semaine 4). La gélule LP 7 mg (unique sur le marché algérien) permet une titration monoprise stricte.</w:t>
      </w:r>
    </w:p>
    <w:p>
      <w:pPr>
        <w:pStyle w:val="ListBullet"/>
      </w:pPr>
      <w:r>
        <w:t>Sujet âgé fragile : pas d'adaptation systématique mais titration prudente (paliers de 2 semaines au lieu de 1).</w:t>
      </w:r>
    </w:p>
    <w:p>
      <w:pPr>
        <w:pStyle w:val="ListBullet"/>
      </w:pPr>
      <w:r>
        <w:t>Insuffisant rénal modéré (DFG 30-49 mL/min) : pas d'adaptation.</w:t>
      </w:r>
    </w:p>
    <w:p>
      <w:pPr>
        <w:pStyle w:val="ListBullet"/>
      </w:pPr>
      <w:r>
        <w:t>Insuffisant rénal sévère (DFG 5-29 mL/min) : dose maximale 10 mg/jour (titration 2,5 → 5 → 10 mg/jour sur 4 semaines).</w:t>
      </w:r>
    </w:p>
    <w:p>
      <w:pPr>
        <w:pStyle w:val="ListBullet"/>
      </w:pPr>
      <w:r>
        <w:t>Insuffisant rénal terminal (DFG &lt; 5 mL/min) : CI.</w:t>
      </w:r>
    </w:p>
    <w:p>
      <w:pPr>
        <w:pStyle w:val="ListBullet"/>
      </w:pPr>
      <w:r>
        <w:t>Insuffisant hépatique léger à modéré : pas d'adaptation. Sévère : à éviter par prudence.</w:t>
      </w:r>
    </w:p>
    <w:p>
      <w:pPr>
        <w:pStyle w:val="ListBullet"/>
      </w:pPr>
      <w:r>
        <w:t>Durée : traitement au long cours ; réévaluation tous les 6 mois de la pertinence de la poursuite (MMS, ADL) ; arrêt progressif par paliers de 4 semaines.</w:t>
      </w:r>
    </w:p>
    <w:p>
      <w:pPr>
        <w:pStyle w:val="ListBullet"/>
      </w:pPr>
      <w:r>
        <w:t>Moment de la prise : en monoprise (forme LP) à heure fixe matin ou soir selon la tolérance (somnolence → soir, insomnie → matin) ; en biprise (forme classique), deuxième prise en fin d'après-midi.</w:t>
      </w:r>
    </w:p>
    <w:p>
      <w:r/>
      <w:r>
        <w:rPr>
          <w:b/>
        </w:rPr>
        <w:t>Arbitrage et Bénéfices des Formes Galéniques :</w:t>
      </w:r>
      <w:r/>
    </w:p>
    <w:p>
      <w:r>
        <w:t>Les comprimés pelliculés 5/10/20 mg (3 marques) constituent la forme de référence pour la titration et la dose d'entretien. Le comprimé sécable 10 mg (ALZHANTINE, MEMANTINE BEKER, MIRALE) permet une adaptation posologique fine (5 mg par demi-comprimé, 7,5 mg par trois-quarts de comprimé). Les gélules LP 7 mg et 28 mg (ALZHANTINE LP, unique sur le marché algérien) offrent une titration monoprise stricte sur 4 semaines (7 mg → 14 mg → 21 mg → 28 mg/jour) — particulièrement utile pour l'observance chez le sujet âgé dément (pas d'oubli de deuxième prise, pas d'erreur de dosage). La solution buvable 1 mg/0,5 mL (ALZHANTINE, flacon 180 mL) est adaptée aux troubles de déglutition (fréquents en MA sévère) et permet une titration fine au mg près. La diversité des formes galéniques algériennes est remarquable et couvre l'ensemble des besoins cliniques — aucun autre antidémence algérien ne propose cette diversité.</w:t>
      </w:r>
    </w:p>
    <w:p>
      <w:r/>
      <w:r>
        <w:rPr>
          <w:b/>
        </w:rPr>
        <w:t>Instructions et Conseils au Patient :</w:t>
      </w:r>
      <w:r/>
    </w:p>
    <w:p>
      <w:pPr>
        <w:pStyle w:val="ListBullet"/>
      </w:pPr>
      <w:r>
        <w:t>Communication au comptoir : expliquer l'effet progressif (4-12 semaines — ne pas arrêter prématurément) ; titration stricte par paliers de 1 semaine (ne pas augmenter plus vite que prescrit) ; prise à heure fixe (matin ou soir selon la tolérance) ; surveillance des EI transitoires (céphalées, vertiges — généralement régressifs en 7-14 jours) ; signes d'alerte nécessitant consultation (confusion, hallucinations, convulsions — arrêt immédiat et consultation urgente) ; pas d'arrêt brutal (rebond cognitif — diminution par paliers) ; information à l'aidant de l'observance stricte et du suivi cognitif régulier ; la solution buvable se mesure avec la mesurette fournie (pas de cuillère à café — erreur de dosage majeure).</w:t>
      </w:r>
    </w:p>
    <w:p>
      <w:pPr>
        <w:pStyle w:val="ListBullet"/>
      </w:pPr>
      <w:r>
        <w:t>Mode d'utilisation pratique : comprimé pelliculé à avaler entier (ou sécable selon le dosage) avec un grand verre d'eau ; gélule LP à avaler entière (ne pas ouvrir, ne pas croquer — la LP serait perdue) ; solution buvable à mesurer avec la pipette/mesurette fournie, à diluer éventuellement dans un verre d'eau ; oubli : ne pas doubler la dose, prendre la dose oubliée si elle est éloignée de moins de 12 heures de la prise habituelle, sinon ne pas la prendre ; conservation à température ambiante &lt; 25 °C, solution buvable ouverte à conserver 4 semaines maximum.</w:t>
      </w:r>
    </w:p>
    <w:p>
      <w:r/>
      <w:r>
        <w:rPr>
          <w:b/>
        </w:rPr>
        <w:t>Notes, Règles d'Or &amp; Pièges au Comptoir :</w:t>
      </w:r>
      <w:r/>
    </w:p>
    <w:p>
      <w:pPr>
        <w:pStyle w:val="ListBullet"/>
      </w:pPr>
      <w:r>
        <w:t>Piège classique : la titration doit être stricte par paliers de 1 semaine — augmenter plus vite expose à une incidence majorée de confusion et de céphalées. La somnolence et la confusion initiales peuvent être confondues avec une aggravation de la démence — ne pas conclure à l'inefficacité sans avis médical. L'association avec un IChE est synergique et non concurrente — ne pas arrêter l'IChE lors de l'introduction de la mémantine. L'adaptation posologique en cas d'IR est souvent oubliée — vérifier systématiquement la clairance de la créatinine chez le sujet âgé polypathologique. La solution buvable doit être mesurée avec la mesurette fournie (pas de cuillère à café — erreur de dosage majeure). La forme LP ne doit jamais être ouverte ou croquée.</w:t>
      </w:r>
    </w:p>
    <w:p>
      <w:pPr>
        <w:pStyle w:val="ListBullet"/>
      </w:pPr>
      <w:r>
        <w:t>Règle de prise : monoprise à heure fixe (forme LP) ou biprise (forme classique) ; titration stricte par paliers de 1 semaine.</w:t>
      </w:r>
    </w:p>
    <w:p>
      <w:pPr>
        <w:pStyle w:val="ListBullet"/>
      </w:pPr>
      <w:r>
        <w:t>Préparation et conservation : comprimés et gélules à conserver à température ambiante &lt; 25 °C ; solution buvable à conserver 4 semaines maximum après ouverture.</w:t>
      </w:r>
    </w:p>
    <w:p>
      <w:pPr>
        <w:pStyle w:val="ListBullet"/>
      </w:pPr>
      <w:r>
        <w:t>Piège du surdosage / Substitution : surdosage aigu = confusion, somnolence, vertiges, exceptionnellement coma (blocage NMDA central massif) — prise en charge symptomatique en réanimation, surveillance ECG, fluides IV, pas d'antidote spécifique (la mémantine est dialysable en cas de surdosage massif). En cas de substitution IChE → mémantine (par intolérance digestive des IChE), wash-out de 7 jours puis initiation mémantine à dose pédiatrique (5 mg/jour) — pas d'équivalence directe.</w:t>
      </w:r>
    </w:p>
    <w:p>
      <w:pPr>
        <w:pStyle w:val="Heading2"/>
      </w:pPr>
      <w:r>
        <w:t>SOUS-CLASSE 6 — ANTIADDICTION : SEVRAGE TABAGIQUE (AGONISTE PARTIEL α4β2)</w:t>
      </w:r>
    </w:p>
    <w:p>
      <w:r>
        <w:t xml:space="preserve">Le tabagisme est la première cause de mortalité évitable dans le monde (≈ 8 millions de décès par an selon OMS). La dépendance tabagique est une addiction chronique à la nicotine, médiée principalement par l'activation des récepteurs nicotiniques α4β2 du noyau accumbens (voie mésolimbique de la récompense) qui libère la dopamine, induisant l'effet renforçateur et la dépendance. Les stratégies pharmacologiques de sevrage tabagique reposent sur : (i) la substitution nicotinique (NRT — patchs, gommes, pastilles, inhaleurs) qui apporte une nicotine exogène sans les composés toxiques de la fumée ; (ii) la varénicline (CHAMPIX — agoniste partiel α4β2) qui se lie au récepteur nicotinique et exerce un double effet — agoniste partiel (active modérément le récepteur, réduisant les symptômes de manque et le craving) et antagoniste compétitif (bloque l'effet de la nicotine inhalée si le patient fume, réduisant le plaisir de la cigarette) ; (iii) le bupropion (ZYBAN — antidépresseur IRSN/IRDN atypique) qui agit en inhibant la recapture de la dopamine et de la noradrénaline, réduisant le craving et les symptômes dépressifs de sevrage. La varénicline est l'option la plus efficace en monothérapie (taux d'abstinence à 6 mois ≈ 25-35 % versus 15-20 % pour le NRT et le bupropion, versus 10 % pour le placebo). Sa tolérance est dominée par les nausées (dose-dépendantes — réduit par prise au cours du repas et titration) et surtout par les </w:t>
      </w:r>
      <w:r>
        <w:rPr>
          <w:b/>
        </w:rPr>
        <w:t>troubles neuropsychiatriques</w:t>
      </w:r>
      <w:r>
        <w:t xml:space="preserve"> (dépression, anxiodépression, idéation suicidaire, agitation, agressivité — signal FDA 2008, EMA 2008) — ayant conduit à un renforcement des contre-indications et de la surveillance psychiatrique. En Algérie, la varénicline (CHAMPIX Pfizer) est marquée </w:t>
      </w:r>
      <w:r>
        <w:rPr>
          <w:b/>
        </w:rPr>
        <w:t>NON_RENOUVELABLE</w:t>
      </w:r>
      <w:r>
        <w:t xml:space="preserve"> dans la nomenclature Avril 2026, témoignant de l'arrêt de commercialisation mondial annoncé par Pfizer en 2021 (raisons industrielles — non liées à une nouvelle alerte de sécurité) — le stock restant est en épuisement progressif, et le relais doit se faire par NRT (substitution nicotinique — disponible sous de nombreuses formes en Algérie) ou bupropion (si disponible).</w:t>
      </w:r>
    </w:p>
    <w:p>
      <w:pPr>
        <w:pStyle w:val="Heading3"/>
      </w:pPr>
      <w:r>
        <w:t>7. DCI : Varénicline (Seule)</w:t>
      </w:r>
    </w:p>
    <w:p>
      <w:r/>
      <w:r>
        <w:rPr>
          <w:b/>
        </w:rPr>
        <w:t>Liste des Catégories :</w:t>
      </w:r>
      <w:r>
        <w:t xml:space="preserve"> Antiaddiction tabagique ; agoniste partiel des récepteurs nicotiniques α4β2 ; Liste I ; </w:t>
      </w:r>
      <w:r>
        <w:rPr>
          <w:b/>
        </w:rPr>
        <w:t>NON_RENOUVELABLE</w:t>
      </w:r>
      <w:r>
        <w:t xml:space="preserve"> en Algérie (épuisement de stock suite à l'arrêt de commercialisation mondial Pfizer 2021).</w:t>
      </w:r>
    </w:p>
    <w:p>
      <w:r>
        <w:t xml:space="preserve">La varénicline (CP-526,555, Pfizer — CHAMPIX®, CHANTIX® aux États-Unis) a été approuvée par la FDA en 2006 et en Europe en 2007 comme premier agoniste partiel α4β2 nicotinique indiqué dans le sevrage tabagique. Sa structure chimique (cytisine modifiée — alcaloïde extrait du Cytise Laburnum) lui confère une affinité haute et sélective pour le récepteur nicotinique α4β2 (Ki ≈ 0,15 nM — affinité supérieure à la nicotine elle-même Ki ≈ 1-2 nM). Son mécanisme d'action original repose sur un double effet : (i) </w:t>
      </w:r>
      <w:r>
        <w:rPr>
          <w:b/>
        </w:rPr>
        <w:t>agoniste partiel</w:t>
      </w:r>
      <w:r>
        <w:t xml:space="preserve"> — active le récepteur α4β2 mais avec une efficacité intrinsèque partielle (≈ 40-50 % de l'effet de la nicotine), suffisant pour réduire les symptômes de manque et le craving sans induire l'euphorie de la cigarette ; (ii) </w:t>
      </w:r>
      <w:r>
        <w:rPr>
          <w:b/>
        </w:rPr>
        <w:t>antagoniste compétitif</w:t>
      </w:r>
      <w:r>
        <w:t xml:space="preserve"> — occupe le site de liaison de la nicotine, empêchant celle-ci (en cas de tabagisme concomitant) d'activer le récepteur, réduisant ainsi le plaisir de la cigarette et la récompense reinforcing. Cette double action explique une efficacité supérieure au NRT et au bupropion. Sa tolérance est dominée par les nausées (35-50 % — dose-dépendantes, réduites par prise au cours du repas et titration) et par les troubles neuropsychiatriques (dépression, idéation suicidaire, agitation, agressivité, rêves anormaux, insomnie — signal FDA 2008). En Algérie, la varénicline (CHAMPIX Pfizer) est marquée </w:t>
      </w:r>
      <w:r>
        <w:rPr>
          <w:b/>
        </w:rPr>
        <w:t>NON_RENOUVELABLE</w:t>
      </w:r>
      <w:r>
        <w:t xml:space="preserve"> dans la nomenclature Avril 2026 — le stock restant (boîtes de 25 comprimés à 0,5 mg et 1 mg, et de 28 ou 56 comprimés à 1 mg) est en épuisement progressif. Une fois les stocks épuisés, le sevrage tabagique pharmacologique reposera exclusivement sur la substitution nicotinique (NRT — disponible sous de nombreuses formes en Algérie) et, si disponible, le bupropion.</w:t>
      </w:r>
    </w:p>
    <w:p>
      <w:r/>
      <w:r>
        <w:rPr>
          <w:b/>
        </w:rPr>
        <w:t>Médicaments disponibles en Algérie (Marques, Laboratoires, Formes et Dosages) :</w:t>
      </w:r>
      <w:r/>
    </w:p>
    <w:p>
      <w:pPr>
        <w:pStyle w:val="ListBullet"/>
      </w:pPr>
      <w:r/>
      <w:r>
        <w:rPr>
          <w:b/>
        </w:rPr>
        <w:t>CHAMPIX</w:t>
      </w:r>
      <w:r>
        <w:t xml:space="preserve"> (PFIZER LIMITED)</w:t>
      </w:r>
    </w:p>
    <w:p>
      <w:pPr>
        <w:pStyle w:val="ListBullet"/>
      </w:pPr>
      <w:r>
        <w:t>Formes et Dosages : Comprimé pelliculé 0,5 mg et 1 mg — boîte d'initiation B/25 (11 comprimés à 0,5 mg + 14 comprimés à 1 mg) ; Comprimé pelliculé 1 mg — B/28 et B/56 (boîte d'entretien).</w:t>
      </w:r>
    </w:p>
    <w:p>
      <w:pPr>
        <w:pStyle w:val="ListBullet"/>
      </w:pPr>
      <w:r>
        <w:t xml:space="preserve">Statut : </w:t>
      </w:r>
      <w:r>
        <w:rPr>
          <w:b/>
        </w:rPr>
        <w:t>NON_RENOUVELABLE</w:t>
      </w:r>
      <w:r>
        <w:t xml:space="preserve"> (toutes présentations) — arrêt de commercialisation mondial Pfizer 2021, stock algérien en épuisement.</w:t>
      </w:r>
    </w:p>
    <w:p>
      <w:pPr>
        <w:pStyle w:val="ListBullet"/>
      </w:pPr>
      <w:r/>
      <w:r>
        <w:rPr>
          <w:b/>
        </w:rPr>
        <w:t>Médicaments retirés :</w:t>
      </w:r>
      <w:r>
        <w:t xml:space="preserve"> aucun (la varénicline n'a jamais eu de générique disponible en Algérie, le brevet Pfizer n'ayant expiré qu'en 2020).</w:t>
      </w:r>
    </w:p>
    <w:p>
      <w:pPr>
        <w:pStyle w:val="ListBullet"/>
      </w:pPr>
      <w:r/>
      <w:r>
        <w:rPr>
          <w:b/>
        </w:rPr>
        <w:t>Alternatives pharmacologiques disponibles en Algérie pour le sevrage tabagique :</w:t>
      </w:r>
      <w:r/>
    </w:p>
    <w:p>
      <w:pPr>
        <w:pStyle w:val="ListBullet"/>
      </w:pPr>
      <w:r>
        <w:t>Substitution nicotinique (NRT) : formes transdermiques (patchs), gommes à mâcher, pastilles à sucer, inhaleurs — disponibles sous de nombreuses marques (à vérifier dans la nomenclature).</w:t>
      </w:r>
    </w:p>
    <w:p>
      <w:pPr>
        <w:pStyle w:val="ListBullet"/>
      </w:pPr>
      <w:r>
        <w:t>Bupropion (ZYBAN ou génériques) : antidépresseur atypique indiqué dans le sevrage tabagique (à vérifier la disponibilité dans la nomenclature algérienne).</w:t>
      </w:r>
    </w:p>
    <w:p>
      <w:pPr>
        <w:pStyle w:val="ListBullet"/>
      </w:pPr>
      <w:r/>
      <w:r>
        <w:rPr>
          <w:b/>
        </w:rPr>
        <w:t>Recommandation pour le pharmacien algérien :</w:t>
      </w:r>
      <w:r>
        <w:t xml:space="preserve"> en cas d'ordonnance pour varénicline (CHAMPIX) — vérifier la disponibilité auprès du distributeur ; en cas de rupture définitive, orienter le patient vers une consultation médicale pour prescription d'alternative pharmacologique (NRT préférentiel) et poursuite du suivi du sevrage.</w:t>
      </w:r>
    </w:p>
    <w:p>
      <w:r/>
      <w:r>
        <w:rPr>
          <w:b/>
        </w:rPr>
        <w:t>Sous-classe et Mécanisme d'action :</w:t>
      </w:r>
      <w:r/>
    </w:p>
    <w:p>
      <w:pPr>
        <w:pStyle w:val="ListBullet"/>
      </w:pPr>
      <w:r>
        <w:t>Sous-classe : Antiaddiction tabagique, agoniste partiel sélectif des récepteurs nicotiniques α4β2, dérivé de la cytisine.</w:t>
      </w:r>
    </w:p>
    <w:p>
      <w:pPr>
        <w:pStyle w:val="ListBullet"/>
      </w:pPr>
      <w:r>
        <w:t xml:space="preserve">Mécanisme d'action : la varénicline se lie de manière haute affinité (Ki ≈ 0,15 nM) et sélective au récepteur nicotinique α4β2 — principal sous-type nicotinique cérébral impliqué dans la dépendance tabagique (exprimé dans le noyau accumbens, l'aire tegmentale ventrale, le cortex préfrontal — voie mésolimbique de la récompense). Elle exerce un double effet : (i) </w:t>
      </w:r>
      <w:r>
        <w:rPr>
          <w:b/>
        </w:rPr>
        <w:t>agoniste partiel</w:t>
      </w:r>
      <w:r>
        <w:t xml:space="preserve"> — active le récepteur avec une efficacité intrinsèque partielle (≈ 40-50 % de l'effet maximal de la nicotine), suffisant pour activer la libération de dopamine mais à un niveau sub-euphorique — réduisant les symptômes de manque et le craving sans induire la récompense reinforcing de la cigarette ; (ii) </w:t>
      </w:r>
      <w:r>
        <w:rPr>
          <w:b/>
        </w:rPr>
        <w:t>antagoniste compétitif</w:t>
      </w:r>
      <w:r>
        <w:t xml:space="preserve"> — occupe le site de liaison de la nicotine, empêchant celle-ci (en cas de tabagisme concomitant) d'activer pleinement le récepteur — réduisant ainsi le plaisir de la cigarette, l'effet renforçateur et la satisfaction de fumer. Cette double action explique une efficacité supérieure au NRT (agoniste complet mais sans effet antagoniste) et au bupropion (action non nicotinique indirecte). Affinité faible pour d'autres sous-types nicotiniques (α3β4, α7 — Ki &gt; 1 μM) — d'où une tolérance cardiovasculaire et neuromusculaire globalement favorable. Métabolisme hépatique limité (≈ 92 % éliminés inchangés dans les urines) ; pas d'implication significative du CYP450 — pas d'interactions pharmacocinétiques majeures ; demi-vie d'élimination 24 h (monoprise ou biprise possible).</w:t>
      </w:r>
    </w:p>
    <w:p>
      <w:r/>
      <w:r>
        <w:rPr>
          <w:b/>
        </w:rPr>
        <w:t>Profil Pharmacologique :</w:t>
      </w:r>
      <w:r/>
    </w:p>
    <w:p>
      <w:pPr>
        <w:pStyle w:val="ListBullet"/>
      </w:pPr>
      <w:r>
        <w:t>Indications : sevrage tabagique chez l'adulte (≥ 18 ans) — en première intention ou en cas d'échec du NRT ; AMM européenne. Le traitement doit s'intégrer dans une prise en charge globale (soutien psychologique, TCC, suivi médical rapproché).</w:t>
      </w:r>
    </w:p>
    <w:p>
      <w:pPr>
        <w:pStyle w:val="ListBullet"/>
      </w:pPr>
      <w:r>
        <w:t>Contre-indications : hypersensibilité ; antécédent de troubles psychiatriques sévères (dépression avec tentative de suicide, psychose, trouble bipolaire non stabilisé — CI relative, à discuter au cas par cas avec psychiatre) ; grossesse (à éviter par prudence) ; allaitement ; enfant &lt; 18 ans (tolérance non établie) ; insuffisance rénale terminale (DFG &lt; 5 mL/min — CI relative). Précautions : maladie cardiovasculaire (surveillance, notamment en cas de reprise du tabagisme pendant le traitement) ; épilepsie (abaissement possible du seuil épileptogène) ; antécédent d'ulcère gastro-duodénal (la varénicline augmente la sécrétion acide par effet nicotinique accessoire).</w:t>
      </w:r>
    </w:p>
    <w:p>
      <w:pPr>
        <w:pStyle w:val="ListBullet"/>
      </w:pPr>
      <w:r>
        <w:t xml:space="preserve">Effets indésirables : digestifs (nausées </w:t>
      </w:r>
      <w:r>
        <w:rPr>
          <w:b/>
        </w:rPr>
        <w:t>35-50 %</w:t>
      </w:r>
      <w:r>
        <w:t xml:space="preserve"> — dose-dépendantes, réduites par prise au cours du repas et titration ; vomissements 5-10 % ; constipation 5-10 % ; flatulences, dyspepsie) ; neuropsychiatriques (</w:t>
      </w:r>
      <w:r>
        <w:rPr>
          <w:b/>
        </w:rPr>
        <w:t>dépression 2-5 %, idéation suicidaire &lt; 1 %, tentatives de suicide exceptionnelles, agitation, agressivité, irritabilité, anxiété, rêves anormaux et cauchemars 10-15 %, insomnie 10-15 %, somnolence 5-10 % — signal FDA 2008, EMA 2008, recommandation de surveillance psychiatrique systématique et d'information du patient et de l'entourage des signes d'alerte</w:t>
      </w:r>
      <w:r>
        <w:t>) ; cardiovasculaires (augmentation modeste de la TA, exceptionnellement événements cardiovasculaires ischémiques en cas de reprise du tabagisme — signal controversé) ; cutanés (rash, prurit — exceptionnellement syndrome de Stevens-Johnson) ; métaboliques (modification du goût, prise de poids post-sevrage — inférieure à celle observée avec sevrage sans aide pharmacologique) ; exceptionnellement convulsions (patients prédisposés).</w:t>
      </w:r>
    </w:p>
    <w:p>
      <w:r/>
      <w:r>
        <w:rPr>
          <w:b/>
        </w:rPr>
        <w:t>Prévention et Gestion des Effets Indésirables :</w:t>
      </w:r>
      <w:r/>
    </w:p>
    <w:p>
      <w:pPr>
        <w:pStyle w:val="ListBullet"/>
      </w:pPr>
      <w:r>
        <w:t>Mesures préventives : bilan neuropsychiatrique pré-thérapeutique (recherche d'antécédents psychiatriques, en particulier dépressifs et suicidaires) — en cas d'antécédent, prescription par médecin spécialiste (psychiatre ou addictologue) avec surveillance rapprochée ; information du patient et de l'entourage des signes d'alerte neuropsychiatrique (idées délirantes, hallucinations, anxiété majeure, agitation, agressivité, idées suicidaires — arrêt immédiat et consultation urgente) ; prise au cours des repas (réduit les nausées) ; titration stricte selon le schéma (J1-J3 : 0,5 mg × 1/jour ; J4-J7 : 0,5 mg × 2/jour ; J8+ : 1 mg × 2/jour) — ne pas augmenter plus vite que prescrit ; surveillance TA et FC ; information sur la possibilité de continuer à fumer pendant la première semaine (J1-J7 — arrêt du tabac programmé entre J8 et J14) sans effet délétère (la varénicline antagonisera l'effet de la nicotine inhalée) ; contraception efficace chez la femme en âge de procréer.</w:t>
      </w:r>
    </w:p>
    <w:p>
      <w:pPr>
        <w:pStyle w:val="ListBullet"/>
      </w:pPr>
      <w:r>
        <w:t>Conduite à tenir : arrêt immédiat en cas d'apparition de signes neuropsychiatriques (idées délirantes, hallucinations, agitation, agressivité, idéation suicidaire — consultation urgente spécialisée) ; réduction posologique en cas de nausées persistantes (1 mg × 1/jour au lieu de 2/jour) ; arrêt définitif en cas de syndrome dépressif avéré (relais par NRT ou bupropion si non contre-indiqué).</w:t>
      </w:r>
    </w:p>
    <w:p>
      <w:r/>
      <w:r>
        <w:rPr>
          <w:b/>
        </w:rPr>
        <w:t>Interactions Importantes :</w:t>
      </w:r>
      <w:r/>
    </w:p>
    <w:p>
      <w:pPr>
        <w:pStyle w:val="ListBullet"/>
      </w:pPr>
      <w:r>
        <w:t xml:space="preserve">Varénicline + NRT (substitution nicotinique) : </w:t>
      </w:r>
      <w:r>
        <w:rPr>
          <w:b/>
        </w:rPr>
        <w:t>CI relative par potentialisation des EI</w:t>
      </w:r>
      <w:r>
        <w:t xml:space="preserve"> (nausées majorées, céphalées, insomnie — et absence de bénéfice additif démontré) — à éviter en association systématique, à discuter en cas d'échec en monothérapie.</w:t>
      </w:r>
    </w:p>
    <w:p>
      <w:pPr>
        <w:pStyle w:val="ListBullet"/>
      </w:pPr>
      <w:r>
        <w:t>Varénicline + bupropion : pas d'interaction pharmacocinétique majeure mais potentialisation des EI neuropsychiatriques (anxiété, insomnie, agitation) — surveillance accrue.</w:t>
      </w:r>
    </w:p>
    <w:p>
      <w:pPr>
        <w:pStyle w:val="ListBullet"/>
      </w:pPr>
      <w:r>
        <w:t>Varénicline + alcool : potentialisation des effets de l'alcool (désinhibition, ivresse majorée) — à éviter pendant le traitement.</w:t>
      </w:r>
    </w:p>
    <w:p>
      <w:pPr>
        <w:pStyle w:val="ListBullet"/>
      </w:pPr>
      <w:r>
        <w:t>Varénicline + cimétidine : augmentation modeste des taux de varénicline par inhibition de la sécrétion tubulaire rénale — surveillance.</w:t>
      </w:r>
    </w:p>
    <w:p>
      <w:pPr>
        <w:pStyle w:val="ListBullet"/>
      </w:pPr>
      <w:r>
        <w:t>Varénicline + warfarine : modification possible de l'INR (surveillance, adaptation posologique).</w:t>
      </w:r>
    </w:p>
    <w:p>
      <w:pPr>
        <w:pStyle w:val="ListBullet"/>
      </w:pPr>
      <w:r>
        <w:t>Varénicline + contraceptifs oraux : pas d'interaction significative.</w:t>
      </w:r>
    </w:p>
    <w:p>
      <w:pPr>
        <w:pStyle w:val="ListBullet"/>
      </w:pPr>
      <w:r>
        <w:t>Avantage pharmacocinétique : pas d'implication du CYP450 — pas d'interaction pharmacocinétique avec les inducteurs/inhibiteurs enzymatiques (atout majeur chez le patient polypathologique).</w:t>
      </w:r>
    </w:p>
    <w:p>
      <w:r/>
      <w:r>
        <w:rPr>
          <w:b/>
        </w:rPr>
        <w:t>Grossesse et Allaitement :</w:t>
      </w:r>
      <w:r/>
    </w:p>
    <w:p>
      <w:pPr>
        <w:pStyle w:val="ListBullet"/>
      </w:pPr>
      <w:r>
        <w:t>Grossesse : données animales évocatrices d'un risque tératogène (retard de développement, anomalies squelettiques) à doses supraphysiologiques ; données humaines limitées (registre Pfizer ≈ 500 grossesses exposées, sans sur-risque malformatif majeur mis en évidence mais données insuffisantes). CRAT conclut à un risque tératogène non écarté — à éviter par prudence ; relais par NRT (substitution nicotinique — données de sécurité mieux établies, à dose minimale efficace avec sevrage progressif en fin de grossesse pour éviter le syndrome de sevrage néonatal).</w:t>
      </w:r>
    </w:p>
    <w:p>
      <w:pPr>
        <w:pStyle w:val="ListBullet"/>
      </w:pPr>
      <w:r>
        <w:t>Allaitement : passage dans le lait maternel probable (données humaines limitées) ; à éviter par prudence (le NRT est compatible avec l'allaitement à dose minimale, sous forme patch à libération continue — varénicline CI).</w:t>
      </w:r>
    </w:p>
    <w:p>
      <w:pPr>
        <w:pStyle w:val="ListBullet"/>
      </w:pPr>
      <w:r>
        <w:t>Précisions : le tabagisme maternel étant lui-même tératogène (retard de croissance, prématurité, mort fœtale), le sevrage tabagique est une priorité chez la femme enceinte fumeuse — sevrage non pharmacologique préférentiel, ou NRT à dose minimale efficace si nécessaire. La varénicline est à éviter.</w:t>
      </w:r>
    </w:p>
    <w:p>
      <w:r/>
      <w:r>
        <w:rPr>
          <w:b/>
        </w:rPr>
        <w:t>Posologie et Mode d'administration (Standard) :</w:t>
      </w:r>
      <w:r/>
    </w:p>
    <w:p>
      <w:pPr>
        <w:pStyle w:val="ListBullet"/>
      </w:pPr>
      <w:r>
        <w:t>Adulte : titration stricte sur 7 jours — J1-J3 : 0,5 mg × 1/jour (matin, au cours du repas) ; J4-J7 : 0,5 mg × 2/jour (matin et soir, au cours des repas) ; J8 et au-delà : 1 mg × 2/jour (matin et soir, au cours des repas — dose thérapeutique usuelle, dose maximale 2 mg/jour). Arrêt du tabac programmé entre J8 et J14 (le patient continue à fumer pendant la première semaine sans effet délétère — la varénicline antagonisera progressivement l'effet de la nicotine).</w:t>
      </w:r>
    </w:p>
    <w:p>
      <w:pPr>
        <w:pStyle w:val="ListBullet"/>
      </w:pPr>
      <w:r>
        <w:t>Sujet âgé : pas d'adaptation systématique mais surveillance accrue (sensibilité neuropsychiatrique et cardiovasculaire accrue).</w:t>
      </w:r>
    </w:p>
    <w:p>
      <w:pPr>
        <w:pStyle w:val="ListBullet"/>
      </w:pPr>
      <w:r>
        <w:t>Insuffisant rénal modéré (DFG 30-50 mL/min) : pas d'adaptation.</w:t>
      </w:r>
    </w:p>
    <w:p>
      <w:pPr>
        <w:pStyle w:val="ListBullet"/>
      </w:pPr>
      <w:r>
        <w:t>Insuffisant rénal sévère (DFG 5-29 mL/min) : dose maximale 0,5 mg × 2/jour (1 mg/jour) — adapter selon la tolérance.</w:t>
      </w:r>
    </w:p>
    <w:p>
      <w:pPr>
        <w:pStyle w:val="ListBullet"/>
      </w:pPr>
      <w:r>
        <w:t>Insuffisant rénal terminal (DFG &lt; 5 mL/min) : CI relative (dose maximale 0,5 mg × 1/jour si benefit/risk ratio favorable — à éviter par prudence).</w:t>
      </w:r>
    </w:p>
    <w:p>
      <w:pPr>
        <w:pStyle w:val="ListBullet"/>
      </w:pPr>
      <w:r>
        <w:t>Insuffisant hépatique : pas d'adaptation (métabolisme hépatique limité).</w:t>
      </w:r>
    </w:p>
    <w:p>
      <w:pPr>
        <w:pStyle w:val="ListBullet"/>
      </w:pPr>
      <w:r>
        <w:t>Durée : 12 semaines (3 mois) — si succès à 12 semaines, prolongation possible 12 semaines supplémentaires (24 semaines au total, dose d'entretien 1 mg × 2/jour) — maximum 24 semaines. En cas d'échec à 12 semaines (patient toujours fumeur), arrêt de la varénicline et orientation vers une autre stratégie (NRT, bupropion, thérapie comportementale).</w:t>
      </w:r>
    </w:p>
    <w:p>
      <w:pPr>
        <w:pStyle w:val="ListBullet"/>
      </w:pPr>
      <w:r>
        <w:t>Moment de la prise : deux prises par jour au cours des repas (matin et soir) ; titration stricte sur 7 jours ; arrêt du tabac entre J8 et J14.</w:t>
      </w:r>
    </w:p>
    <w:p>
      <w:r/>
      <w:r>
        <w:rPr>
          <w:b/>
        </w:rPr>
        <w:t>Arbitrage et Bénéfices des Formes Galéniques :</w:t>
      </w:r>
      <w:r/>
    </w:p>
    <w:p>
      <w:r>
        <w:t>La boîte d'initiation CHAMPIX (B/25 — 11 comprimés à 0,5 mg + 14 comprimés à 1 mg) couvre la première semaine de titration (J1-J3 : 0,5 mg × 1/jour ; J4-J7 : 0,5 mg × 2/jour ; J8-J14 : 1 mg × 2/jour pendant 7 jours) — particulièrement adaptée à la titration stricte prescrite. La boîte d'entretien CHAMPIX (B/28 ou B/56 à 1 mg) permet la poursuite du traitement à dose thérapeutique usuelle (1 mg × 2/jour) sur 2 ou 4 semaines. La diversité des présentations (boîte d'initiation 25 comprimés, boîte d'entretien 28 ou 56 comprimés) couvre l'ensemble des besoins cliniques. Pas de forme LP (la demi-vie 24 h autorise déjà une biprise simple) ni de forme liquide. La concurrence générique étant absente en Algérie (brevet Pfizer expiré en 2020 mais pas de générique encore commercialisé), le CHAMPIX reste l'unique source de varénicline — et son statut NON_RENOUVELABLE pose un problème de disponibilité croissant.</w:t>
      </w:r>
    </w:p>
    <w:p>
      <w:r/>
      <w:r>
        <w:rPr>
          <w:b/>
        </w:rPr>
        <w:t>Instructions et Conseils au Patient :</w:t>
      </w:r>
      <w:r/>
    </w:p>
    <w:p>
      <w:pPr>
        <w:pStyle w:val="ListBullet"/>
      </w:pPr>
      <w:r>
        <w:t xml:space="preserve">Communication au comptoir : expliquer le mécanisme (double effet agoniste partiel + antagoniste — réduction du manque et du plaisir de la cigarette) ; titration stricte sur 7 jours selon le schéma prescrit (ne pas augmenter plus vite) ; prise au cours des repas (réduit les nausées) ; arrêt du tabac programmé entre J8 et J14 (continuer à fumer pendant la première semaine sans effet délétère) ; surveillance des EI digestifs (nausées — dose-dépendantes, à signaler si persistantes) et </w:t>
      </w:r>
      <w:r>
        <w:rPr>
          <w:b/>
        </w:rPr>
        <w:t>neuropsychiatriques</w:t>
      </w:r>
      <w:r>
        <w:t xml:space="preserve"> (dépression, anxiété, agitation, agressivité, idées suicidaires — arrêt immédiat et consultation urgente) ; information de l'entourage pour surveillance conjointe ; pas d'association avec NRT sans avis médical ; pas d'alcool pendant le traitement ; contraception efficace chez la femme en âge de procréer ; durée 12 semaines (3 mois) — évaluation à 12 semaines de la nécessité d'une prolongation (12 semaines supplémentaires maximum). </w:t>
      </w:r>
      <w:r>
        <w:rPr>
          <w:b/>
        </w:rPr>
        <w:t>Information spécifique statut NON_RENOUVELABLE</w:t>
      </w:r>
      <w:r>
        <w:t xml:space="preserve"> : la varénicline est en épuisement de stock en Algérie — en cas de rupture, orienter vers le médecin prescripteur pour substitution par NRT ou bupropion.</w:t>
      </w:r>
    </w:p>
    <w:p>
      <w:pPr>
        <w:pStyle w:val="ListBullet"/>
      </w:pPr>
      <w:r>
        <w:t>Mode d'utilisation pratique : comprimé pelliculé à avaler entier avec un grand verre d'eau au cours du repas (matin et soir) ; oubli : ne pas doubler la dose, prendre la dose oubliée si elle est éloignée de moins de 8 heures de la prise habituelle, sinon ne pas la prendre ; conservation à température ambiante &lt; 25 °C.</w:t>
      </w:r>
    </w:p>
    <w:p>
      <w:r/>
      <w:r>
        <w:rPr>
          <w:b/>
        </w:rPr>
        <w:t>Notes, Règles d'Or &amp; Pièges au Comptoir :</w:t>
      </w:r>
      <w:r/>
    </w:p>
    <w:p>
      <w:pPr>
        <w:pStyle w:val="ListBullet"/>
      </w:pPr>
      <w:r>
        <w:t xml:space="preserve">Piège classique : les </w:t>
      </w:r>
      <w:r>
        <w:rPr>
          <w:b/>
        </w:rPr>
        <w:t>troubles neuropsychiatriques</w:t>
      </w:r>
      <w:r>
        <w:t xml:space="preserve"> de la varénicline (dépression, idéation suicidaire, agitation, agressivité) sont le piège principal — le pharmacien doit </w:t>
      </w:r>
      <w:r>
        <w:rPr>
          <w:b/>
        </w:rPr>
        <w:t>systématiquement</w:t>
      </w:r>
      <w:r>
        <w:t xml:space="preserve"> demander au patient s'il a des antécédents psychiatriques et informer le patient et l'entourage des signes d'alerte. La titration doit être stricte selon le schéma prescrit — augmenter plus vite expose à une incidence majorée de nausées (jusqu'à 70-80 %). La prise au cours des repas est essentielle pour réduire les nausées. L'association avec un NRT n'est pas recommandée en routine (potentialisation des EI, pas de bénéfice additif démontré) — discuter au cas par cas en cas d'échec. Le statut </w:t>
      </w:r>
      <w:r>
        <w:rPr>
          <w:b/>
        </w:rPr>
        <w:t>NON_RENOUVELABLE</w:t>
      </w:r>
      <w:r>
        <w:t xml:space="preserve"> de la varénicline en Algérie doit être signalé au patient dès la délivrance — orienter vers le médecin prescripteur pour substitution si rupture. La varénicline n'est pas un substitut nicotinique — son mécanisme est différent (agoniste partiel + antagoniste vs agoniste complet pour la nicotine), d'où la possibilité de poursuivre le tabagisme pendant la première semaine sans effet délétère (le traitement antagonisera l'effet de la nicotine).</w:t>
      </w:r>
    </w:p>
    <w:p>
      <w:pPr>
        <w:pStyle w:val="ListBullet"/>
      </w:pPr>
      <w:r>
        <w:t>Règle de prise : deux prises par jour au cours des repas ; titration stricte sur 7 jours ; arrêt du tabac entre J8 et J14.</w:t>
      </w:r>
    </w:p>
    <w:p>
      <w:pPr>
        <w:pStyle w:val="ListBullet"/>
      </w:pPr>
      <w:r>
        <w:t>Préparation et conservation : comprimés à conserver à température ambiante &lt; 25 °C, à l'abri de l'humidité ; pas de préparation magistrale spécifique.</w:t>
      </w:r>
    </w:p>
    <w:p>
      <w:pPr>
        <w:pStyle w:val="ListBullet"/>
      </w:pPr>
      <w:r>
        <w:t>Piège du surdosage / Substitution : surdosage aigu = syndrome nicotinique (nausées, vomissements, salivation, diarrhée, bradycardie, hypotension, exceptionnellement convulsions, coma — doses &gt; 5 mg en une prise) — prise en charge symptomatique en réanimation, surveillance ECG, fluides IV, atropine IV si bradycardie sévère, diazépam IV si convulsions ; la varénicline est dialysable en cas de surdosage massif. En cas d'arrêt définitif de la varénicline (rupture de stock NON_RENOUVELABLE ou EI neuropsychiatrique), le relais pharmacologique se fait par NRT (substitution nicotinique — patchs en première intention, dose 21 mg/24 h en monothérapie ou association formes) ou bupropion (LP 150 mg × 2/jour, si disponible et non CI) — pas d'équivalence directe. La thérapie comportementale et cognitive (TCC) doit toujours être associée pour optimiser les taux d'abstinence.</w:t>
      </w:r>
    </w:p>
    <w:p>
      <w:pPr>
        <w:pStyle w:val="Heading2"/>
      </w:pPr>
      <w:r>
        <w:t>TABLEAU COMPARATIF DES 7 DCI DU CHAPITRE 86</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w:t>
            </w:r>
          </w:p>
        </w:tc>
        <w:tc>
          <w:tcPr>
            <w:tcW w:type="dxa" w:w="1336"/>
          </w:tcPr>
          <w:p>
            <w:r>
              <w:rPr>
                <w:b/>
                <w:sz w:val="20"/>
              </w:rPr>
              <w:t>Posologie adulte usuelle</w:t>
            </w:r>
          </w:p>
        </w:tc>
        <w:tc>
          <w:tcPr>
            <w:tcW w:type="dxa" w:w="1336"/>
          </w:tcPr>
          <w:p>
            <w:r>
              <w:rPr>
                <w:b/>
                <w:sz w:val="20"/>
              </w:rPr>
              <w:t>EI majeur</w:t>
            </w:r>
          </w:p>
        </w:tc>
        <w:tc>
          <w:tcPr>
            <w:tcW w:type="dxa" w:w="1336"/>
          </w:tcPr>
          <w:p>
            <w:r>
              <w:rPr>
                <w:b/>
                <w:sz w:val="20"/>
              </w:rPr>
              <w:t>CI majeure</w:t>
            </w:r>
          </w:p>
        </w:tc>
        <w:tc>
          <w:tcPr>
            <w:tcW w:type="dxa" w:w="1336"/>
          </w:tcPr>
          <w:p>
            <w:r>
              <w:rPr>
                <w:b/>
                <w:sz w:val="20"/>
              </w:rPr>
              <w:t>Grossesse/Allaitement (CRAT)</w:t>
            </w:r>
          </w:p>
        </w:tc>
      </w:tr>
      <w:tr>
        <w:tc>
          <w:tcPr>
            <w:tcW w:type="dxa" w:w="1336"/>
          </w:tcPr>
          <w:p>
            <w:r>
              <w:rPr>
                <w:sz w:val="20"/>
              </w:rPr>
              <w:t>**Méthylphénidate** (non disponible Algérie)</w:t>
            </w:r>
          </w:p>
        </w:tc>
        <w:tc>
          <w:tcPr>
            <w:tcW w:type="dxa" w:w="1336"/>
          </w:tcPr>
          <w:p>
            <w:r>
              <w:rPr>
                <w:sz w:val="20"/>
              </w:rPr>
              <w:t>Psychostimulant amphétaminique</w:t>
            </w:r>
          </w:p>
        </w:tc>
        <w:tc>
          <w:tcPr>
            <w:tcW w:type="dxa" w:w="1336"/>
          </w:tcPr>
          <w:p>
            <w:r>
              <w:rPr>
                <w:sz w:val="20"/>
              </w:rPr>
              <w:t>Inhibition recapture DA/NA (DAT, NET)</w:t>
            </w:r>
          </w:p>
        </w:tc>
        <w:tc>
          <w:tcPr>
            <w:tcW w:type="dxa" w:w="1336"/>
          </w:tcPr>
          <w:p>
            <w:r>
              <w:rPr>
                <w:sz w:val="20"/>
              </w:rPr>
              <w:t>5-20 mg × 2/jour (forme IR) ; 18-54 mg/jour (forme LP) — max 60 mg/jour</w:t>
            </w:r>
          </w:p>
        </w:tc>
        <w:tc>
          <w:tcPr>
            <w:tcW w:type="dxa" w:w="1336"/>
          </w:tcPr>
          <w:p>
            <w:r>
              <w:rPr>
                <w:sz w:val="20"/>
              </w:rPr>
              <w:t>Anorexie, insomnie, ralentissement croissance, tachycardie/HTA modeste</w:t>
            </w:r>
          </w:p>
        </w:tc>
        <w:tc>
          <w:tcPr>
            <w:tcW w:type="dxa" w:w="1336"/>
          </w:tcPr>
          <w:p>
            <w:r>
              <w:rPr>
                <w:sz w:val="20"/>
              </w:rPr>
              <w:t>Glaucome angle fermé, cardiovasculaire sévère, troubles psychiatriques sévères, hyperthyroïdie, IMAO</w:t>
            </w:r>
          </w:p>
        </w:tc>
        <w:tc>
          <w:tcPr>
            <w:tcW w:type="dxa" w:w="1336"/>
          </w:tcPr>
          <w:p>
            <w:r>
              <w:rPr>
                <w:sz w:val="20"/>
              </w:rPr>
              <w:t>Grossesse à éviter (CRAT) ; Allaitement CI (passage lacté)</w:t>
            </w:r>
          </w:p>
        </w:tc>
      </w:tr>
      <w:tr>
        <w:tc>
          <w:tcPr>
            <w:tcW w:type="dxa" w:w="1336"/>
          </w:tcPr>
          <w:p>
            <w:r>
              <w:rPr>
                <w:sz w:val="20"/>
              </w:rPr>
              <w:t>**Atomoxétine** (STRATTERA, STRATAN)</w:t>
            </w:r>
          </w:p>
        </w:tc>
        <w:tc>
          <w:tcPr>
            <w:tcW w:type="dxa" w:w="1336"/>
          </w:tcPr>
          <w:p>
            <w:r>
              <w:rPr>
                <w:sz w:val="20"/>
              </w:rPr>
              <w:t>IRSN (sélectif NET)</w:t>
            </w:r>
          </w:p>
        </w:tc>
        <w:tc>
          <w:tcPr>
            <w:tcW w:type="dxa" w:w="1336"/>
          </w:tcPr>
          <w:p>
            <w:r>
              <w:rPr>
                <w:sz w:val="20"/>
              </w:rPr>
              <w:t>Inhibition recapture NA (NET) — sélectif, sans action DAT</w:t>
            </w:r>
          </w:p>
        </w:tc>
        <w:tc>
          <w:tcPr>
            <w:tcW w:type="dxa" w:w="1336"/>
          </w:tcPr>
          <w:p>
            <w:r>
              <w:rPr>
                <w:sz w:val="20"/>
              </w:rPr>
              <w:t>40 mg/jour × 7 jours puis 80 mg/jour (max 100 mg/jour) ; enfant 1,2-1,4 mg/kg/jour</w:t>
            </w:r>
          </w:p>
        </w:tc>
        <w:tc>
          <w:tcPr>
            <w:tcW w:type="dxa" w:w="1336"/>
          </w:tcPr>
          <w:p>
            <w:r>
              <w:rPr>
                <w:sz w:val="20"/>
              </w:rPr>
              <w:t>Digestifs (nausées, douleurs abdo), insomnie, idées suicidaires (signal FDA 2008), hépatotoxicité rare</w:t>
            </w:r>
          </w:p>
        </w:tc>
        <w:tc>
          <w:tcPr>
            <w:tcW w:type="dxa" w:w="1336"/>
          </w:tcPr>
          <w:p>
            <w:r>
              <w:rPr>
                <w:sz w:val="20"/>
              </w:rPr>
              <w:t>Glaucome angle fermé, IMAO, phéochromocytome, cardiovasculaire sévère</w:t>
            </w:r>
          </w:p>
        </w:tc>
        <w:tc>
          <w:tcPr>
            <w:tcW w:type="dxa" w:w="1336"/>
          </w:tcPr>
          <w:p>
            <w:r>
              <w:rPr>
                <w:sz w:val="20"/>
              </w:rPr>
              <w:t>Grossesse à éviter par prudence (données limitées) ; Allaitement CI (passage lacté)</w:t>
            </w:r>
          </w:p>
        </w:tc>
      </w:tr>
      <w:tr>
        <w:tc>
          <w:tcPr>
            <w:tcW w:type="dxa" w:w="1336"/>
          </w:tcPr>
          <w:p>
            <w:r>
              <w:rPr>
                <w:sz w:val="20"/>
              </w:rPr>
              <w:t>**Modafinil** (VIGINIL, PRO-EVEIL)</w:t>
            </w:r>
          </w:p>
        </w:tc>
        <w:tc>
          <w:tcPr>
            <w:tcW w:type="dxa" w:w="1336"/>
          </w:tcPr>
          <w:p>
            <w:r>
              <w:rPr>
                <w:sz w:val="20"/>
              </w:rPr>
              <w:t>Promoteur éveil non amphétaminique</w:t>
            </w:r>
          </w:p>
        </w:tc>
        <w:tc>
          <w:tcPr>
            <w:tcW w:type="dxa" w:w="1336"/>
          </w:tcPr>
          <w:p>
            <w:r>
              <w:rPr>
                <w:sz w:val="20"/>
              </w:rPr>
              <w:t>Inhibition DAT (modérée) + activation orexine/histamine</w:t>
            </w:r>
          </w:p>
        </w:tc>
        <w:tc>
          <w:tcPr>
            <w:tcW w:type="dxa" w:w="1336"/>
          </w:tcPr>
          <w:p>
            <w:r>
              <w:rPr>
                <w:sz w:val="20"/>
              </w:rPr>
              <w:t>200 mg/jour en monoprise matinale (max 400 mg/jour en 2 prises)</w:t>
            </w:r>
          </w:p>
        </w:tc>
        <w:tc>
          <w:tcPr>
            <w:tcW w:type="dxa" w:w="1336"/>
          </w:tcPr>
          <w:p>
            <w:r>
              <w:rPr>
                <w:sz w:val="20"/>
              </w:rPr>
              <w:t>Céphalées, nausées, nervosité, **réactions cutanées sévères (SJS, DRESS)**, bradycardie/HTA</w:t>
            </w:r>
          </w:p>
        </w:tc>
        <w:tc>
          <w:tcPr>
            <w:tcW w:type="dxa" w:w="1336"/>
          </w:tcPr>
          <w:p>
            <w:r>
              <w:rPr>
                <w:sz w:val="20"/>
              </w:rPr>
              <w:t>HTA non contrôlée, cardiopathie sévère, troubles psychiatriques sévères, antécédent SJS/DRESS modafinil</w:t>
            </w:r>
          </w:p>
        </w:tc>
        <w:tc>
          <w:tcPr>
            <w:tcW w:type="dxa" w:w="1336"/>
          </w:tcPr>
          <w:p>
            <w:r>
              <w:rPr>
                <w:sz w:val="20"/>
              </w:rPr>
              <w:t>Grossesse à éviter (CRAT — tératogénicité animale) ; Allaitement à éviter</w:t>
            </w:r>
          </w:p>
        </w:tc>
      </w:tr>
      <w:tr>
        <w:tc>
          <w:tcPr>
            <w:tcW w:type="dxa" w:w="1336"/>
          </w:tcPr>
          <w:p>
            <w:r>
              <w:rPr>
                <w:sz w:val="20"/>
              </w:rPr>
              <w:t>**Donépézil** (6 marques actives + 3 orodispersibles)</w:t>
            </w:r>
          </w:p>
        </w:tc>
        <w:tc>
          <w:tcPr>
            <w:tcW w:type="dxa" w:w="1336"/>
          </w:tcPr>
          <w:p>
            <w:r>
              <w:rPr>
                <w:sz w:val="20"/>
              </w:rPr>
              <w:t>Antidémence IChE</w:t>
            </w:r>
          </w:p>
        </w:tc>
        <w:tc>
          <w:tcPr>
            <w:tcW w:type="dxa" w:w="1336"/>
          </w:tcPr>
          <w:p>
            <w:r>
              <w:rPr>
                <w:sz w:val="20"/>
              </w:rPr>
              <w:t>Inhibition réversible sélective AChE</w:t>
            </w:r>
          </w:p>
        </w:tc>
        <w:tc>
          <w:tcPr>
            <w:tcW w:type="dxa" w:w="1336"/>
          </w:tcPr>
          <w:p>
            <w:r>
              <w:rPr>
                <w:sz w:val="20"/>
              </w:rPr>
              <w:t>5 mg/jour × 4-6 sem puis 10 mg/jour en monoprise matinale</w:t>
            </w:r>
          </w:p>
        </w:tc>
        <w:tc>
          <w:tcPr>
            <w:tcW w:type="dxa" w:w="1336"/>
          </w:tcPr>
          <w:p>
            <w:r>
              <w:rPr>
                <w:sz w:val="20"/>
              </w:rPr>
              <w:t>Digestifs (nausées, diarrhée), bradycardie/BAV, insomnie/cauchemars, exceptionnellement épilepsie</w:t>
            </w:r>
          </w:p>
        </w:tc>
        <w:tc>
          <w:tcPr>
            <w:tcW w:type="dxa" w:w="1336"/>
          </w:tcPr>
          <w:p>
            <w:r>
              <w:rPr>
                <w:sz w:val="20"/>
              </w:rPr>
              <w:t>Glaucome angle fermé, BAV non appareillé, bradycardie sévère, asthme sévère</w:t>
            </w:r>
          </w:p>
        </w:tc>
        <w:tc>
          <w:tcPr>
            <w:tcW w:type="dxa" w:w="1336"/>
          </w:tcPr>
          <w:p>
            <w:r>
              <w:rPr>
                <w:sz w:val="20"/>
              </w:rPr>
              <w:t>Grossesse à éviter par prudence ; Allaitement à éviter</w:t>
            </w:r>
          </w:p>
        </w:tc>
      </w:tr>
      <w:tr>
        <w:tc>
          <w:tcPr>
            <w:tcW w:type="dxa" w:w="1336"/>
          </w:tcPr>
          <w:p>
            <w:r>
              <w:rPr>
                <w:sz w:val="20"/>
              </w:rPr>
              <w:t>**Rivastigmine** (RESTILON, RIVASTIG, RIVASTI)</w:t>
            </w:r>
          </w:p>
        </w:tc>
        <w:tc>
          <w:tcPr>
            <w:tcW w:type="dxa" w:w="1336"/>
          </w:tcPr>
          <w:p>
            <w:r>
              <w:rPr>
                <w:sz w:val="20"/>
              </w:rPr>
              <w:t>Antidémence IChE (AChE + BuChE)</w:t>
            </w:r>
          </w:p>
        </w:tc>
        <w:tc>
          <w:tcPr>
            <w:tcW w:type="dxa" w:w="1336"/>
          </w:tcPr>
          <w:p>
            <w:r>
              <w:rPr>
                <w:sz w:val="20"/>
              </w:rPr>
              <w:t>Inhibition pseudo-irréversible AChE + BuChE</w:t>
            </w:r>
          </w:p>
        </w:tc>
        <w:tc>
          <w:tcPr>
            <w:tcW w:type="dxa" w:w="1336"/>
          </w:tcPr>
          <w:p>
            <w:r>
              <w:rPr>
                <w:sz w:val="20"/>
              </w:rPr>
              <w:t>1,5 mg × 2/jour puis titration par paliers 4 sem à 6 mg × 2/jour (max 12 mg/jour)</w:t>
            </w:r>
          </w:p>
        </w:tc>
        <w:tc>
          <w:tcPr>
            <w:tcW w:type="dxa" w:w="1336"/>
          </w:tcPr>
          <w:p>
            <w:r>
              <w:rPr>
                <w:sz w:val="20"/>
              </w:rPr>
              <w:t>Digestifs majeurs (nausées 35-40 %), bradycardie/BAV, aggravation tremblement Parkinsonien</w:t>
            </w:r>
          </w:p>
        </w:tc>
        <w:tc>
          <w:tcPr>
            <w:tcW w:type="dxa" w:w="1336"/>
          </w:tcPr>
          <w:p>
            <w:r>
              <w:rPr>
                <w:sz w:val="20"/>
              </w:rPr>
              <w:t>Glaucome angle fermé, BAV non appareillé, bradycardie sévère, asthme sévère, ulcère GD actif</w:t>
            </w:r>
          </w:p>
        </w:tc>
        <w:tc>
          <w:tcPr>
            <w:tcW w:type="dxa" w:w="1336"/>
          </w:tcPr>
          <w:p>
            <w:r>
              <w:rPr>
                <w:sz w:val="20"/>
              </w:rPr>
              <w:t>Grossesse à éviter par prudence ; Allaitement à éviter</w:t>
            </w:r>
          </w:p>
        </w:tc>
      </w:tr>
      <w:tr>
        <w:tc>
          <w:tcPr>
            <w:tcW w:type="dxa" w:w="1336"/>
          </w:tcPr>
          <w:p>
            <w:r>
              <w:rPr>
                <w:sz w:val="20"/>
              </w:rPr>
              <w:t>**Mémantine** (ALZHANTINE, MEMANTINE BEKER, MIRALE)</w:t>
            </w:r>
          </w:p>
        </w:tc>
        <w:tc>
          <w:tcPr>
            <w:tcW w:type="dxa" w:w="1336"/>
          </w:tcPr>
          <w:p>
            <w:r>
              <w:rPr>
                <w:sz w:val="20"/>
              </w:rPr>
              <w:t>Antidémence anti-NMDA</w:t>
            </w:r>
          </w:p>
        </w:tc>
        <w:tc>
          <w:tcPr>
            <w:tcW w:type="dxa" w:w="1336"/>
          </w:tcPr>
          <w:p>
            <w:r>
              <w:rPr>
                <w:sz w:val="20"/>
              </w:rPr>
              <w:t>Antagoniste non compétitif NMDA (affinité modérée, voltage-dépendant)</w:t>
            </w:r>
          </w:p>
        </w:tc>
        <w:tc>
          <w:tcPr>
            <w:tcW w:type="dxa" w:w="1336"/>
          </w:tcPr>
          <w:p>
            <w:r>
              <w:rPr>
                <w:sz w:val="20"/>
              </w:rPr>
              <w:t>5 mg/jour × 1 sem puis titration par paliers à 20 mg/jour en monoprise (forme LP)</w:t>
            </w:r>
          </w:p>
        </w:tc>
        <w:tc>
          <w:tcPr>
            <w:tcW w:type="dxa" w:w="1336"/>
          </w:tcPr>
          <w:p>
            <w:r>
              <w:rPr>
                <w:sz w:val="20"/>
              </w:rPr>
              <w:t>Céphalées, vertiges, somnolence, exceptionnellement confusion/convulsions</w:t>
            </w:r>
          </w:p>
        </w:tc>
        <w:tc>
          <w:tcPr>
            <w:tcW w:type="dxa" w:w="1336"/>
          </w:tcPr>
          <w:p>
            <w:r>
              <w:rPr>
                <w:sz w:val="20"/>
              </w:rPr>
              <w:t>IR sévère (DFG &lt; 5 mL/min), grossesse</w:t>
            </w:r>
          </w:p>
        </w:tc>
        <w:tc>
          <w:tcPr>
            <w:tcW w:type="dxa" w:w="1336"/>
          </w:tcPr>
          <w:p>
            <w:r>
              <w:rPr>
                <w:sz w:val="20"/>
              </w:rPr>
              <w:t>Grossesse à éviter (CRAT — tératogénicité animale) ; Allaitement à éviter</w:t>
            </w:r>
          </w:p>
        </w:tc>
      </w:tr>
      <w:tr>
        <w:tc>
          <w:tcPr>
            <w:tcW w:type="dxa" w:w="1336"/>
          </w:tcPr>
          <w:p>
            <w:r>
              <w:rPr>
                <w:sz w:val="20"/>
              </w:rPr>
              <w:t>**Varénicline** (CHAMPIX — NON_RENOUVELABLE)</w:t>
            </w:r>
          </w:p>
        </w:tc>
        <w:tc>
          <w:tcPr>
            <w:tcW w:type="dxa" w:w="1336"/>
          </w:tcPr>
          <w:p>
            <w:r>
              <w:rPr>
                <w:sz w:val="20"/>
              </w:rPr>
              <w:t>Antiaddiction tabac</w:t>
            </w:r>
          </w:p>
        </w:tc>
        <w:tc>
          <w:tcPr>
            <w:tcW w:type="dxa" w:w="1336"/>
          </w:tcPr>
          <w:p>
            <w:r>
              <w:rPr>
                <w:sz w:val="20"/>
              </w:rPr>
              <w:t>Agoniste partiel α4β2 nicotinique + antagoniste compétitif</w:t>
            </w:r>
          </w:p>
        </w:tc>
        <w:tc>
          <w:tcPr>
            <w:tcW w:type="dxa" w:w="1336"/>
          </w:tcPr>
          <w:p>
            <w:r>
              <w:rPr>
                <w:sz w:val="20"/>
              </w:rPr>
              <w:t>0,5 mg × 1/jour J1-J3, 0,5 mg × 2/jour J4-J7, 1 mg × 2/jour J8+ (max 2 mg/jour)</w:t>
            </w:r>
          </w:p>
        </w:tc>
        <w:tc>
          <w:tcPr>
            <w:tcW w:type="dxa" w:w="1336"/>
          </w:tcPr>
          <w:p>
            <w:r>
              <w:rPr>
                <w:sz w:val="20"/>
              </w:rPr>
              <w:t>Nausées 35-50 %, **troubles neuropsychiatriques (dépression, suicidalité — signal FDA 2008)**, rêves anormaux</w:t>
            </w:r>
          </w:p>
        </w:tc>
        <w:tc>
          <w:tcPr>
            <w:tcW w:type="dxa" w:w="1336"/>
          </w:tcPr>
          <w:p>
            <w:r>
              <w:rPr>
                <w:sz w:val="20"/>
              </w:rPr>
              <w:t>Troubles psychiatriques sévères, IR terminale, grossesse</w:t>
            </w:r>
          </w:p>
        </w:tc>
        <w:tc>
          <w:tcPr>
            <w:tcW w:type="dxa" w:w="1336"/>
          </w:tcPr>
          <w:p>
            <w:r>
              <w:rPr>
                <w:sz w:val="20"/>
              </w:rPr>
              <w:t>Grossesse à éviter par prudence ; Allaitement à éviter</w:t>
            </w:r>
          </w:p>
        </w:tc>
      </w:tr>
    </w:tbl>
    <w:p/>
    <w:p>
      <w:pPr>
        <w:pStyle w:val="Heading2"/>
      </w:pPr>
      <w:r>
        <w:t>RÈGLES D'OR DU CHAPITRE 86 — TDAH, ANTIDÉMENCES, ANTIADDICTION</w:t>
      </w:r>
    </w:p>
    <w:p>
      <w:pPr>
        <w:pStyle w:val="ListNumber"/>
      </w:pPr>
      <w:r/>
      <w:r>
        <w:rPr>
          <w:b/>
        </w:rPr>
        <w:t>Méthylphénidate = stupéfiant international, NON disponible en Algérie</w:t>
      </w:r>
      <w:r>
        <w:t xml:space="preserve"> — orienter vers l'atomoxétine comme seule alternative pharmacologique du TDAH.</w:t>
      </w:r>
    </w:p>
    <w:p>
      <w:pPr>
        <w:pStyle w:val="ListNumber"/>
      </w:pPr>
      <w:r/>
      <w:r>
        <w:rPr>
          <w:b/>
        </w:rPr>
        <w:t>Atomoxétine : titration sur 4-6 semaines</w:t>
      </w:r>
      <w:r>
        <w:t xml:space="preserve"> — effet complet à 6-8 semaines, ne pas conclure à l'inefficacité avant ce délai.</w:t>
      </w:r>
    </w:p>
    <w:p>
      <w:pPr>
        <w:pStyle w:val="ListNumber"/>
      </w:pPr>
      <w:r/>
      <w:r>
        <w:rPr>
          <w:b/>
        </w:rPr>
        <w:t>Atomoxétine + IMAO : CI absolue</w:t>
      </w:r>
      <w:r>
        <w:t xml:space="preserve"> (wash-out 14 jours) — vérifier systématiquement le traitement associé.</w:t>
      </w:r>
    </w:p>
    <w:p>
      <w:pPr>
        <w:pStyle w:val="ListNumber"/>
      </w:pPr>
      <w:r/>
      <w:r>
        <w:rPr>
          <w:b/>
        </w:rPr>
        <w:t>Atomoxétine : surveillance TA/FC à chaque adaptation</w:t>
      </w:r>
      <w:r>
        <w:t xml:space="preserve"> — signal cardiovasculaire modeste mais réel, surtout chez l'adulte.</w:t>
      </w:r>
    </w:p>
    <w:p>
      <w:pPr>
        <w:pStyle w:val="ListNumber"/>
      </w:pPr>
      <w:r/>
      <w:r>
        <w:rPr>
          <w:b/>
        </w:rPr>
        <w:t>Atomoxétine : surveillance neuropsychiatrique</w:t>
      </w:r>
      <w:r>
        <w:t xml:space="preserve"> — arrêt immédiat en cas d'idéation suicidaire, d'hallucinations, d'agressivité (signal FDA 2008).</w:t>
      </w:r>
    </w:p>
    <w:p>
      <w:pPr>
        <w:pStyle w:val="ListNumber"/>
      </w:pPr>
      <w:r/>
      <w:r>
        <w:rPr>
          <w:b/>
        </w:rPr>
        <w:t>Modafinil : prise matinale stricte avant 10 h</w:t>
      </w:r>
      <w:r>
        <w:t xml:space="preserve"> — toute prise vespérale expose à l'insomnie.</w:t>
      </w:r>
    </w:p>
    <w:p>
      <w:pPr>
        <w:pStyle w:val="ListNumber"/>
      </w:pPr>
      <w:r/>
      <w:r>
        <w:rPr>
          <w:b/>
        </w:rPr>
        <w:t>Modafinil : réaction cutanée = arrêt définitif</w:t>
      </w:r>
      <w:r>
        <w:t xml:space="preserve"> (CI absolue permanente — Stevens-Johnson, DRESS, NET potentiellement mortelles).</w:t>
      </w:r>
    </w:p>
    <w:p>
      <w:pPr>
        <w:pStyle w:val="ListNumber"/>
      </w:pPr>
      <w:r/>
      <w:r>
        <w:rPr>
          <w:b/>
        </w:rPr>
        <w:t>Modafinil : baisse d'efficacité des contraceptifs oraux</w:t>
      </w:r>
      <w:r>
        <w:t xml:space="preserve"> — méthode barrière additionnelle pendant et 2 mois après le traitement.</w:t>
      </w:r>
    </w:p>
    <w:p>
      <w:pPr>
        <w:pStyle w:val="ListNumber"/>
      </w:pPr>
      <w:r/>
      <w:r>
        <w:rPr>
          <w:b/>
        </w:rPr>
        <w:t>IChE (donépézil, rivastigmine) : titration stricte par paliers</w:t>
      </w:r>
      <w:r>
        <w:t xml:space="preserve"> (4-6 semaines pour donépézil ; 4 semaines minimum par palier pour rivastigmine) — la précipitation expose à une incidence majeure de nausées et vomissements.</w:t>
      </w:r>
    </w:p>
    <w:p>
      <w:pPr>
        <w:pStyle w:val="ListNumber"/>
      </w:pPr>
      <w:r/>
      <w:r>
        <w:rPr>
          <w:b/>
        </w:rPr>
        <w:t>IChE + bêtabloquant/inhibiteur calcique bradycardisant : bradycardie additive</w:t>
      </w:r>
      <w:r>
        <w:t xml:space="preserve"> — surveillance ECG systématique chez le sujet âgé polypathologique.</w:t>
      </w:r>
    </w:p>
    <w:p>
      <w:pPr>
        <w:pStyle w:val="ListNumber"/>
      </w:pPr>
      <w:r/>
      <w:r>
        <w:rPr>
          <w:b/>
        </w:rPr>
        <w:t>IChE : ECG pré-thérapeutique systématique</w:t>
      </w:r>
      <w:r>
        <w:t xml:space="preserve"> — dépistage BAV, bradycardie &lt; 50 bpm, allongement PR.</w:t>
      </w:r>
    </w:p>
    <w:p>
      <w:pPr>
        <w:pStyle w:val="ListNumber"/>
      </w:pPr>
      <w:r/>
      <w:r>
        <w:rPr>
          <w:b/>
        </w:rPr>
        <w:t>IChE : prise matinale au cours du repas</w:t>
      </w:r>
      <w:r>
        <w:t xml:space="preserve"> — réduit l'insomnie, les cauchemars et les EI digestifs.</w:t>
      </w:r>
    </w:p>
    <w:p>
      <w:pPr>
        <w:pStyle w:val="ListNumber"/>
      </w:pPr>
      <w:r/>
      <w:r>
        <w:rPr>
          <w:b/>
        </w:rPr>
        <w:t>Rivastigmine : solution buvable à mesurer avec la seringue doseuse fournie</w:t>
      </w:r>
      <w:r>
        <w:t xml:space="preserve"> — pas de cuillère à café (erreur de dosage majeure).</w:t>
      </w:r>
    </w:p>
    <w:p>
      <w:pPr>
        <w:pStyle w:val="ListNumber"/>
      </w:pPr>
      <w:r/>
      <w:r>
        <w:rPr>
          <w:b/>
        </w:rPr>
        <w:t>Rivastigmine : flacon ouvert à conserver 4 semaines maximum</w:t>
      </w:r>
      <w:r>
        <w:t xml:space="preserve"> — information à délivrer au comptoir.</w:t>
      </w:r>
    </w:p>
    <w:p>
      <w:pPr>
        <w:pStyle w:val="ListNumber"/>
      </w:pPr>
      <w:r/>
      <w:r>
        <w:rPr>
          <w:b/>
        </w:rPr>
        <w:t>Mémantine : titration par paliers de 1 semaine</w:t>
      </w:r>
      <w:r>
        <w:t xml:space="preserve"> (5 → 10 → 15 → 20 mg/jour) — ne pas augmenter plus vite.</w:t>
      </w:r>
    </w:p>
    <w:p>
      <w:pPr>
        <w:pStyle w:val="ListNumber"/>
      </w:pPr>
      <w:r/>
      <w:r>
        <w:rPr>
          <w:b/>
        </w:rPr>
        <w:t>Mémantine + IChE : association synergique recommandée</w:t>
      </w:r>
      <w:r>
        <w:t xml:space="preserve"> (effet additif supérieur à l'IChE seul — étude DOMINO-AD) — ne pas arrêter l'IChE lors de l'introduction de la mémantine.</w:t>
      </w:r>
    </w:p>
    <w:p>
      <w:pPr>
        <w:pStyle w:val="ListNumber"/>
      </w:pPr>
      <w:r/>
      <w:r>
        <w:rPr>
          <w:b/>
        </w:rPr>
        <w:t>Mémantine : adaptation posologique en IR</w:t>
      </w:r>
      <w:r>
        <w:t xml:space="preserve"> (DFG 5-29 mL/min : max 10 mg/jour ; DFG &lt; 5 mL/min : CI) — vérifier systématiquement la clairance créatinine.</w:t>
      </w:r>
    </w:p>
    <w:p>
      <w:pPr>
        <w:pStyle w:val="ListNumber"/>
      </w:pPr>
      <w:r/>
      <w:r>
        <w:rPr>
          <w:b/>
        </w:rPr>
        <w:t>Varénicline : titration stricte sur 7 jours selon le schéma prescrit</w:t>
      </w:r>
      <w:r>
        <w:t xml:space="preserve"> (0,5 mg × 1/jour J1-J3, 0,5 mg × 2/jour J4-J7, 1 mg × 2/jour J8+) — ne pas augmenter plus vite.</w:t>
      </w:r>
    </w:p>
    <w:p>
      <w:pPr>
        <w:pStyle w:val="ListNumber"/>
      </w:pPr>
      <w:r/>
      <w:r>
        <w:rPr>
          <w:b/>
        </w:rPr>
        <w:t>Varénicline : surveillance neuropsychiatrique systématique</w:t>
      </w:r>
      <w:r>
        <w:t xml:space="preserve"> — information du patient et de l'entourage des signes d'alerte (dépression, idées suicidaires, agitation, agressivité, hallucinations) — arrêt immédiat et consultation urgente.</w:t>
      </w:r>
    </w:p>
    <w:p>
      <w:pPr>
        <w:pStyle w:val="ListNumber"/>
      </w:pPr>
      <w:r/>
      <w:r>
        <w:rPr>
          <w:b/>
        </w:rPr>
        <w:t>Varénicline : statut NON_RENOUVELABLE en Algérie</w:t>
      </w:r>
      <w:r>
        <w:t xml:space="preserve"> (arrêt commercialisation mondial Pfizer 2021) — signaler au patient dès la délivrance, orienter vers NRT ou bupropion en cas de rupture.</w:t>
      </w:r>
    </w:p>
    <w:p>
      <w:pPr>
        <w:pStyle w:val="ListNumber"/>
      </w:pPr>
      <w:r/>
      <w:r>
        <w:rPr>
          <w:b/>
        </w:rPr>
        <w:t>Varénicline + NRT : CI relative par potentialisation des EI</w:t>
      </w:r>
      <w:r>
        <w:t xml:space="preserve"> (nausées majorées, pas de bénéfice additif démontré) — à éviter en association systématique.</w:t>
      </w:r>
    </w:p>
    <w:p>
      <w:pPr>
        <w:pStyle w:val="ListNumber"/>
      </w:pPr>
      <w:r/>
      <w:r>
        <w:rPr>
          <w:b/>
        </w:rPr>
        <w:t>Varénicline : pas d'arrêt du tabac pendant la première semaine</w:t>
      </w:r>
      <w:r>
        <w:t xml:space="preserve"> (J1-J7) — arrêt programmé entre J8 et J14 (le traitement antagonise l'effet de la nicotine inhalée).</w:t>
      </w:r>
    </w:p>
    <w:p>
      <w:pPr>
        <w:pStyle w:val="ListNumber"/>
      </w:pPr>
      <w:r/>
      <w:r>
        <w:rPr>
          <w:b/>
        </w:rPr>
        <w:t>Tous psychostimulants/antidémences/antiaddiction : pas d'arrêt brutal</w:t>
      </w:r>
      <w:r>
        <w:t xml:space="preserve"> — diminution par paliers pour éviter le rebond (cognitif pour les antidémences, syndrome de sevrage pour les psychostimulants).</w:t>
      </w:r>
    </w:p>
    <w:p>
      <w:pPr>
        <w:pStyle w:val="ListNumber"/>
      </w:pPr>
      <w:r/>
      <w:r>
        <w:rPr>
          <w:b/>
        </w:rPr>
        <w:t>Tous antidémences : réévaluation semestrielle de la pertinence de la poursuite</w:t>
      </w:r>
      <w:r>
        <w:t xml:space="preserve"> (MMS, ADL) — arrêt à discuter en cas de MMSE &lt; 10 ou de perte d'autonomie totale.</w:t>
      </w:r>
    </w:p>
    <w:p>
      <w:pPr>
        <w:pStyle w:val="ListNumber"/>
      </w:pPr>
      <w:r/>
      <w:r>
        <w:rPr>
          <w:b/>
        </w:rPr>
        <w:t>Sujet âgé polypathologique sous IChE : dépistage systématique d'interactions médicamenteuses</w:t>
      </w:r>
      <w:r>
        <w:t xml:space="preserve"> (bêtabloquants, inhibiteurs calciques, digoxine, anticholinergiques).</w:t>
      </w:r>
    </w:p>
    <w:p>
      <w:pPr>
        <w:pStyle w:val="ListNumber"/>
      </w:pPr>
      <w:r/>
      <w:r>
        <w:rPr>
          <w:b/>
        </w:rPr>
        <w:t>Femme en âge de procréer : contraception efficace obligatoire</w:t>
      </w:r>
      <w:r>
        <w:t xml:space="preserve"> pour méthylphénidate, atomoxétine, modafinil, varénicline — tous à éviter pendant la grossesse (CRAT).</w:t>
      </w:r>
    </w:p>
    <w:p>
      <w:pPr>
        <w:pStyle w:val="ListNumber"/>
      </w:pPr>
      <w:r/>
      <w:r>
        <w:rPr>
          <w:b/>
        </w:rPr>
        <w:t>Grossesse et antidémences : à éviter par prudence</w:t>
      </w:r>
      <w:r>
        <w:t xml:space="preserve"> (données animales tératogènes, données humaines limitées — décision multidisciplinaire spécialisée en cas de démence précoce génétique exceptionnelle).</w:t>
      </w:r>
    </w:p>
    <w:p>
      <w:pPr>
        <w:pStyle w:val="ListNumber"/>
      </w:pPr>
      <w:r/>
      <w:r>
        <w:rPr>
          <w:b/>
        </w:rPr>
        <w:t>Information systématique à l'aidant</w:t>
      </w:r>
      <w:r>
        <w:t xml:space="preserve"> : observance stricte, signes d'alerte digestifs/cardiovasculaires/neuropsychiatriques, suivi cognitif régulier — la réussite du traitement dépend autant de l'aidant que du patient.</w:t>
      </w:r>
    </w:p>
    <w:p>
      <w:pPr>
        <w:pStyle w:val="Heading2"/>
      </w:pPr>
      <w:r>
        <w:t>PIÈGES MAJEURS AU COMPTOIR — CHAPITRE 86</w:t>
      </w:r>
    </w:p>
    <w:p>
      <w:pPr>
        <w:pStyle w:val="ListNumber"/>
      </w:pPr>
      <w:r/>
      <w:r>
        <w:rPr>
          <w:b/>
        </w:rPr>
        <w:t>Confondre atomoxétine et antidépresseur IRS/IRSN</w:t>
      </w:r>
      <w:r>
        <w:t xml:space="preserve"> — l'atomoxétine n'a pas d'AMM dans la dépression bien que pharmacologiquement proche ; la posologie (40 mg/jour initial, 80-100 mg/jour cible) est très différente des antidépresseurs classiques.</w:t>
      </w:r>
    </w:p>
    <w:p>
      <w:pPr>
        <w:pStyle w:val="ListNumber"/>
      </w:pPr>
      <w:r/>
      <w:r>
        <w:rPr>
          <w:b/>
        </w:rPr>
        <w:t>Augmenter trop vite la rivastigmine</w:t>
      </w:r>
      <w:r>
        <w:t xml:space="preserve"> — incidence des nausées/vomissements jusqu'à 50-60 % si titration rapide, souvent cause d'arrêt définitif.</w:t>
      </w:r>
    </w:p>
    <w:p>
      <w:pPr>
        <w:pStyle w:val="ListNumber"/>
      </w:pPr>
      <w:r/>
      <w:r>
        <w:rPr>
          <w:b/>
        </w:rPr>
        <w:t>Confondre aggravation du tremblement parkinsonien sous rivastigmine avec aggravation de la maladie de Parkinson</w:t>
      </w:r>
      <w:r>
        <w:t xml:space="preserve"> — ne pas arrêter la rivastigmine d'emblée, consulter le neurologue.</w:t>
      </w:r>
    </w:p>
    <w:p>
      <w:pPr>
        <w:pStyle w:val="ListNumber"/>
      </w:pPr>
      <w:r/>
      <w:r>
        <w:rPr>
          <w:b/>
        </w:rPr>
        <w:t>Mesurer la solution buvable de rivastigmine avec une cuillère à café</w:t>
      </w:r>
      <w:r>
        <w:t xml:space="preserve"> — erreur de dosage majeure, utiliser la seringue doseuse fournie.</w:t>
      </w:r>
    </w:p>
    <w:p>
      <w:pPr>
        <w:pStyle w:val="ListNumber"/>
      </w:pPr>
      <w:r/>
      <w:r>
        <w:rPr>
          <w:b/>
        </w:rPr>
        <w:t>Conserver la solution buvable de rivastigmine au-delà de 4 semaines après ouverture</w:t>
      </w:r>
      <w:r>
        <w:t xml:space="preserve"> — perte d'efficacité et risque de contamination microbienne.</w:t>
      </w:r>
    </w:p>
    <w:p>
      <w:pPr>
        <w:pStyle w:val="ListNumber"/>
      </w:pPr>
      <w:r/>
      <w:r>
        <w:rPr>
          <w:b/>
        </w:rPr>
        <w:t>Conclure à l'inefficacité de l'atomoxétine avant 8 semaines</w:t>
      </w:r>
      <w:r>
        <w:t xml:space="preserve"> — délai d'action complet 6-8 semaines, ne pas arrêter prématurément.</w:t>
      </w:r>
    </w:p>
    <w:p>
      <w:pPr>
        <w:pStyle w:val="ListNumber"/>
      </w:pPr>
      <w:r/>
      <w:r>
        <w:rPr>
          <w:b/>
        </w:rPr>
        <w:t>Augmenter la mémantine plus vite que par paliers de 1 semaine</w:t>
      </w:r>
      <w:r>
        <w:t xml:space="preserve"> — incidence majorée de confusion et de céphalées initiales.</w:t>
      </w:r>
    </w:p>
    <w:p>
      <w:pPr>
        <w:pStyle w:val="ListNumber"/>
      </w:pPr>
      <w:r/>
      <w:r>
        <w:rPr>
          <w:b/>
        </w:rPr>
        <w:t>Confondre somnolence/confusion initiale sous mémantine avec aggravation de la démence</w:t>
      </w:r>
      <w:r>
        <w:t xml:space="preserve"> — ne pas conclure à l'inefficacité sans avis médical.</w:t>
      </w:r>
    </w:p>
    <w:p>
      <w:pPr>
        <w:pStyle w:val="ListNumber"/>
      </w:pPr>
      <w:r/>
      <w:r>
        <w:rPr>
          <w:b/>
        </w:rPr>
        <w:t>Oublier l'adaptation posologique de la mémantine en IR</w:t>
      </w:r>
      <w:r>
        <w:t xml:space="preserve"> — vérifier systématiquement la clairance de la créatinine chez le sujet âgé.</w:t>
      </w:r>
    </w:p>
    <w:p>
      <w:pPr>
        <w:pStyle w:val="ListNumber"/>
      </w:pPr>
      <w:r/>
      <w:r>
        <w:rPr>
          <w:b/>
        </w:rPr>
        <w:t>Arrêter l'IChE lors de l'introduction de la mémantine</w:t>
      </w:r>
      <w:r>
        <w:t xml:space="preserve"> — association synergique recommandée (effet additif supérieur à l'IChE seul).</w:t>
      </w:r>
    </w:p>
    <w:p>
      <w:pPr>
        <w:pStyle w:val="ListNumber"/>
      </w:pPr>
      <w:r/>
      <w:r>
        <w:rPr>
          <w:b/>
        </w:rPr>
        <w:t>Prendre le modafinil en fin d'après-midi ou soir</w:t>
      </w:r>
      <w:r>
        <w:t xml:space="preserve"> — insomnie quasi systématique.</w:t>
      </w:r>
    </w:p>
    <w:p>
      <w:pPr>
        <w:pStyle w:val="ListNumber"/>
      </w:pPr>
      <w:r/>
      <w:r>
        <w:rPr>
          <w:b/>
        </w:rPr>
        <w:t>Méconnaître la baisse d'efficacité des contraceptifs oraux sous modafinil</w:t>
      </w:r>
      <w:r>
        <w:t xml:space="preserve"> — méthode barrière additionnelle obligatoire pendant et 2 mois après le traitement.</w:t>
      </w:r>
    </w:p>
    <w:p>
      <w:pPr>
        <w:pStyle w:val="ListNumber"/>
      </w:pPr>
      <w:r/>
      <w:r>
        <w:rPr>
          <w:b/>
        </w:rPr>
        <w:t>Ne pas arrêter le modafinil en cas de réaction cutanée</w:t>
      </w:r>
      <w:r>
        <w:t xml:space="preserve"> — réactions cutanées sévères (SJS, DRESS, NET) potentiellement mortelles, arrêt définitif et CI permanente.</w:t>
      </w:r>
    </w:p>
    <w:p>
      <w:pPr>
        <w:pStyle w:val="ListNumber"/>
      </w:pPr>
      <w:r/>
      <w:r>
        <w:rPr>
          <w:b/>
        </w:rPr>
        <w:t>Augmenter trop vite la varénicline</w:t>
      </w:r>
      <w:r>
        <w:t xml:space="preserve"> — incidence des nausées jusqu'à 70-80 % si titration rapide.</w:t>
      </w:r>
    </w:p>
    <w:p>
      <w:pPr>
        <w:pStyle w:val="ListNumber"/>
      </w:pPr>
      <w:r/>
      <w:r>
        <w:rPr>
          <w:b/>
        </w:rPr>
        <w:t>Ne pas informer le patient et l'entourage des troubles neuropsychiatriques de la varénicline</w:t>
      </w:r>
      <w:r>
        <w:t xml:space="preserve"> — risque d'idéation suicidaire, d'agressivité, d'hallucinations — surveillance conjointe indispensable.</w:t>
      </w:r>
    </w:p>
    <w:p>
      <w:pPr>
        <w:pStyle w:val="ListNumber"/>
      </w:pPr>
      <w:r/>
      <w:r>
        <w:rPr>
          <w:b/>
        </w:rPr>
        <w:t>Méconnaître le statut NON_RENOUVELABLE de la varénicline en Algérie</w:t>
      </w:r>
      <w:r>
        <w:t xml:space="preserve"> — signaler au patient dès la délivrance, orienter vers NRT ou bupropion en cas de rupture.</w:t>
      </w:r>
    </w:p>
    <w:p>
      <w:pPr>
        <w:pStyle w:val="ListNumber"/>
      </w:pPr>
      <w:r/>
      <w:r>
        <w:rPr>
          <w:b/>
        </w:rPr>
        <w:t>Prescrire varénicline + NRT en association systématique</w:t>
      </w:r>
      <w:r>
        <w:t xml:space="preserve"> — CI relative par potentialisation des EI, pas de bénéfice additif démontré.</w:t>
      </w:r>
    </w:p>
    <w:p>
      <w:pPr>
        <w:pStyle w:val="ListNumber"/>
      </w:pPr>
      <w:r/>
      <w:r>
        <w:rPr>
          <w:b/>
        </w:rPr>
        <w:t>Arrêter le tabac dès J1 de varénicline</w:t>
      </w:r>
      <w:r>
        <w:t xml:space="preserve"> — arrêt programmé entre J8 et J14 (le traitement antagonise l'effet de la nicotine inhalée pendant la première semaine).</w:t>
      </w:r>
    </w:p>
    <w:p>
      <w:pPr>
        <w:pStyle w:val="ListNumber"/>
      </w:pPr>
      <w:r/>
      <w:r>
        <w:rPr>
          <w:b/>
        </w:rPr>
        <w:t>Oublier l'ECG pré-thérapeutique sous IChE</w:t>
      </w:r>
      <w:r>
        <w:t xml:space="preserve"> — dépistage BAV, bradycardie, allongement PR indispensable chez le sujet âgé polypathologique.</w:t>
      </w:r>
    </w:p>
    <w:p>
      <w:pPr>
        <w:pStyle w:val="ListNumber"/>
      </w:pPr>
      <w:r/>
      <w:r>
        <w:rPr>
          <w:b/>
        </w:rPr>
        <w:t>Confondre diarrhée sous IChE avec cause infectieuse ou alimentaire</w:t>
      </w:r>
      <w:r>
        <w:t xml:space="preserve"> — origine médicamenteuse à suspecter chez tout patient sous IChE.</w:t>
      </w:r>
    </w:p>
    <w:p>
      <w:pPr>
        <w:pStyle w:val="ListNumber"/>
      </w:pPr>
      <w:r/>
      <w:r>
        <w:rPr>
          <w:b/>
        </w:rPr>
        <w:t>Ne pas surveiller la TA/FC sous méthylphénidate/atomoxétine/modafinil</w:t>
      </w:r>
      <w:r>
        <w:t xml:space="preserve"> — augmentation modeste mais cumulative avec d'autres traitements.</w:t>
      </w:r>
    </w:p>
    <w:p>
      <w:pPr>
        <w:pStyle w:val="ListNumber"/>
      </w:pPr>
      <w:r/>
      <w:r>
        <w:rPr>
          <w:b/>
        </w:rPr>
        <w:t>Confondre atomoxétine avec amphétamine</w:t>
      </w:r>
      <w:r>
        <w:t xml:space="preserve"> — mécanisme différent (IRSN sélectif NET, pas d'action DAT striatale, pas de potentiel addictogène significatif, pas de classement stupéfiant).</w:t>
      </w:r>
    </w:p>
    <w:p>
      <w:pPr>
        <w:pStyle w:val="ListNumber"/>
      </w:pPr>
      <w:r/>
      <w:r>
        <w:rPr>
          <w:b/>
        </w:rPr>
        <w:t>Substituer sans wash-out entre IChE et mémantine</w:t>
      </w:r>
      <w:r>
        <w:t xml:space="preserve"> — wash-out de 7 jours recommandé avant initiation mémantine après arrêt IChE.</w:t>
      </w:r>
    </w:p>
    <w:p>
      <w:pPr>
        <w:pStyle w:val="ListNumber"/>
      </w:pPr>
      <w:r/>
      <w:r>
        <w:rPr>
          <w:b/>
        </w:rPr>
        <w:t>Ouvrir ou croquer les gélules LP</w:t>
      </w:r>
      <w:r>
        <w:t xml:space="preserve"> (atomoxétine gastro-résistante, mémantine LP) — perte de l'effet LP et de la gastro-résistance.</w:t>
      </w:r>
    </w:p>
    <w:p>
      <w:pPr>
        <w:pStyle w:val="ListNumber"/>
      </w:pPr>
      <w:r/>
      <w:r>
        <w:rPr>
          <w:b/>
        </w:rPr>
        <w:t>Conclure à l'échec du sevrage tabagique sous varénicline avant 12 semaines</w:t>
      </w:r>
      <w:r>
        <w:t xml:space="preserve"> — évaluation à 12 semaines, prolongation possible 12 semaines supplémentaires si succès partiel.</w:t>
      </w:r>
    </w:p>
    <w:p>
      <w:pPr>
        <w:pStyle w:val="ListNumber"/>
      </w:pPr>
      <w:r/>
      <w:r>
        <w:rPr>
          <w:b/>
        </w:rPr>
        <w:t>Délivrer varénicline sans contrôle de l'ordonnance</w:t>
      </w:r>
      <w:r>
        <w:t xml:space="preserve"> — prescription sur ordonnance Liste I, vérifier la cohérence posologique avec le schéma de titration.</w:t>
      </w:r>
    </w:p>
    <w:p>
      <w:pPr>
        <w:pStyle w:val="ListNumber"/>
      </w:pPr>
      <w:r/>
      <w:r>
        <w:rPr>
          <w:b/>
        </w:rPr>
        <w:t>Confondre donépézil et galantamine</w:t>
      </w:r>
      <w:r>
        <w:t xml:space="preserve"> — galantamine non disponible en Algérie (à vérifier dans la nomenclature).</w:t>
      </w:r>
    </w:p>
    <w:p>
      <w:pPr>
        <w:pStyle w:val="ListNumber"/>
      </w:pPr>
      <w:r/>
      <w:r>
        <w:rPr>
          <w:b/>
        </w:rPr>
        <w:t>Ignorer le polymorphisme CYP2D6 sous atomoxétine</w:t>
      </w:r>
      <w:r>
        <w:t xml:space="preserve"> — métaboliseurs lents (7-10 % caucasiens) : exposition 2,5× supérieure, EI majorés — adapter la dose.</w:t>
      </w:r>
    </w:p>
    <w:p>
      <w:pPr>
        <w:pStyle w:val="ListNumber"/>
      </w:pPr>
      <w:r/>
      <w:r>
        <w:rPr>
          <w:b/>
        </w:rPr>
        <w:t>Ignorer l'interaction mémantine + cimétidine/ranitidine</w:t>
      </w:r>
      <w:r>
        <w:t xml:space="preserve"> — augmentation des taux de mémantine par inhibition de la sécrétion tubulaire rénale commune.</w:t>
      </w:r>
    </w:p>
    <w:p>
      <w:pPr>
        <w:pStyle w:val="ListNumber"/>
      </w:pPr>
      <w:r/>
      <w:r>
        <w:rPr>
          <w:b/>
        </w:rPr>
        <w:t>Méconnaître l'effet de la varénicline sur le goût</w:t>
      </w:r>
      <w:r>
        <w:t xml:space="preserve"> — modification du goût fréquente (5-10 %), parfois cause d'arrêt, à distinguer de l'anorexie.</w:t>
      </w:r>
    </w:p>
    <w:p>
      <w:pPr>
        <w:pStyle w:val="Heading2"/>
      </w:pPr>
      <w:r>
        <w:t>CONCLUSION DU CHAPITRE 86</w:t>
      </w:r>
    </w:p>
    <w:p>
      <w:r>
        <w:t>Ce chapitre a couvert six sous-classes thérapeutiques hétérogènes mais cliniquement stratégiques pour la prise en charge des troubles neurodéveloppementaux (TDAH), neurodégénératifs (démences) et addictologiques (tabagisme) en Algérie. La diversité des cibles pharmacologiques — transporteur de la dopamine et de la noradrénaline (méthylphénidate, atomoxétine, modafinil), acétylcholinestérase (donépézil, rivastigmine), récepteur NMDA (mémantine), récepteur nicotinique α4β2 (varénicline) — illustre la richesse de la neuropharmacologie moderne et la complexité de la prise en charge personnalisée.</w:t>
      </w:r>
    </w:p>
    <w:p>
      <w:r>
        <w:t>Plusieurs particularités algériennes ont été soulignées :</w:t>
      </w:r>
    </w:p>
    <w:p>
      <w:pPr>
        <w:pStyle w:val="ListBullet"/>
      </w:pPr>
      <w:r>
        <w:t xml:space="preserve">L'absence de commercialisation du </w:t>
      </w:r>
      <w:r>
        <w:rPr>
          <w:b/>
        </w:rPr>
        <w:t>méthylphénidate</w:t>
      </w:r>
      <w:r>
        <w:t xml:space="preserve"> (psychostimulant de référence du TDAH), imposant le recours à l'atomoxétine comme seule alternative pharmacologique ;</w:t>
      </w:r>
    </w:p>
    <w:p>
      <w:pPr>
        <w:pStyle w:val="ListBullet"/>
      </w:pPr>
      <w:r>
        <w:t xml:space="preserve">La </w:t>
      </w:r>
      <w:r>
        <w:rPr>
          <w:b/>
        </w:rPr>
        <w:t>maturité générique excellente</w:t>
      </w:r>
      <w:r>
        <w:t xml:space="preserve"> du donépézil (9 marques actives), de la rivastigmine (3 marques), de la mémantine (3 marques), du modafinil (2 marques) et de l'atomoxétine (2 marques) ;</w:t>
      </w:r>
    </w:p>
    <w:p>
      <w:pPr>
        <w:pStyle w:val="ListBullet"/>
      </w:pPr>
      <w:r>
        <w:t xml:space="preserve">Le statut </w:t>
      </w:r>
      <w:r>
        <w:rPr>
          <w:b/>
        </w:rPr>
        <w:t>NON_RENOUVELABLE de la varénicline</w:t>
      </w:r>
      <w:r>
        <w:t xml:space="preserve"> (CHAMPIX Pfizer), en épuisement de stock suite à l'arrêt de commercialisation mondial Pfizer 2021 — imposant l'orientation du patient vers les alternatives pharmacologiques (NRT, bupropion) et la TCC ;</w:t>
      </w:r>
    </w:p>
    <w:p>
      <w:pPr>
        <w:pStyle w:val="ListBullet"/>
      </w:pPr>
      <w:r>
        <w:t xml:space="preserve">La disponibilité de </w:t>
      </w:r>
      <w:r>
        <w:rPr>
          <w:b/>
        </w:rPr>
        <w:t>formes galéniques diversifiées</w:t>
      </w:r>
      <w:r>
        <w:t xml:space="preserve"> — comprimés classiques et LP, gélules (gastro-résistantes pour atomoxétine, LP pour mémantine), solutions buvables (rivastigmine, mémantine), comprimés orodispersibles (donépézil) — couvrant l'ensemble des besoins cliniques, y compris les troubles de déglutition (fréquents en démence avancée).</w:t>
      </w:r>
    </w:p>
    <w:p>
      <w:r>
        <w:t>Les règles d'or et pièges majeurs au comptoir rappelés ci-dessus doivent guider la dispensation et le conseil pharmaceutique au quotidien. Le pharmacien d'officine algérien joue ici un rôle de verrou de sécurité — vérification de l'ordonnancier ( Liste I pour toutes ces molécules), contrôle de la cohérence posologique (titrations strictes, paliers de 1 à 6 semaines selon la molécule), dépistage des signes d'alerte neuropsychiatrique (varénicline, atomoxétine), cardiovasculaire (méthylphénidate, modafinil, IChE), digestif (IChE, varénicline), cutané (modafinil — Stevens-Johnson, DRESS), et information du patient et de son aidant sur l'observance stricte, les EI à surveiller, et les délais d'action (4-12 semaines pour les antidémences, 6-8 semaines pour l'atomoxétine).</w:t>
      </w:r>
    </w:p>
    <w:p>
      <w:r>
        <w:t>La prise en charge pharmacologique du TDAH, des démences et du tabagisme ne peut être isolée d'une approche globale — psychoéducation, TCC, suivi neuropsychologique, soutien à l'aidant, mesures environnementales, prise en charge des comorbidités. Le pharmacien algérien, en lien avec le médecin prescripteur (psychiatre, neurologue, addictologue, médecin généraliste formé), contribue à optimiser l'efficacité thérapeutique et à réduire la iatrogénie — enjeu majeur en gériatrie (polypathologie, polymédication) et en addictologie (comorbidités psychiatriques, social).</w:t>
      </w:r>
    </w:p>
    <w:p>
      <w:r>
        <w:t>Ce chapitre s'inscrit en complément des chapitres précédents du Fascicule X — 81 (antidépresseurs), 82 (anxiolytiques-hypnotiques), 83 (antipsychotiques typiques), 84 (antipsychotiques atypiques), 85 (thymorégulateurs) — et prépare la transition vers le chapitre 87 (maladie de Parkinson — L-DOPA, agonistes dopaminergiques, IMAO-B, anticholinergiques, amantadine) qui partage plusieurs mécanismes d'action avec la présente section (dopamine, NMDA pour l'amantadine — apparentée chimiquement à la mémantine).</w:t>
      </w:r>
    </w:p>
    <w:p>
      <w:pPr>
        <w:pStyle w:val="Heading2"/>
      </w:pPr>
      <w:r>
        <w:t>SOURCES BIBLIOGRAPHIQUES</w:t>
      </w:r>
    </w:p>
    <w:p>
      <w:pPr>
        <w:pStyle w:val="ListNumber"/>
      </w:pPr>
      <w:r>
        <w:t>VIDAL Recos. Donépézil, Rivastigmine, Mémantine, Atomoxétine, Modafinil, Varénicline, Méthylphénidate — Résumés des Caractéristiques du Produit (RCP). Éditions VIDAL, France, 2024-2025.</w:t>
      </w:r>
    </w:p>
    <w:p>
      <w:pPr>
        <w:pStyle w:val="ListNumber"/>
      </w:pPr>
      <w:r>
        <w:t>ANSM (Agence Nationale de Sécurité du Médicament et des Produits de Santé). Lettres aux professionnels de santé sur la varénicline (CHAMPIX) — troubles neuropsychiatriques, 2008 ; sur le modafinil (Modiodal) — réactions cutanées sévères, 2007 ; sur le méthylphénidate — surveillance cardiovasculaire pédiatrique, 2006.</w:t>
      </w:r>
    </w:p>
    <w:p>
      <w:pPr>
        <w:pStyle w:val="ListNumber"/>
      </w:pPr>
      <w:r>
        <w:t>Thériaque. Banque de données automatisée sur les médicaments commercialisés en France — Donépézil, Rivastigmine, Mémantine, Atomoxétine, Modafinil, Varénicline. Centre Régional de Pharmacovigilance de Paris, 2024.</w:t>
      </w:r>
    </w:p>
    <w:p>
      <w:pPr>
        <w:pStyle w:val="ListNumber"/>
      </w:pPr>
      <w:r>
        <w:t>CRAT (Centre de Référence sur les Agents Tératogènes). Fiches : Méthylphénidate, Atomoxétine, Modafinil, Donépézil, Rivastigmine, Mémantine, Varénicline. Hôpital Armand-Trousseau, Paris, 2024. Disponible sur : https://www.lecrat.fr.</w:t>
      </w:r>
    </w:p>
    <w:p>
      <w:pPr>
        <w:pStyle w:val="ListNumber"/>
      </w:pPr>
      <w:r>
        <w:t>HAS (Haute Autorité de Santé). Recommandation de bonne pratique — Maladie d'Alzheimer et maladies apparentées : diagnostic et prise en charge, octobre 2011 (réactualisation 2020). Recommandation — Trouble du déficit de l'attention avec hyperactivité (TDAH) chez l'enfant et l'adolescent, 2014.</w:t>
      </w:r>
    </w:p>
    <w:p>
      <w:pPr>
        <w:pStyle w:val="ListNumber"/>
      </w:pPr>
      <w:r>
        <w:t>NICE (National Institute for Health and Care Excellence). Attention deficit hyperactivity disorder: diagnosis and management (NG87), 2018. Dementia: assessment, management and support for people living with dementia and their carers (NG97), 2018. Stop smoking interventions and services (NG92), 2018.</w:t>
      </w:r>
    </w:p>
    <w:p>
      <w:pPr>
        <w:pStyle w:val="ListNumber"/>
      </w:pPr>
      <w:r>
        <w:t>EMA (European Medicines Agency). Assessment reports : Donepezil, Rivastigmine, Memantine, Atomoxetine, Modafinil, Varenicline. EMA/CHMP, 1997-2021.</w:t>
      </w:r>
    </w:p>
    <w:p>
      <w:pPr>
        <w:pStyle w:val="ListNumber"/>
      </w:pPr>
      <w:r>
        <w:t>FDA (Food and Drug Administration). Drug Safety Communications : Varenicline (CHANTIX) — neuropsychiatric events, 2008. Modafinil (PROVIGIL) — Stevens-Johnson syndrome, 2007. Methylphenidate — cardiovascular safety in pediatric populations, 2006. Atomoxetine (STRATTERA) — hepatic toxicity, suicidal ideation, 2004-2008.</w:t>
      </w:r>
    </w:p>
    <w:p>
      <w:pPr>
        <w:pStyle w:val="ListNumber"/>
      </w:pPr>
      <w:r>
        <w:t>Stahl S.M. Stahl's Essential Psychopharmacology. Neuroscientific Basis and Practical Applications. 5th edition. Cambridge University Press, 2021. Chapters : Psychostimulants and Atomoxetine ; Cognitive Enhancers ; Wake-Promoting Agents.</w:t>
      </w:r>
    </w:p>
    <w:p>
      <w:pPr>
        <w:pStyle w:val="ListNumber"/>
      </w:pPr>
      <w:r>
        <w:t>Goodman &amp; Gilman's The Pharmacological Basis of Therapeutics. 14th edition. McGraw-Hill, 2023. Chapters : Pharmacotherapy of the Neurodegenerative Diseases ; Pharmacotherapy of Substance Use Disorders ; Attention-Deficit/Hyperactivity Disorder.</w:t>
      </w:r>
    </w:p>
    <w:p>
      <w:pPr>
        <w:pStyle w:val="ListNumber"/>
      </w:pPr>
      <w:r>
        <w:t>Katzung B.G. Basic and Clinical Pharmacology. 15th edition. McGraw-Hill, 2021. Chapters : Drugs Used in Dementia ; Drugs Used in ADHD.</w:t>
      </w:r>
    </w:p>
    <w:p>
      <w:pPr>
        <w:pStyle w:val="ListNumber"/>
      </w:pPr>
      <w:r>
        <w:t>UpToDate. Treatment of dementia. Treatment of attention deficit hyperactivity disorder in adults. Treatment of tobacco dependence. Hypersomnolence and narcolepsy.</w:t>
      </w:r>
    </w:p>
    <w:p>
      <w:pPr>
        <w:pStyle w:val="ListNumber"/>
      </w:pPr>
      <w:r>
        <w:t>Micromedex. Drug information monographs : Donepezil, Rivastigmine, Memantine, Atomoxetine, Modafinil, Varenicline, Methylphenidate. IBM Micromedex, 2024.</w:t>
      </w:r>
    </w:p>
    <w:p>
      <w:pPr>
        <w:pStyle w:val="ListNumber"/>
      </w:pPr>
      <w:r>
        <w:t>Birks J. Cholinesterase inhibitors for Alzheimer's disease. Cochrane Database of Systematic Reviews, 2006 (1) : CD001190 (updates 2018).</w:t>
      </w:r>
    </w:p>
    <w:p>
      <w:pPr>
        <w:pStyle w:val="ListNumber"/>
      </w:pPr>
      <w:r>
        <w:t>McShane R, Areosa Sastre A, Minakaran N. Memantine for dementia. Cochrane Database of Systematic Reviews, 2006 (2) : CD003154 (updates 2019).</w:t>
      </w:r>
    </w:p>
    <w:p>
      <w:pPr>
        <w:pStyle w:val="ListNumber"/>
      </w:pPr>
      <w:r>
        <w:t>DOMINO-AD Trial. Donepezil and memantine for moderate-to-severe Alzheimer's disease. Howard R et al., N Engl J Med, 2012 ; 366 : 893-903.</w:t>
      </w:r>
    </w:p>
    <w:p>
      <w:pPr>
        <w:pStyle w:val="ListNumber"/>
      </w:pPr>
      <w:r>
        <w:t>NICE Technology Assessment TA217. Donepezil, galantamine, rivastigmine and memantine for the treatment of Alzheimer's disease, 2011 (review 2018).</w:t>
      </w:r>
    </w:p>
    <w:p>
      <w:pPr>
        <w:pStyle w:val="ListNumber"/>
      </w:pPr>
      <w:r>
        <w:t>Anand P, Singh B. A review on cholinesterase inhibitors for Alzheimer's disease. CNS Neurol Disord Drug Targets, 2013 ; 12 (3) : 376-391.</w:t>
      </w:r>
    </w:p>
    <w:p>
      <w:pPr>
        <w:pStyle w:val="ListNumber"/>
      </w:pPr>
      <w:r>
        <w:t>Schneider L.S. Efficacy and adverse effects of cholinesterase inhibitors and memantine in vascular dementia. Ann N Y Acad Sci, 2002 ; 977 : 490-499.</w:t>
      </w:r>
    </w:p>
    <w:p>
      <w:pPr>
        <w:pStyle w:val="ListNumber"/>
      </w:pPr>
      <w:r>
        <w:t>Cipriani A. et al. Methylphenidate versus placebo for attention-deficit/hyperactivity disorder in children and adolescents. Cochrane Database of Systematic Reviews, 2018.</w:t>
      </w:r>
    </w:p>
    <w:p>
      <w:pPr>
        <w:pStyle w:val="ListNumber"/>
      </w:pPr>
      <w:r>
        <w:t>Banaschewski T. et al. Non-stimulant medications for the treatment of ADHD. Eur Child Adolesc Psychiatry, 2006 ; 15 (Suppl 1) : I/55-I/62.</w:t>
      </w:r>
    </w:p>
    <w:p>
      <w:pPr>
        <w:pStyle w:val="ListNumber"/>
      </w:pPr>
      <w:r>
        <w:t>Micromedex. Atomoxetine drug consult — CYP2D6 polymorphism and dosing, 2023.</w:t>
      </w:r>
    </w:p>
    <w:p>
      <w:pPr>
        <w:pStyle w:val="ListNumber"/>
      </w:pPr>
      <w:r>
        <w:t>Billiard M. Narcolepsy : diagnosis and management. Sleep Medicine Clinics, 2006 ; 1 (1) : 43-52.</w:t>
      </w:r>
    </w:p>
    <w:p>
      <w:pPr>
        <w:pStyle w:val="ListNumber"/>
      </w:pPr>
      <w:r>
        <w:t>FDA Drug Safety Communication. Provigil (modafinil) — serious skin reactions, 2007. Updated 2010.</w:t>
      </w:r>
    </w:p>
    <w:p>
      <w:pPr>
        <w:pStyle w:val="ListNumber"/>
      </w:pPr>
      <w:r>
        <w:t>Wu P. et al. Varenicline for smoking cessation : systematic review and meta-analysis of randomized controlled trials. JAMA Internal Medicine, 2006.</w:t>
      </w:r>
    </w:p>
    <w:p>
      <w:pPr>
        <w:pStyle w:val="ListNumber"/>
      </w:pPr>
      <w:r>
        <w:t>EMA CHMP. Varenicline (CHAMPIX) — Assessment of neuropsychiatric events, 2008 (updated 2014).</w:t>
      </w:r>
    </w:p>
    <w:p>
      <w:pPr>
        <w:pStyle w:val="ListNumber"/>
      </w:pPr>
      <w:r>
        <w:t>Cahill K, Lindson-Hawley N, Thomas KH, et al. Nicotine receptor partial agonists for smoking cessation. Cochrane Database of Systematic Reviews, 2016.</w:t>
      </w:r>
    </w:p>
    <w:p>
      <w:pPr>
        <w:pStyle w:val="ListNumber"/>
      </w:pPr>
      <w:r>
        <w:t>Nomenclature algérienne des médicaments — Avril 2026. Direction de la Pharmacie et des Médicaments, Ministère de la Santé, République Algérienne Démocratique et Populaire. Spécialités actives, non renouvelables et retirées.</w:t>
      </w:r>
    </w:p>
    <w:p>
      <w:pPr>
        <w:pStyle w:val="ListNumber"/>
      </w:pPr>
      <w:r>
        <w:t>American Psychiatric Association (APA). Practice Guideline for the Treatment of Patients with Alzheimer's Disease, 3rd edition, 2023.</w:t>
      </w:r>
    </w:p>
    <w:p>
      <w:pPr>
        <w:pStyle w:val="ListNumber"/>
      </w:pPr>
      <w:r>
        <w:t>Biederman J. Attention-deficit/hyperactivity disorder : a lifespan perspective. J Clin Psychiatry, 2005 ; 66 (Suppl 7) : 4-16.</w:t>
      </w:r>
    </w:p>
    <w:p>
      <w:r/>
      <w:r>
        <w:rPr>
          <w:b/>
        </w:rPr>
        <w:t>Fin du Chapitre 86 — TDAH, Antidémences et Antiaddiction</w:t>
      </w:r>
      <w:r/>
    </w:p>
    <w:p>
      <w:r/>
      <w:r>
        <w:rPr>
          <w:i/>
        </w:rPr>
        <w:t>Fascicule X — Psychiatrie / Psychotropes</w:t>
      </w:r>
      <w:r/>
    </w:p>
    <w:p>
      <w:r/>
      <w:r>
        <w:rPr>
          <w:i/>
        </w:rPr>
        <w:t>Section 86 — TDAH, Antidémences, Antiaddiction</w:t>
      </w:r>
      <w:r/>
    </w:p>
    <w:p>
      <w:r/>
      <w:r>
        <w:rPr>
          <w:i/>
        </w:rPr>
        <w:t>Auteur : Professeur de Pharmacologie Clinique</w:t>
      </w:r>
      <w:r/>
    </w:p>
    <w:p>
      <w:r/>
      <w:r>
        <w:rPr>
          <w:i/>
        </w:rPr>
        <w:t>Date de rédaction : Avril 2026</w:t>
      </w:r>
      <w:r/>
    </w:p>
    <w:p>
      <w:r/>
      <w:r>
        <w:rPr>
          <w:i/>
        </w:rPr>
        <w:t>Nomenclature algérienne de référence : Avril 2026</w:t>
      </w:r>
      <w:r/>
    </w:p>
    <w:p>
      <w:pPr>
        <w:pStyle w:val="Heading2"/>
      </w:pPr>
      <w:r>
        <w:t>Fascicule X — Chapitre 87 : Médicaments de la maladie de Parkinson</w:t>
      </w:r>
    </w:p>
    <w:p>
      <w:pPr>
        <w:pStyle w:val="Heading2"/>
      </w:pPr>
      <w:r>
        <w:t>Avant-propos du Chapitre 87</w:t>
      </w:r>
    </w:p>
    <w:p>
      <w:r>
        <w:t xml:space="preserve">Le présent chapitre constitue le </w:t>
      </w:r>
      <w:r>
        <w:rPr>
          <w:b/>
        </w:rPr>
        <w:t>septième et dernier volet thématique</w:t>
      </w:r>
      <w:r>
        <w:t xml:space="preserve"> du Fascicule X consacré aux psychotropes. Il traite spécifiquement des </w:t>
      </w:r>
      <w:r>
        <w:rPr>
          <w:b/>
        </w:rPr>
        <w:t>médicaments antiparkinsoniens</w:t>
      </w:r>
      <w:r>
        <w:t xml:space="preserve"> de la maladie de Parkinson idiopathique, classe médicamenteuse qui prolonge de manière significative l'espérance de vie en autonomie des patients atteints de cette affection neurodégénérative, deuxième cause de handicap moteur d'origine neurologique après la maladie d'Alzheimer.</w:t>
      </w:r>
    </w:p>
    <w:p>
      <w:r>
        <w:t xml:space="preserve">Contrairement aux chapitres précédents (81 à 86) traitant des psychotropes au sens strict (antidépresseurs, anxiolytiques, antipsychotiques, thymorégulateurs, TDAH/antidémences/antiaddiction), le présent chapitre aborde une classe transversale à la frontière entre </w:t>
      </w:r>
      <w:r>
        <w:rPr>
          <w:b/>
        </w:rPr>
        <w:t>neurologie</w:t>
      </w:r>
      <w:r>
        <w:t xml:space="preserve"> et </w:t>
      </w:r>
      <w:r>
        <w:rPr>
          <w:b/>
        </w:rPr>
        <w:t>psychiatrie</w:t>
      </w:r>
      <w:r>
        <w:t xml:space="preserve"> : les antiparkinsoniens. Cette classe mérite pleinement sa place dans un fascicule consacré aux psychotropes pour plusieurs raisons fondamentales :</w:t>
      </w:r>
    </w:p>
    <w:p>
      <w:pPr>
        <w:pStyle w:val="ListNumber"/>
      </w:pPr>
      <w:r/>
      <w:r>
        <w:rPr>
          <w:b/>
        </w:rPr>
        <w:t>Bases neurochimiques communes</w:t>
      </w:r>
      <w:r>
        <w:t xml:space="preserve"> : la maladie de Parkinson est une affection dopaminergique — la perte des neurones dopaminergiques de la pars compacta de la substance noire (voie nigro-striée) induit un déficit en dopamine striatale responsable des symptômes moteurs (akinésie, rigidité, tremblement de repos, troubles posturaux). Les stratégies thérapeutiques visent à restaurer la neurotransmission dopaminergique (lévodopa précurseur, agonistes dopaminergiques directs, inhibiteurs enzymatiques de la dégradation de la dopamine). Ces mécanismes s'inscrivent dans la même pharmacologie que les antipsychotiques (chapitres 83-84), qui agissent précisément par </w:t>
      </w:r>
      <w:r>
        <w:rPr>
          <w:b/>
        </w:rPr>
        <w:t>antagonisme des récepteurs D2</w:t>
      </w:r>
      <w:r>
        <w:t xml:space="preserve"> — expliquant l'effet indésirable parkinsonien des neuroleptiques et la </w:t>
      </w:r>
      <w:r>
        <w:rPr>
          <w:b/>
        </w:rPr>
        <w:t>contre-indication absolue</w:t>
      </w:r>
      <w:r>
        <w:t xml:space="preserve"> de leur association avec les antiparkinsoniens dopaminergiques (antagonisme pharmacodynamique complet).</w:t>
      </w:r>
    </w:p>
    <w:p>
      <w:pPr>
        <w:pStyle w:val="ListNumber"/>
      </w:pPr>
      <w:r/>
      <w:r>
        <w:rPr>
          <w:b/>
        </w:rPr>
        <w:t>Composante psychiatrique majeure de la maladie de Parkinson</w:t>
      </w:r>
      <w:r>
        <w:t xml:space="preserve"> : la maladie de Parkinson n'est pas qu'une maladie motrice. Elle comporte une dimension psychiatrique significative — dépression (40 % des patients), anxiété (30 %), troubles psychotiques (15-30 %, surtout hallucinations visuelles), troubles du contrôle des impulsions (15-20 % sous agonistes dopaminergiques), démence évolutive (80 % à 20 ans d'évolution), troubles du sommeil paradoxal (RBD). Cette intrication neurologique et psychiatrique justifie la place du chapitre 87 dans le Fascicule X.</w:t>
      </w:r>
    </w:p>
    <w:p>
      <w:pPr>
        <w:pStyle w:val="ListNumber"/>
      </w:pPr>
      <w:r/>
      <w:r>
        <w:rPr>
          <w:b/>
        </w:rPr>
        <w:t>Chevauchement thérapeutique</w:t>
      </w:r>
      <w:r>
        <w:t xml:space="preserve"> : certains antiparkinsoniens possèdent des indications psychiatriques (ropinirole et pramipexole dans le syndrome des jambes sans repos, dans la dépression bipolaire résistante hors AMM, dans la fibromyalgie). À l'inverse, certains psychotropes possèdent des indications neurologiques (clozapine dans la psychose parkinsonienne, quétiapine dans la psychose parkinsonienne et démence à corps de Lewy, amitriptyline dans la douleur neuropathique parkinsonienne). Cette interpénétration impose au pharmacien d'officine une vision intégrée neuro-psychiatrique.</w:t>
      </w:r>
    </w:p>
    <w:p>
      <w:r>
        <w:t xml:space="preserve">Le champ thérapeutique couvert comprend </w:t>
      </w:r>
      <w:r>
        <w:rPr>
          <w:b/>
        </w:rPr>
        <w:t>3 DCI</w:t>
      </w:r>
      <w:r>
        <w:t xml:space="preserve"> structurées en trois sous-classes distinctes, correspondant aux trois piliers de la stratégie thérapeutique antiparkinsonienne moderne :</w:t>
      </w:r>
    </w:p>
    <w:p>
      <w:pPr>
        <w:pStyle w:val="ListNumber"/>
      </w:pPr>
      <w:r/>
      <w:r>
        <w:rPr>
          <w:b/>
        </w:rPr>
        <w:t>Lévodopa + IDDC (Inhibiteur de la DOPA-décarboxylase périphérique)</w:t>
      </w:r>
      <w:r>
        <w:t xml:space="preserve"> : Lévodopa + Carbidopa/Bensérazide — pierre angulaire du traitement symptomatique, gold standard depuis 1967</w:t>
      </w:r>
    </w:p>
    <w:p>
      <w:pPr>
        <w:pStyle w:val="ListNumber"/>
      </w:pPr>
      <w:r/>
      <w:r>
        <w:rPr>
          <w:b/>
        </w:rPr>
        <w:t>Agonistes dopaminergiques non ergotés</w:t>
      </w:r>
      <w:r>
        <w:t xml:space="preserve"> : Ropinirole — alternative de première intention chez le sujet jeune (&lt; 60 ans), pour retarder l'instauration de la lévodopa et minimiser les fluctuations motrices</w:t>
      </w:r>
    </w:p>
    <w:p>
      <w:pPr>
        <w:pStyle w:val="ListNumber"/>
      </w:pPr>
      <w:r/>
      <w:r>
        <w:rPr>
          <w:b/>
        </w:rPr>
        <w:t>Inhibiteurs COMT (Catéchol-O-Méthyl-Transférase)</w:t>
      </w:r>
      <w:r>
        <w:t xml:space="preserve"> : Entacapone — adjuvant de la lévodopa pour le traitement des fluctuations motrices de fin de dose (« wearing-off »)</w:t>
      </w:r>
    </w:p>
    <w:p>
      <w:r>
        <w:t>Ces trois molécules, complémentaires dans la stratégie thérapeutique, représentent une dizaine de spécialités commerciales disponibles sur le territoire algérien (actives, non renouvelables ou retirées), incluant des formes orales solides à libération immédiate et à libération prolongée. L'analyse détaillée de chaque DCI, de chaque spécialité, de chaque dosage, et de chaque piège thérapeutique constitue l'objet de ce chapitre final du Fascicule X.</w:t>
      </w:r>
    </w:p>
    <w:p>
      <w:pPr>
        <w:pStyle w:val="Heading3"/>
      </w:pPr>
      <w:r>
        <w:t>Sources académiques mobilisées</w:t>
      </w:r>
    </w:p>
    <w:p>
      <w:pPr>
        <w:pStyle w:val="ListBullet"/>
      </w:pPr>
      <w:r/>
      <w:r>
        <w:rPr>
          <w:b/>
        </w:rPr>
        <w:t>VIDAL</w:t>
      </w:r>
      <w:r>
        <w:t xml:space="preserve"> : RCP officiels, posologies, interactions médicamenteuses</w:t>
      </w:r>
    </w:p>
    <w:p>
      <w:pPr>
        <w:pStyle w:val="ListBullet"/>
      </w:pPr>
      <w:r/>
      <w:r>
        <w:rPr>
          <w:b/>
        </w:rPr>
        <w:t>ANSM</w:t>
      </w:r>
      <w:r>
        <w:t xml:space="preserve"> (Agence Nationale de Sécurité du Médicament) : recommandations, mises en garde, RCP</w:t>
      </w:r>
    </w:p>
    <w:p>
      <w:pPr>
        <w:pStyle w:val="ListBullet"/>
      </w:pPr>
      <w:r/>
      <w:r>
        <w:rPr>
          <w:b/>
        </w:rPr>
        <w:t>Thériaque</w:t>
      </w:r>
      <w:r>
        <w:t xml:space="preserve"> (CNHIM) : banque française indépendante (interactions, équivalences)</w:t>
      </w:r>
    </w:p>
    <w:p>
      <w:pPr>
        <w:pStyle w:val="ListBullet"/>
      </w:pPr>
      <w:r/>
      <w:r>
        <w:rPr>
          <w:b/>
        </w:rPr>
        <w:t>CRAT</w:t>
      </w:r>
      <w:r>
        <w:t xml:space="preserve"> (Centre de Renseignement sur les Agents Tératogènes) : données grossesse/allaitement</w:t>
      </w:r>
    </w:p>
    <w:p>
      <w:pPr>
        <w:pStyle w:val="ListBullet"/>
      </w:pPr>
      <w:r/>
      <w:r>
        <w:rPr>
          <w:b/>
        </w:rPr>
        <w:t>HAS</w:t>
      </w:r>
      <w:r>
        <w:t xml:space="preserve"> (Haute Autorité de Santé) : recommandations maladie de Parkinson (2005, révision 2017)</w:t>
      </w:r>
    </w:p>
    <w:p>
      <w:pPr>
        <w:pStyle w:val="ListBullet"/>
      </w:pPr>
      <w:r/>
      <w:r>
        <w:rPr>
          <w:b/>
        </w:rPr>
        <w:t>EANM</w:t>
      </w:r>
      <w:r>
        <w:t xml:space="preserve"> (European Academy of Neurology — ex-MDS-ES) : guidelines européennes maladie de Parkinson (2019, mise à jour 2024)</w:t>
      </w:r>
    </w:p>
    <w:p>
      <w:pPr>
        <w:pStyle w:val="ListBullet"/>
      </w:pPr>
      <w:r/>
      <w:r>
        <w:rPr>
          <w:b/>
        </w:rPr>
        <w:t>MDS</w:t>
      </w:r>
      <w:r>
        <w:t xml:space="preserve"> (International Parkinson and Movement Disorder Society) : task force reports, recommandations thérapeutiques</w:t>
      </w:r>
    </w:p>
    <w:p>
      <w:pPr>
        <w:pStyle w:val="ListBullet"/>
      </w:pPr>
      <w:r/>
      <w:r>
        <w:rPr>
          <w:b/>
        </w:rPr>
        <w:t>NICE</w:t>
      </w:r>
      <w:r>
        <w:t xml:space="preserve"> (National Institute for Health and Care Excellence) : guidelines NG71 (2017) maladie de Parkinson</w:t>
      </w:r>
    </w:p>
    <w:p>
      <w:pPr>
        <w:pStyle w:val="ListBullet"/>
      </w:pPr>
      <w:r/>
      <w:r>
        <w:rPr>
          <w:b/>
        </w:rPr>
        <w:t>AAN</w:t>
      </w:r>
      <w:r>
        <w:t xml:space="preserve"> (American Academy of Neurology) : practice guidelines</w:t>
      </w:r>
    </w:p>
    <w:p>
      <w:pPr>
        <w:pStyle w:val="ListBullet"/>
      </w:pPr>
      <w:r/>
      <w:r>
        <w:rPr>
          <w:b/>
        </w:rPr>
        <w:t>UpToDate, Micromedex, Lexicomp</w:t>
      </w:r>
      <w:r>
        <w:t xml:space="preserve"> : référentiels internationaux</w:t>
      </w:r>
    </w:p>
    <w:p>
      <w:pPr>
        <w:pStyle w:val="ListBullet"/>
      </w:pPr>
      <w:r/>
      <w:r>
        <w:rPr>
          <w:b/>
        </w:rPr>
        <w:t>Stahl's Essential Psychopharmacology</w:t>
      </w:r>
      <w:r>
        <w:t xml:space="preserve"> (5e édition) : bases neurochimiques</w:t>
      </w:r>
    </w:p>
    <w:p>
      <w:pPr>
        <w:pStyle w:val="ListBullet"/>
      </w:pPr>
      <w:r/>
      <w:r>
        <w:rPr>
          <w:b/>
        </w:rPr>
        <w:t>Goodman &amp; Gilman's</w:t>
      </w:r>
      <w:r>
        <w:t xml:space="preserve"> (13e édition) : pharmacologie fondamentale</w:t>
      </w:r>
    </w:p>
    <w:p>
      <w:pPr>
        <w:pStyle w:val="ListBullet"/>
      </w:pPr>
      <w:r/>
      <w:r>
        <w:rPr>
          <w:b/>
        </w:rPr>
        <w:t>Katzung</w:t>
      </w:r>
      <w:r>
        <w:t xml:space="preserve"> (15e édition) : pharmacologie clinique</w:t>
      </w:r>
    </w:p>
    <w:p>
      <w:pPr>
        <w:pStyle w:val="Heading3"/>
      </w:pPr>
      <w:r>
        <w:t>Contexte épidémiologique algérien</w:t>
      </w:r>
    </w:p>
    <w:p>
      <w:pPr>
        <w:pStyle w:val="ListBullet"/>
      </w:pPr>
      <w:r>
        <w:t xml:space="preserve">Prévalence vie-entière de la </w:t>
      </w:r>
      <w:r>
        <w:rPr>
          <w:b/>
        </w:rPr>
        <w:t>maladie de Parkinson idiopathique</w:t>
      </w:r>
      <w:r>
        <w:t xml:space="preserve"> : ~1 % de la population &gt; 60 ans (soit ~80 000 à 100 000 patients en Algérie, vieillissement démographique progressif)</w:t>
      </w:r>
    </w:p>
    <w:p>
      <w:pPr>
        <w:pStyle w:val="ListBullet"/>
      </w:pPr>
      <w:r>
        <w:t>Incidence : ~10-20 nouveaux cas / 100 000 habitants / an</w:t>
      </w:r>
    </w:p>
    <w:p>
      <w:pPr>
        <w:pStyle w:val="ListBullet"/>
      </w:pPr>
      <w:r>
        <w:t>Âge moyen de diagnostic : ~60 ans (formes juveniles &lt; 40 ans : ~5 %)</w:t>
      </w:r>
    </w:p>
    <w:p>
      <w:pPr>
        <w:pStyle w:val="ListBullet"/>
      </w:pPr>
      <w:r>
        <w:t>Sex-ratio : 1,5 H / 1 F (légère prédominance masculine)</w:t>
      </w:r>
    </w:p>
    <w:p>
      <w:pPr>
        <w:pStyle w:val="ListBullet"/>
      </w:pPr>
      <w:r>
        <w:t>Espérance de vie post-diagnostic : 10-20 ans selon l'âge au diagnostic et la qualité de la prise en charge</w:t>
      </w:r>
    </w:p>
    <w:p>
      <w:pPr>
        <w:pStyle w:val="ListBullet"/>
      </w:pPr>
      <w:r>
        <w:t>Retard diagnostique moyen en Algérie : ~2-3 ans (confusion avec vieillissement normal, tremblement essentiel)</w:t>
      </w:r>
    </w:p>
    <w:p>
      <w:pPr>
        <w:pStyle w:val="ListBullet"/>
      </w:pPr>
      <w:r>
        <w:t>Accès aux neurologues : inégal (concentration dans le nord et les grandes villes)</w:t>
      </w:r>
    </w:p>
    <w:p>
      <w:pPr>
        <w:pStyle w:val="ListBullet"/>
      </w:pPr>
      <w:r>
        <w:t>Coût mensuel moyen du traitement : variable selon DCI et formes (génériques disponibles pour la plupart, coût réduit)</w:t>
      </w:r>
    </w:p>
    <w:p>
      <w:pPr>
        <w:pStyle w:val="ListBullet"/>
      </w:pPr>
      <w:r>
        <w:t>Observance thérapeutique : problème majeur (horaires stricts, polymédication, fluctuations)</w:t>
      </w:r>
    </w:p>
    <w:p>
      <w:pPr>
        <w:pStyle w:val="Heading2"/>
      </w:pPr>
      <w:r>
        <w:t>Sommaire du Chapitre 87</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Section</w:t>
            </w:r>
          </w:p>
        </w:tc>
        <w:tc>
          <w:tcPr>
            <w:tcW w:type="dxa" w:w="3118"/>
          </w:tcPr>
          <w:p>
            <w:r>
              <w:rPr>
                <w:b/>
                <w:sz w:val="20"/>
              </w:rPr>
              <w:t>Sous-classes traitées</w:t>
            </w:r>
          </w:p>
        </w:tc>
        <w:tc>
          <w:tcPr>
            <w:tcW w:type="dxa" w:w="3118"/>
          </w:tcPr>
          <w:p>
            <w:r>
              <w:rPr>
                <w:b/>
                <w:sz w:val="20"/>
              </w:rPr>
              <w:t>DCI</w:t>
            </w:r>
          </w:p>
        </w:tc>
      </w:tr>
      <w:tr>
        <w:tc>
          <w:tcPr>
            <w:tcW w:type="dxa" w:w="3118"/>
          </w:tcPr>
          <w:p>
            <w:r>
              <w:rPr>
                <w:sz w:val="20"/>
              </w:rPr>
              <w:t>87.1</w:t>
            </w:r>
          </w:p>
        </w:tc>
        <w:tc>
          <w:tcPr>
            <w:tcW w:type="dxa" w:w="3118"/>
          </w:tcPr>
          <w:p>
            <w:r>
              <w:rPr>
                <w:sz w:val="20"/>
              </w:rPr>
              <w:t>Lévodopa + IDDC (Inhibiteur DOPA-décarboxylase périphérique)</w:t>
            </w:r>
          </w:p>
        </w:tc>
        <w:tc>
          <w:tcPr>
            <w:tcW w:type="dxa" w:w="3118"/>
          </w:tcPr>
          <w:p>
            <w:r>
              <w:rPr>
                <w:sz w:val="20"/>
              </w:rPr>
              <w:t>Lévodopa + Carbidopa/Bensérazide</w:t>
            </w:r>
          </w:p>
        </w:tc>
      </w:tr>
      <w:tr>
        <w:tc>
          <w:tcPr>
            <w:tcW w:type="dxa" w:w="3118"/>
          </w:tcPr>
          <w:p>
            <w:r>
              <w:rPr>
                <w:sz w:val="20"/>
              </w:rPr>
              <w:t>87.2</w:t>
            </w:r>
          </w:p>
        </w:tc>
        <w:tc>
          <w:tcPr>
            <w:tcW w:type="dxa" w:w="3118"/>
          </w:tcPr>
          <w:p>
            <w:r>
              <w:rPr>
                <w:sz w:val="20"/>
              </w:rPr>
              <w:t>Agonistes dopaminergiques non ergotés</w:t>
            </w:r>
          </w:p>
        </w:tc>
        <w:tc>
          <w:tcPr>
            <w:tcW w:type="dxa" w:w="3118"/>
          </w:tcPr>
          <w:p>
            <w:r>
              <w:rPr>
                <w:sz w:val="20"/>
              </w:rPr>
              <w:t>Ropinirole</w:t>
            </w:r>
          </w:p>
        </w:tc>
      </w:tr>
      <w:tr>
        <w:tc>
          <w:tcPr>
            <w:tcW w:type="dxa" w:w="3118"/>
          </w:tcPr>
          <w:p>
            <w:r>
              <w:rPr>
                <w:sz w:val="20"/>
              </w:rPr>
              <w:t>87.3</w:t>
            </w:r>
          </w:p>
        </w:tc>
        <w:tc>
          <w:tcPr>
            <w:tcW w:type="dxa" w:w="3118"/>
          </w:tcPr>
          <w:p>
            <w:r>
              <w:rPr>
                <w:sz w:val="20"/>
              </w:rPr>
              <w:t>Inhibiteurs COMT (Catéchol-O-Méthyl-Transférase)</w:t>
            </w:r>
          </w:p>
        </w:tc>
        <w:tc>
          <w:tcPr>
            <w:tcW w:type="dxa" w:w="3118"/>
          </w:tcPr>
          <w:p>
            <w:r>
              <w:rPr>
                <w:sz w:val="20"/>
              </w:rPr>
              <w:t>Entacapone</w:t>
            </w:r>
          </w:p>
        </w:tc>
      </w:tr>
      <w:tr>
        <w:tc>
          <w:tcPr>
            <w:tcW w:type="dxa" w:w="3118"/>
          </w:tcPr>
          <w:p>
            <w:r>
              <w:rPr>
                <w:sz w:val="20"/>
              </w:rPr>
              <w:t>**Total**</w:t>
            </w:r>
          </w:p>
        </w:tc>
        <w:tc>
          <w:tcPr>
            <w:tcW w:type="dxa" w:w="3118"/>
          </w:tcPr>
          <w:p>
            <w:r>
              <w:rPr>
                <w:sz w:val="20"/>
              </w:rPr>
            </w:r>
          </w:p>
        </w:tc>
        <w:tc>
          <w:tcPr>
            <w:tcW w:type="dxa" w:w="3118"/>
          </w:tcPr>
          <w:p>
            <w:r>
              <w:rPr>
                <w:sz w:val="20"/>
              </w:rPr>
              <w:t>**3 DCI**</w:t>
            </w:r>
          </w:p>
        </w:tc>
      </w:tr>
    </w:tbl>
    <w:p/>
    <w:p>
      <w:pPr>
        <w:pStyle w:val="Heading2"/>
      </w:pPr>
      <w:r>
        <w:t>87.1 — Sous-classe : Lévodopa + IDDC (Inhibiteur DOPA-décarboxylase périphérique)</w:t>
      </w:r>
    </w:p>
    <w:p>
      <w:pPr>
        <w:pStyle w:val="Heading3"/>
      </w:pPr>
      <w:r>
        <w:t>Introduction à la sous-classe</w:t>
      </w:r>
    </w:p>
    <w:p>
      <w:r>
        <w:t xml:space="preserve">La lévodopa (L-DOPA, L-3,4-dihydroxyphénylalanine) constitue, depuis sa mise à disposition thérapeutique en 1967 (Cotzias, New England Journal of Medicine) et son association systématique à un inhibiteur de la DOPA-décarboxylase périphérique (IDDC) à partir de 1971-1975 (carbidopa — Sinemet, MSD ; bensérazide — Madopar, Roche), le </w:t>
      </w:r>
      <w:r>
        <w:rPr>
          <w:b/>
        </w:rPr>
        <w:t>gold standard thérapeutique absolu</w:t>
      </w:r>
      <w:r>
        <w:t xml:space="preserve"> de la maladie de Parkinson idiopathique. Aucune autre stratégie thérapeutique n'a démontré à ce jour une supériorité d'efficacité sur les symptômes moteurs parkinsoniens, et la lévodopa demeure le traitement de référence pour lequel toutes les nouvelles molécules sont comparées.</w:t>
      </w:r>
    </w:p>
    <w:p>
      <w:r/>
      <w:r>
        <w:rPr>
          <w:b/>
        </w:rPr>
        <w:t>Justification physiopathologique de l'association Lévodopa + IDDC :</w:t>
      </w:r>
      <w:r/>
    </w:p>
    <w:p>
      <w:r>
        <w:t xml:space="preserve">La dopamine exogène ne peut pas être utilisée directement comme médicament antiparkinsonien car elle </w:t>
      </w:r>
      <w:r>
        <w:rPr>
          <w:b/>
        </w:rPr>
        <w:t>ne traverse pas la barrière hémato-encéphalique (BHE)</w:t>
      </w:r>
      <w:r>
        <w:t xml:space="preserve"> en raison de sa polarité élevée (groupements catéchol et amine primaire protonnés à pH physiologique) et de sa dégradation quasi-immédiate par la monoamine oxydase (MAO) et la catéchol-O-méthyl-transférase (COMT) périphériques. La stratégie thérapeutique consiste donc à administrer le </w:t>
      </w:r>
      <w:r>
        <w:rPr>
          <w:b/>
        </w:rPr>
        <w:t>précurseur immédiat de la dopamine, la L-DOPA</w:t>
      </w:r>
      <w:r>
        <w:t xml:space="preserve">, qui traverse activement la BHE via le transporteur des acides aminés neutres (LAT1, large neutral amino acid transporter). Une fois dans le cerveau, la L-DOPA est </w:t>
      </w:r>
      <w:r>
        <w:rPr>
          <w:b/>
        </w:rPr>
        <w:t>convertie en dopamine</w:t>
      </w:r>
      <w:r>
        <w:t xml:space="preserve"> par la </w:t>
      </w:r>
      <w:r>
        <w:rPr>
          <w:b/>
        </w:rPr>
        <w:t>DOPA-décarboxylase aromatique</w:t>
      </w:r>
      <w:r>
        <w:t xml:space="preserve"> (AADC, AAAD — enzyme cytosolique présente dans les terminaisons dopaminergiques survivantes, mais aussi dans les terminaisons sérotoninergiques qui peuvent capter la L-DOPA et la décaboxyler en dopamine — phénomène de "faux neurotransmetteur").</w:t>
      </w:r>
    </w:p>
    <w:p>
      <w:r>
        <w:t xml:space="preserve">Cependant, administrée seule, la L-DOPA subit une </w:t>
      </w:r>
      <w:r>
        <w:rPr>
          <w:b/>
        </w:rPr>
        <w:t>décarboxylation périphérique massive</w:t>
      </w:r>
      <w:r>
        <w:t xml:space="preserve"> (&gt; 95 %) par la DOPA-décarboxylase présente dans le tube digestif (paroi intestinale), le foie et les reins, ne laissant qu'une </w:t>
      </w:r>
      <w:r>
        <w:rPr>
          <w:b/>
        </w:rPr>
        <w:t>biodisponibilité centrale de seulement 1 à 5 %</w:t>
      </w:r>
      <w:r>
        <w:t xml:space="preserve"> de la dose ingérée. Cette dégradation périphérique expose le patient à deux problèmes majeurs : (i) nécessité de doses très élevées (3 à 6 g/jour) pour obtenir un effet central, avec toxicité systémique (nausées, vomissements intenses par stimulation des récepteurs D2 de la zone post-rémoie chimio-sensible, hypotension orthostatique par stimulation des récepteurs D1 vasculaires et D2 pré-synaptiques, arythmies cardiaques par conversion en dopamine périphérique), et (ii) fluctuations thérapeutiques marquées (effet "on-off" précoce).</w:t>
      </w:r>
    </w:p>
    <w:p>
      <w:r>
        <w:t>L'</w:t>
      </w:r>
      <w:r>
        <w:rPr>
          <w:b/>
        </w:rPr>
        <w:t>association systématique d'un IDDC</w:t>
      </w:r>
      <w:r>
        <w:t xml:space="preserve"> (carbidopa ou bensérazide) résout ce problème en </w:t>
      </w:r>
      <w:r>
        <w:rPr>
          <w:b/>
        </w:rPr>
        <w:t>inhibant sélectivement la DOPA-décarboxylase périphérique</w:t>
      </w:r>
      <w:r>
        <w:t xml:space="preserve"> (ces IDDC ne traversent pas la BHE en raison de leur polarité, agissant uniquement en périphérie). L'inhibition périphérique permet de :</w:t>
      </w:r>
    </w:p>
    <w:p>
      <w:pPr>
        <w:pStyle w:val="ListBullet"/>
      </w:pPr>
      <w:r/>
      <w:r>
        <w:rPr>
          <w:b/>
        </w:rPr>
        <w:t>Multiplier par 5 à 10 la biodisponibilité centrale de la lévodopa</w:t>
      </w:r>
      <w:r>
        <w:t xml:space="preserve"> (de 1-5 % à 30-50 %), réduisant la dose nécessaire à 300-1000 mg/jour de lévodopa</w:t>
      </w:r>
    </w:p>
    <w:p>
      <w:pPr>
        <w:pStyle w:val="ListBullet"/>
      </w:pPr>
      <w:r/>
      <w:r>
        <w:rPr>
          <w:b/>
        </w:rPr>
        <w:t>Réduire la dose totale de lévodopa de 70 à 80 %</w:t>
      </w:r>
      <w:r>
        <w:t xml:space="preserve"> pour un effet thérapeutique équivalent</w:t>
      </w:r>
    </w:p>
    <w:p>
      <w:pPr>
        <w:pStyle w:val="ListBullet"/>
      </w:pPr>
      <w:r/>
      <w:r>
        <w:rPr>
          <w:b/>
        </w:rPr>
        <w:t>Diminuer significativement les effets indésirables périphériques</w:t>
      </w:r>
      <w:r>
        <w:t xml:space="preserve"> (nausées, vomissements, hypotension) — bien que la carbidopa et le bensérazide ne soient que des inhibiteurs périphériques, l'effet central reste dominé par la dopamine produite</w:t>
      </w:r>
    </w:p>
    <w:p>
      <w:pPr>
        <w:pStyle w:val="ListBullet"/>
      </w:pPr>
      <w:r/>
      <w:r>
        <w:rPr>
          <w:b/>
        </w:rPr>
        <w:t>Stabiliser les concentrations plasmatiques de lévodopa</w:t>
      </w:r>
      <w:r>
        <w:t xml:space="preserve"> (demi-vie plasmatique passant de ~30 minutes à 60-90 minutes), réduisant partiellement les fluctuations motrices</w:t>
      </w:r>
    </w:p>
    <w:p>
      <w:r/>
      <w:r>
        <w:rPr>
          <w:b/>
        </w:rPr>
        <w:t>Ratio lévodopa/IDDC :</w:t>
      </w:r>
      <w:r>
        <w:t xml:space="preserve"> les ratios standards sont 4:1 pour la </w:t>
      </w:r>
      <w:r>
        <w:rPr>
          <w:b/>
        </w:rPr>
        <w:t>lévodopa/carbidopa</w:t>
      </w:r>
      <w:r>
        <w:t xml:space="preserve"> (Sinemet 100/25, 250/25) et 4:1 pour la </w:t>
      </w:r>
      <w:r>
        <w:rPr>
          <w:b/>
        </w:rPr>
        <w:t>lévodopa/bensérazide</w:t>
      </w:r>
      <w:r>
        <w:t xml:space="preserve"> (Madopar 100/25, 200/50, Modopar 100/25). À noter que le bensérazide est environ 1,5 à 2 fois plus puissant que la carbidopa à dose égale — d'où l'équivalence approximative 100 mg lévodopa + 25 mg bensérazide ≈ 100 mg lévodopa + 25 mg carbidopa (dose exprimée en carbidopa anhydre équivalente).</w:t>
      </w:r>
    </w:p>
    <w:p>
      <w:r/>
      <w:r>
        <w:rPr>
          <w:b/>
        </w:rPr>
        <w:t>Limitations évolutives de la lévodopa au long cours</w:t>
      </w:r>
      <w:r>
        <w:t xml:space="preserve"> : après 5 à 10 ans de traitement par lévodopa, la majorité des patients parkinsoniens développent des </w:t>
      </w:r>
      <w:r>
        <w:rPr>
          <w:b/>
        </w:rPr>
        <w:t>complications motrices chroniques</w:t>
      </w:r>
      <w:r>
        <w:t xml:space="preserve"> :</w:t>
      </w:r>
    </w:p>
    <w:p>
      <w:pPr>
        <w:pStyle w:val="ListBullet"/>
      </w:pPr>
      <w:r/>
      <w:r>
        <w:rPr>
          <w:b/>
        </w:rPr>
        <w:t>Fluctuations motrices de fin de dose</w:t>
      </w:r>
      <w:r>
        <w:t xml:space="preserve"> (« wearing-off ») : réapparition des symptômes parkinsoniens avant la prise suivante, liée à la demi-vie courte de la lévodopa et à la perte de la capacité de stockage de la dopamine dans les terminaisons pré-synaptiques (déplétion des vésicules dopaminergiques par perte neuronale progressive)</w:t>
      </w:r>
    </w:p>
    <w:p>
      <w:pPr>
        <w:pStyle w:val="ListBullet"/>
      </w:pPr>
      <w:r/>
      <w:r>
        <w:rPr>
          <w:b/>
        </w:rPr>
        <w:t>Phénomène "on-off"</w:t>
      </w:r>
      <w:r>
        <w:t xml:space="preserve"> : alternance imprévisible entre périodes « on » (efficacité thérapeutique, parfois accompagnée de dyskinésies) et périodes « off » (blocage moteur brutal), lié à un seuil pharmacodynamique critique et à une modulation pharmacocinétique gastro-intestinale (compétition avec les acides aminés alimentaires au transporteur LAT1)</w:t>
      </w:r>
    </w:p>
    <w:p>
      <w:pPr>
        <w:pStyle w:val="ListBullet"/>
      </w:pPr>
      <w:r/>
      <w:r>
        <w:rPr>
          <w:b/>
        </w:rPr>
        <w:t>Dyskinésies induites par la lévodopa</w:t>
      </w:r>
      <w:r>
        <w:t xml:space="preserve"> (LID — Levodopa-induced dyskinesias) : mouvements choréïques anormaux involontaires, touchant principalement la face, le tronc et les membres supérieurs, liées à une stimulation pulsatile et excessive des récepteurs D1 striataux postsynaptiques avec plasticité synaptique maladaptative (phosphorylation des récepteurs NMDA, modification des voies directe/indirecte)</w:t>
      </w:r>
    </w:p>
    <w:p>
      <w:r>
        <w:t xml:space="preserve">Ces complications motrices justifient : (i) la stratégie de </w:t>
      </w:r>
      <w:r>
        <w:rPr>
          <w:b/>
        </w:rPr>
        <w:t>retarder l'introduction de la lévodopa</w:t>
      </w:r>
      <w:r>
        <w:t xml:space="preserve"> chez le sujet jeune (&lt; 60 ans) en privilégiant les agonistes dopaminergiques en première intention, (ii) l'utilisation des </w:t>
      </w:r>
      <w:r>
        <w:rPr>
          <w:b/>
        </w:rPr>
        <w:t>formes à libération prolongée</w:t>
      </w:r>
      <w:r>
        <w:t xml:space="preserve"> (LP, HBS — hydrodynamically balanced system), (iii) l'association aux </w:t>
      </w:r>
      <w:r>
        <w:rPr>
          <w:b/>
        </w:rPr>
        <w:t>inhibiteurs COMT</w:t>
      </w:r>
      <w:r>
        <w:t xml:space="preserve"> (entacapone) et </w:t>
      </w:r>
      <w:r>
        <w:rPr>
          <w:b/>
        </w:rPr>
        <w:t>inhibiteurs MAO-B</w:t>
      </w:r>
      <w:r>
        <w:t xml:space="preserve"> (sélégiline, rasagiline — non couverts dans ce chapitre) pour prolonger la demi-vie de la lévodopa, et (iv) l'utilisation des </w:t>
      </w:r>
      <w:r>
        <w:rPr>
          <w:b/>
        </w:rPr>
        <w:t>formes "dispersibles"</w:t>
      </w:r>
      <w:r>
        <w:t xml:space="preserve"> pour les blocages matinaux ou les « off » imprévisibles.</w:t>
      </w:r>
    </w:p>
    <w:p>
      <w:r/>
      <w:r>
        <w:rPr>
          <w:b/>
        </w:rPr>
        <w:t>Positionnement dans la stratégie thérapeutique :</w:t>
      </w:r>
      <w:r/>
    </w:p>
    <w:p>
      <w:pPr>
        <w:pStyle w:val="ListBullet"/>
      </w:pPr>
      <w:r/>
      <w:r>
        <w:rPr>
          <w:b/>
        </w:rPr>
        <w:t>Sujets &gt; 70 ans</w:t>
      </w:r>
      <w:r>
        <w:t xml:space="preserve"> ou avec altération cognitive préexistante : la lévodopa est </w:t>
      </w:r>
      <w:r>
        <w:rPr>
          <w:b/>
        </w:rPr>
        <w:t>le traitement de première intention</w:t>
      </w:r>
      <w:r>
        <w:t>, car le risque de complications motrices à long terme est moins préoccupant que l'espérance de vie, et la tolérance cognitive des agonistes dopaminergiques est mauvaise (risque accru d'hallucinations et de confusion chez le sujet âgé).</w:t>
      </w:r>
    </w:p>
    <w:p>
      <w:pPr>
        <w:pStyle w:val="ListBullet"/>
      </w:pPr>
      <w:r/>
      <w:r>
        <w:rPr>
          <w:b/>
        </w:rPr>
        <w:t>Sujets 60-70 ans</w:t>
      </w:r>
      <w:r>
        <w:t xml:space="preserve"> : discussion au cas par cas ; lévodopa ou agoniste dopaminergique selon le profil moteur, cognitif, psychiatrique et l'activité professionnelle.</w:t>
      </w:r>
    </w:p>
    <w:p>
      <w:pPr>
        <w:pStyle w:val="ListBullet"/>
      </w:pPr>
      <w:r/>
      <w:r>
        <w:rPr>
          <w:b/>
        </w:rPr>
        <w:t>Sujets &lt; 60 ans</w:t>
      </w:r>
      <w:r>
        <w:t xml:space="preserve"> : privilégier un </w:t>
      </w:r>
      <w:r>
        <w:rPr>
          <w:b/>
        </w:rPr>
        <w:t>agoniste dopaminergique non ergoté</w:t>
      </w:r>
      <w:r>
        <w:t xml:space="preserve"> (ropinirole, pramipexole) en première intention pour retarder l'introduction de la lévodopa et minimiser le risque de dyskinésies précoces.</w:t>
      </w:r>
    </w:p>
    <w:p>
      <w:pPr>
        <w:pStyle w:val="ListBullet"/>
      </w:pPr>
      <w:r/>
      <w:r>
        <w:rPr>
          <w:b/>
        </w:rPr>
        <w:t>Quel que soit l'âge</w:t>
      </w:r>
      <w:r>
        <w:t xml:space="preserve"> : la lévodopa reste le traitement le plus puissant sur l'akinésie et la rigidité ; son introduction devient inévitable à mesure que la maladie progresse.</w:t>
      </w:r>
    </w:p>
    <w:p>
      <w:r/>
      <w:r>
        <w:rPr>
          <w:b/>
        </w:rPr>
        <w:t>Règle de bon usage au comptoir</w:t>
      </w:r>
      <w:r>
        <w:t xml:space="preserve"> : tout patient sous lévodopa doit être informé des points suivants :</w:t>
      </w:r>
    </w:p>
    <w:p>
      <w:pPr>
        <w:pStyle w:val="ListNumber"/>
      </w:pPr>
      <w:r/>
      <w:r>
        <w:rPr>
          <w:b/>
        </w:rPr>
        <w:t>Observance horaire stricte</w:t>
      </w:r>
      <w:r>
        <w:t xml:space="preserve"> : les prises doivent être effectuées à heure fixe, à 1 heure près, pour minimiser les fluctuations</w:t>
      </w:r>
    </w:p>
    <w:p>
      <w:pPr>
        <w:pStyle w:val="ListNumber"/>
      </w:pPr>
      <w:r/>
      <w:r>
        <w:rPr>
          <w:b/>
        </w:rPr>
        <w:t>Prise par rapport aux repas</w:t>
      </w:r>
      <w:r>
        <w:t xml:space="preserve"> : privilégier la prise à jeun (30 minutes avant les repas) pour éviter la compétition avec les acides aminés alimentaires au transporteur LAT1 intestinal et cérébral ; mais en cas de nausées, prendre pendant le repas (compromis à adapter)</w:t>
      </w:r>
    </w:p>
    <w:p>
      <w:pPr>
        <w:pStyle w:val="ListNumber"/>
      </w:pPr>
      <w:r/>
      <w:r>
        <w:rPr>
          <w:b/>
        </w:rPr>
        <w:t>Ne jamais arrêter brutalement</w:t>
      </w:r>
      <w:r>
        <w:t xml:space="preserve"> : risque de </w:t>
      </w:r>
      <w:r>
        <w:rPr>
          <w:b/>
        </w:rPr>
        <w:t>syndrome malin parkinsonien</w:t>
      </w:r>
      <w:r>
        <w:t xml:space="preserve"> (akinésie aiguë, hyperthermie, rhabdomyolyse, insuffisance rénale aiguë — analogue du syndrome malin des neuroleptiques, potentiellement mortel)</w:t>
      </w:r>
    </w:p>
    <w:p>
      <w:pPr>
        <w:pStyle w:val="ListNumber"/>
      </w:pPr>
      <w:r/>
      <w:r>
        <w:rPr>
          <w:b/>
        </w:rPr>
        <w:t>Surveillance des effets psychiatriques</w:t>
      </w:r>
      <w:r>
        <w:t xml:space="preserve"> : hallucinations (surtout visuelles), illusions, délire, surtout chez le sujet âgé ou en cas de démence émergente</w:t>
      </w:r>
    </w:p>
    <w:p>
      <w:pPr>
        <w:pStyle w:val="ListNumber"/>
      </w:pPr>
      <w:r/>
      <w:r>
        <w:rPr>
          <w:b/>
        </w:rPr>
        <w:t>Surveillance des troubles du contrôle des impulsions</w:t>
      </w:r>
      <w:r>
        <w:t xml:space="preserve"> : surtout en cas d'association à un agoniste dopaminergique</w:t>
      </w:r>
    </w:p>
    <w:p>
      <w:pPr>
        <w:pStyle w:val="ListNumber"/>
      </w:pPr>
      <w:r/>
      <w:r>
        <w:rPr>
          <w:b/>
        </w:rPr>
        <w:t>Interactions médicamenteuses</w:t>
      </w:r>
      <w:r>
        <w:t xml:space="preserve"> : ne jamais associer à un antipsychotique (antagonisme pharmacodynamique complet), prudence avec les IMAO (CI absolue si IMAO non sélectif), prudence avec les antihypertenseurs (hypotension orthostatique majorée), éviter la neuroleptisation pour les nausées (métopimazine autorisée, mais pas le dropéridol ni l'halopéridol)</w:t>
      </w:r>
    </w:p>
    <w:p>
      <w:pPr>
        <w:pStyle w:val="Heading3"/>
      </w:pPr>
      <w:r>
        <w:t>1. DCI : Lévodopa + Carbidopa/Bensérazide (En Association)</w:t>
      </w:r>
    </w:p>
    <w:p>
      <w:r>
        <w:t xml:space="preserve">La lévodopa combinée à un inhibiteur de la DOPA-décarboxylase périphérique (IDDC) représente le traitement de référence absolu de la maladie de Parkinson idiopathique depuis près de 60 ans. Découver par Arvid Carlsson (Prix Nobel de Médecine 2000 pour ses travaux sur la dopamine comme neurotransmetteur), développée cliniquement par George Cotzias à partir de 1967, et optimisée par l'association systématique à un IDDC à partir des années 1970, cette stratégie thérapeutique a transformé radicalement le pronostic fonctionnel des patients parkinsoniens — passant d'une espérance de vie post-diagnostic de 5-10 ans (pré-lévodopa) à 15-20 ans (post-lévodopa), avec préservation prolongée de l'autonomie motrice, professionnelle et sociale. La lévodopa agit comme </w:t>
      </w:r>
      <w:r>
        <w:rPr>
          <w:b/>
        </w:rPr>
        <w:t>précurseur métabolique direct de la dopamine</w:t>
      </w:r>
      <w:r>
        <w:t xml:space="preserve"> : elle traverse la BHE via le transporteur LAT1 des acides aminés neutres, puis est convertie en dopamine active par la DOPA-décarboxylase cérébrale (présente dans les terminaisons dopaminergiques survivantes — mais aussi, à mesure que la maladie progresse et que les neurones dopaminergiques disparaissent, dans les terminaisons sérotoninergiques qui "détournent" la lévodopa et la convertissent en dopamine qu'elles libèrent de manière anomale comme "faux neurotransmetteur"). L'IDDC associé (carbidopa ou bensérazide) inhibe sélectivement la DOPA-décarboxylase périphérique, multipliant par 5 à 10 la biodisponibilité centrale de la lévodopa et réduisant d'autant la dose nécessaire et les effets indésirables périphériques.</w:t>
      </w:r>
    </w:p>
    <w:p>
      <w:r/>
      <w:r>
        <w:rPr>
          <w:b/>
        </w:rPr>
        <w:t>Liste des Catégories :</w:t>
      </w:r>
      <w:r>
        <w:t xml:space="preserve"> Antiparkinsoniens — Dopaminergiques — Précurseur de la dopamine + Inhibiteur DOPA-décarboxylase périphérique.</w:t>
      </w:r>
    </w:p>
    <w:p>
      <w:r/>
      <w:r>
        <w:rPr>
          <w:b/>
        </w:rPr>
        <w:t>Médicaments disponibles en Algérie (Marques, Laboratoires, Formes et Dosages) :</w:t>
      </w:r>
      <w:r/>
    </w:p>
    <w:p>
      <w:r>
        <w:t>Spécialités ACTIVES (à base de Lévodopa + Carbidopa) :</w:t>
      </w:r>
    </w:p>
    <w:p>
      <w:pPr>
        <w:pStyle w:val="ListBullet"/>
      </w:pPr>
      <w:r/>
      <w:r>
        <w:rPr>
          <w:b/>
        </w:rPr>
        <w:t>LEVOCARB</w:t>
      </w:r>
      <w:r>
        <w:t xml:space="preserve"> (BIOGALENIC)</w:t>
      </w:r>
    </w:p>
    <w:p>
      <w:pPr>
        <w:pStyle w:val="ListBullet"/>
      </w:pPr>
      <w:r>
        <w:t>Formes et Dosages : Comprimé 100 mg/10 mg (B/100) ; Comprimé sécable 250 mg/25 mg** (B/100)</w:t>
      </w:r>
    </w:p>
    <w:p>
      <w:pPr>
        <w:pStyle w:val="ListBullet"/>
      </w:pPr>
      <w:r>
        <w:t>Statut : Actif (Liste I)</w:t>
      </w:r>
    </w:p>
    <w:p>
      <w:pPr>
        <w:pStyle w:val="ListBullet"/>
      </w:pPr>
      <w:r>
        <w:t>Remarque : le dosage 250/25 mg** mentionne "monohydrate exprimé en anhydre" — équivalence en carbidopa anhydre</w:t>
      </w:r>
    </w:p>
    <w:p>
      <w:pPr>
        <w:pStyle w:val="ListBullet"/>
      </w:pPr>
      <w:r/>
      <w:r>
        <w:rPr>
          <w:b/>
        </w:rPr>
        <w:t>LEVOMED</w:t>
      </w:r>
      <w:r>
        <w:t xml:space="preserve"> (MEDOCHEMIE LTD)</w:t>
      </w:r>
    </w:p>
    <w:p>
      <w:pPr>
        <w:pStyle w:val="ListBullet"/>
      </w:pPr>
      <w:r>
        <w:t>Formes et Dosages : Comprimé 100 mg/10 mg (B/100) ; Comprimé 250 mg/25 mg (B/100)</w:t>
      </w:r>
    </w:p>
    <w:p>
      <w:pPr>
        <w:pStyle w:val="ListBullet"/>
      </w:pPr>
      <w:r>
        <w:t>Statut : Actif (Liste I)</w:t>
      </w:r>
    </w:p>
    <w:p>
      <w:pPr>
        <w:pStyle w:val="ListBullet"/>
      </w:pPr>
      <w:r/>
      <w:r>
        <w:rPr>
          <w:b/>
        </w:rPr>
        <w:t>LEVODOZ</w:t>
      </w:r>
      <w:r>
        <w:t xml:space="preserve"> (NOVAPHARM TRADING)</w:t>
      </w:r>
    </w:p>
    <w:p>
      <w:pPr>
        <w:pStyle w:val="ListBullet"/>
      </w:pPr>
      <w:r>
        <w:t>Formes et Dosages : Comprimé sécable 250 mg/25 mg** (monohydrate exprimé en carbidopa anhydre) (B/100)</w:t>
      </w:r>
    </w:p>
    <w:p>
      <w:pPr>
        <w:pStyle w:val="ListBullet"/>
      </w:pPr>
      <w:r>
        <w:t>Statut : Actif (Liste I)</w:t>
      </w:r>
    </w:p>
    <w:p>
      <w:r>
        <w:t>Spécialités RETIRÉES du marché algérien (à titre informatif — pour historique et gestion du switch thérapeutique) :</w:t>
      </w:r>
    </w:p>
    <w:p>
      <w:pPr>
        <w:pStyle w:val="ListBullet"/>
      </w:pPr>
      <w:r/>
      <w:r>
        <w:rPr>
          <w:b/>
        </w:rPr>
        <w:t>MODOPAR 125</w:t>
      </w:r>
      <w:r>
        <w:t xml:space="preserve"> (ROCHE) — Lévodopa/Bensérazide 100 mg/25 mg — Gélules (B/60) — Statut : Retiré (R)</w:t>
      </w:r>
    </w:p>
    <w:p>
      <w:pPr>
        <w:pStyle w:val="ListBullet"/>
      </w:pPr>
      <w:r/>
      <w:r>
        <w:rPr>
          <w:b/>
        </w:rPr>
        <w:t>MADOPAR 250</w:t>
      </w:r>
      <w:r>
        <w:t xml:space="preserve"> (HOFFMAN LAROCHE) — Lévodopa/Bensérazide 200 mg/50 mg — Comprimé (B/100) — Statut : Retiré (R)</w:t>
      </w:r>
    </w:p>
    <w:p>
      <w:pPr>
        <w:pStyle w:val="ListBullet"/>
      </w:pPr>
      <w:r/>
      <w:r>
        <w:rPr>
          <w:b/>
        </w:rPr>
        <w:t>SINEMET</w:t>
      </w:r>
      <w:r>
        <w:t xml:space="preserve"> (MERCK SHARP &amp; DOHME CHIBRET) — Lévodopa/Carbidopa 100 mg/10 mg et 250 mg/25 mg — Comprimés (B/50 et B/100) — Statut : Retiré (R)</w:t>
      </w:r>
    </w:p>
    <w:p>
      <w:r/>
      <w:r>
        <w:rPr>
          <w:b/>
        </w:rPr>
        <w:t>Commentaire sur la disponibilité algérienne :</w:t>
      </w:r>
      <w:r>
        <w:t xml:space="preserve"> les spécialités princeps historiques (Modopar, Madopar — bensérazide ; Sinemet — carbidopa) sont à présent </w:t>
      </w:r>
      <w:r>
        <w:rPr>
          <w:b/>
        </w:rPr>
        <w:t>retirées du marché algérien</w:t>
      </w:r>
      <w:r>
        <w:t xml:space="preserve">. Le marché est désormais dominé par les </w:t>
      </w:r>
      <w:r>
        <w:rPr>
          <w:b/>
        </w:rPr>
        <w:t>génériques de lévodopa/carbidopa</w:t>
      </w:r>
      <w:r>
        <w:t xml:space="preserve"> (LEVOCARB Biogalenic, LEVOMED Medochemie, LEVODOZ Novapharm), qui assurent la continuité thérapeutique à un coût réduit. Le pharmacien d'officine doit pouvoir gérer le </w:t>
      </w:r>
      <w:r>
        <w:rPr>
          <w:b/>
        </w:rPr>
        <w:t>switch</w:t>
      </w:r>
      <w:r>
        <w:t xml:space="preserve"> d'un patient anciennement sous Modopar/Madopar/Sinemet vers un générique de lévodopa/carbidopa, en respectant l'équivalence de dose (100 mg lévodopa + 25 mg bensérazide ≈ 100 mg lévodopa + 25 mg carbidopa — avec une surveillance clinique rapprochée dans les 2-4 semaines suivant le switch, en raison de possibles variations de biodisponibilité inter-formulation).</w:t>
      </w:r>
    </w:p>
    <w:p>
      <w:r/>
      <w:r>
        <w:rPr>
          <w:b/>
        </w:rPr>
        <w:t>Sous-classe et Mécanisme d'action :</w:t>
      </w:r>
      <w:r/>
    </w:p>
    <w:p>
      <w:pPr>
        <w:pStyle w:val="ListBullet"/>
      </w:pPr>
      <w:r/>
      <w:r>
        <w:rPr>
          <w:b/>
        </w:rPr>
        <w:t>Sous-classe</w:t>
      </w:r>
      <w:r>
        <w:t xml:space="preserve"> : Antiparkinsonien de première ligne — précurseur de la dopamine en association avec un inhibiteur de la DOPA-décarboxylase périphérique (IDDC). Stratégie dite « de remplacement » ou « de compensation » de la perte dopaminergique.</w:t>
      </w:r>
    </w:p>
    <w:p>
      <w:pPr>
        <w:pStyle w:val="ListBullet"/>
      </w:pPr>
      <w:r/>
      <w:r>
        <w:rPr>
          <w:b/>
        </w:rPr>
        <w:t>Mécanisme d'action</w:t>
      </w:r>
      <w:r>
        <w:t xml:space="preserve"> :</w:t>
      </w:r>
    </w:p>
    <w:p>
      <w:pPr>
        <w:pStyle w:val="ListBullet"/>
      </w:pPr>
      <w:r/>
      <w:r>
        <w:rPr>
          <w:b/>
        </w:rPr>
        <w:t>Lévodopa</w:t>
      </w:r>
      <w:r>
        <w:t xml:space="preserve"> (L-3,4-dihydroxyphénylalanine) : précurseur métabolique direct de la dopamine. Après administration orale, elle est absorbée au niveau de l'intestin proximal (duodénum-jéjunum) par le transporteur LAT1 des acides aminés neutres — ce qui expose au risque de compétition avec les acides aminés alimentaires (notamment la tyrosine, phénylalanine, tryptophane, leucine, isoleucine, valine — protéines animales, laitages). La lévodopa traverse ensuite la barrière hémato-encéphalique via le transporteur LAT1 endothélial, puis est captée par les terminaisons nerveuses (dopaminergiques survivantes, mais aussi sérotoninergiques et noradrénergiques qui « détournent » la lévodopa). Dans le cytoplasme de ces terminaisons, la </w:t>
      </w:r>
      <w:r>
        <w:rPr>
          <w:b/>
        </w:rPr>
        <w:t>DOPA-décarboxylase aromatique</w:t>
      </w:r>
      <w:r>
        <w:t xml:space="preserve"> (AADC) la décarboxyle en </w:t>
      </w:r>
      <w:r>
        <w:rPr>
          <w:b/>
        </w:rPr>
        <w:t>dopamine active</w:t>
      </w:r>
      <w:r>
        <w:t>, qui est ensuite stockée dans les vésicules synaptiques par le transporteur vésiculaire VMAT2 et libérée par exocytose lors de la neurotransmission. La dopamine libérée dans la fente synaptique stimule les récepteurs postsynaptiques D1 (famille Gs, stimule l'adénylyl cyclase — voie directe, facilitateurs du mouvement) et D2 (famille Gi, inhibe l'adénylyl cyclase — voie indirecte, inhibiteurs du mouvement) du striatum, restaurant ainsi le balance D1/D2 perturbée par la perte des neurones dopaminergiques substantiels.</w:t>
      </w:r>
    </w:p>
    <w:p>
      <w:pPr>
        <w:pStyle w:val="ListBullet"/>
      </w:pPr>
      <w:r/>
      <w:r>
        <w:rPr>
          <w:b/>
        </w:rPr>
        <w:t>Carbidopa</w:t>
      </w:r>
      <w:r>
        <w:t xml:space="preserve"> (α-méthyldopahydrazine) et </w:t>
      </w:r>
      <w:r>
        <w:rPr>
          <w:b/>
        </w:rPr>
        <w:t>Bensérazide</w:t>
      </w:r>
      <w:r>
        <w:t xml:space="preserve"> (DL-séryl-2,3,4-trihydroxybenzylhydrazide) : inhibiteurs compétitifs sélectifs de la </w:t>
      </w:r>
      <w:r>
        <w:rPr>
          <w:b/>
        </w:rPr>
        <w:t>DOPA-décarboxylase aromatique périphérique</w:t>
      </w:r>
      <w:r>
        <w:t>. Ils ne traversent pas la barrière hémato-encéphalique (polarité élevée), agissant uniquement en périphérie (tube digestif, foie, reins, vaisseaux). L'inhibition périphérique de la décarboxylation permet :</w:t>
      </w:r>
    </w:p>
    <w:p>
      <w:pPr>
        <w:pStyle w:val="ListBullet"/>
      </w:pPr>
      <w:r>
        <w:t>Une augmentation de 5 à 10 fois la biodisponibilité centrale de la lévodopa (de 1-5 % à 30-50 %)</w:t>
      </w:r>
    </w:p>
    <w:p>
      <w:pPr>
        <w:pStyle w:val="ListBullet"/>
      </w:pPr>
      <w:r>
        <w:t>Une réduction de 70 à 80 % de la dose totale de lévodopa nécessaire</w:t>
      </w:r>
    </w:p>
    <w:p>
      <w:pPr>
        <w:pStyle w:val="ListBullet"/>
      </w:pPr>
      <w:r>
        <w:t>Une réduction marquée des effets indésirables périphériques : nausées et vomissements (réduits de 75 %), hypotension orthostatique (réduite de 50 %), arythmies cardiaques (réduites de 90 %)</w:t>
      </w:r>
    </w:p>
    <w:p>
      <w:pPr>
        <w:pStyle w:val="ListBullet"/>
      </w:pPr>
      <w:r>
        <w:t>Une prolongation modérée de la demi-vie plasmatique de la lévodopa (de ~30 min à ~60-90 min)</w:t>
      </w:r>
    </w:p>
    <w:p>
      <w:pPr>
        <w:pStyle w:val="ListBullet"/>
      </w:pPr>
      <w:r>
        <w:t xml:space="preserve">Le ratio lévodopa/IDDC standard est </w:t>
      </w:r>
      <w:r>
        <w:rPr>
          <w:b/>
        </w:rPr>
        <w:t>4:1</w:t>
      </w:r>
      <w:r>
        <w:t xml:space="preserve"> (100 mg lévodopa + 25 mg carbidopa/bensérazide ; 250 mg lévodopa + 25 mg carbidopa anhydre). Au-delà de 70-100 mg/jour d'IDDC, l'inhibition périphérique est maximale et l'ajout supplémentaire d'IDDC n'apporte plus de bénéfice.</w:t>
      </w:r>
    </w:p>
    <w:p>
      <w:pPr>
        <w:pStyle w:val="ListBullet"/>
      </w:pPr>
      <w:r/>
      <w:r>
        <w:rPr>
          <w:b/>
        </w:rPr>
        <w:t>Complémentarité pharmacodynamique avec les autres antiparkinsoniens</w:t>
      </w:r>
      <w:r>
        <w:t xml:space="preserve"> : la lévodopa+IDDC agit sur le déficit en dopamine mais ne ralentit pas la progression de la maladie (aucun traitement n'a démontré d'effet neuroprotecteur consensuel à ce jour, malgré les espoirs initiaux sur la sélégiline et le pramipexole). Les </w:t>
      </w:r>
      <w:r>
        <w:rPr>
          <w:b/>
        </w:rPr>
        <w:t>agonistes dopaminergiques</w:t>
      </w:r>
      <w:r>
        <w:t xml:space="preserve"> (ropinirole, pramipexole) stimulent directement les récepteurs D2/D3 postsynaptiques, indépendamment des terminaisons pré-synaptiques — d'où leur efficacité maintenue dans les stades avancés où la perte neuronale est massive. Les </w:t>
      </w:r>
      <w:r>
        <w:rPr>
          <w:b/>
        </w:rPr>
        <w:t>inhibiteurs COMT</w:t>
      </w:r>
      <w:r>
        <w:t xml:space="preserve"> (entacapone) prolongent la demi-vie de la lévodopa en inhibant sa dégradation périphérique par O-méthylation. Les </w:t>
      </w:r>
      <w:r>
        <w:rPr>
          <w:b/>
        </w:rPr>
        <w:t>inhibiteurs MAO-B</w:t>
      </w:r>
      <w:r>
        <w:t xml:space="preserve"> (sélégiline, rasagiline) prolongent la demi-vie centrale de la dopamine en inhibant sa dégradation par la MAO-B mitochondriale.</w:t>
      </w:r>
    </w:p>
    <w:p>
      <w:r/>
      <w:r>
        <w:rPr>
          <w:b/>
        </w:rPr>
        <w:t>Profil Pharmacologique :</w:t>
      </w:r>
      <w:r/>
    </w:p>
    <w:p>
      <w:pPr>
        <w:pStyle w:val="ListBullet"/>
      </w:pPr>
      <w:r/>
      <w:r>
        <w:rPr>
          <w:b/>
        </w:rPr>
        <w:t>Indications</w:t>
      </w:r>
      <w:r>
        <w:t xml:space="preserve"> :</w:t>
      </w:r>
    </w:p>
    <w:p>
      <w:pPr>
        <w:pStyle w:val="ListBullet"/>
      </w:pPr>
      <w:r/>
      <w:r>
        <w:rPr>
          <w:b/>
        </w:rPr>
        <w:t>Maladie de Parkinson idiopathique</w:t>
      </w:r>
      <w:r>
        <w:t xml:space="preserve"> : traitement symptomatique des troubles moteurs (akinésie, rigidité, tremblement de repos, troubles posturaux et de la marche). Indication princeps, traitement de référence.</w:t>
      </w:r>
    </w:p>
    <w:p>
      <w:pPr>
        <w:pStyle w:val="ListBullet"/>
      </w:pPr>
      <w:r/>
      <w:r>
        <w:rPr>
          <w:b/>
        </w:rPr>
        <w:t>Parkinsonismes secondaires</w:t>
      </w:r>
      <w:r>
        <w:t xml:space="preserve"> (post-encéphalitique, vasculaire, toxique médicamenteux — neuroleptique, MPTP) : efficacité variable, souvent décevante dans les parkinsonismes atypiques (PSP, AMS, DCL).</w:t>
      </w:r>
    </w:p>
    <w:p>
      <w:pPr>
        <w:pStyle w:val="ListBullet"/>
      </w:pPr>
      <w:r/>
      <w:r>
        <w:rPr>
          <w:b/>
        </w:rPr>
        <w:t>Syndrome des jambes sans repos (SJSR) idiopathique</w:t>
      </w:r>
      <w:r>
        <w:t xml:space="preserve"> : en cas d'échec des agonistes dopaminergiques (hors AMM, 2e-3e intention).</w:t>
      </w:r>
    </w:p>
    <w:p>
      <w:pPr>
        <w:pStyle w:val="ListBullet"/>
      </w:pPr>
      <w:r/>
      <w:r>
        <w:rPr>
          <w:b/>
        </w:rPr>
        <w:t>Enfant de plus de 25 kg</w:t>
      </w:r>
      <w:r>
        <w:t xml:space="preserve"> : formes dispersibles uniquement (calcul de dose selon le poids, prescription spécialisée neurologique pédiatrique).</w:t>
      </w:r>
    </w:p>
    <w:p>
      <w:pPr>
        <w:pStyle w:val="ListBullet"/>
      </w:pPr>
      <w:r/>
      <w:r>
        <w:rPr>
          <w:b/>
        </w:rPr>
        <w:t>Contre-indications</w:t>
      </w:r>
      <w:r>
        <w:t xml:space="preserve"> :</w:t>
      </w:r>
    </w:p>
    <w:p>
      <w:pPr>
        <w:pStyle w:val="ListBullet"/>
      </w:pPr>
      <w:r/>
      <w:r>
        <w:rPr>
          <w:b/>
        </w:rPr>
        <w:t>Mélanome malin connu ou antécédent</w:t>
      </w:r>
      <w:r>
        <w:t xml:space="preserve"> : la lévodopa est un précurseur de la mélanine — risque théorique de stimulation de la croissance mélanique (controversé, mais principe de précaution maintenu par les RCP)</w:t>
      </w:r>
    </w:p>
    <w:p>
      <w:pPr>
        <w:pStyle w:val="ListBullet"/>
      </w:pPr>
      <w:r/>
      <w:r>
        <w:rPr>
          <w:b/>
        </w:rPr>
        <w:t>Psoriasis évolutive</w:t>
      </w:r>
      <w:r>
        <w:t xml:space="preserve"> : risque d'exacerbation (mécanisme mal élucidé)</w:t>
      </w:r>
    </w:p>
    <w:p>
      <w:pPr>
        <w:pStyle w:val="ListBullet"/>
      </w:pPr>
      <w:r/>
      <w:r>
        <w:rPr>
          <w:b/>
        </w:rPr>
        <w:t>Psychose non contrôlée</w:t>
      </w:r>
      <w:r>
        <w:t xml:space="preserve"> : la stimulation dopaminergique aggrave les symptômes psychotiques (le risque de décompensation psychotique est majeur ; tout épisode psychotique sous lévodopa doit faire envisager une réduction de dose, un switch vers la clozapine ou la quétiapine pour la composante psychotique)</w:t>
      </w:r>
    </w:p>
    <w:p>
      <w:pPr>
        <w:pStyle w:val="ListBullet"/>
      </w:pPr>
      <w:r/>
      <w:r>
        <w:rPr>
          <w:b/>
        </w:rPr>
        <w:t>Glaucome à angle fermé non contrôlé</w:t>
      </w:r>
      <w:r>
        <w:t xml:space="preserve"> : risque de crise aiguë (effet mydriatique de la dopamine)</w:t>
      </w:r>
    </w:p>
    <w:p>
      <w:pPr>
        <w:pStyle w:val="ListBullet"/>
      </w:pPr>
      <w:r/>
      <w:r>
        <w:rPr>
          <w:b/>
        </w:rPr>
        <w:t>Insuffisance hépatique sévère</w:t>
      </w:r>
      <w:r>
        <w:t xml:space="preserve"> : métabolisme hépatique de la lévodopa</w:t>
      </w:r>
    </w:p>
    <w:p>
      <w:pPr>
        <w:pStyle w:val="ListBullet"/>
      </w:pPr>
      <w:r/>
      <w:r>
        <w:rPr>
          <w:b/>
        </w:rPr>
        <w:t>Insuffisance rénale sévère</w:t>
      </w:r>
      <w:r>
        <w:t xml:space="preserve"> : surveillance accrue (mais pas de CI absolue — adapter la dose)</w:t>
      </w:r>
    </w:p>
    <w:p>
      <w:pPr>
        <w:pStyle w:val="ListBullet"/>
      </w:pPr>
      <w:r/>
      <w:r>
        <w:rPr>
          <w:b/>
        </w:rPr>
        <w:t>Association aux IMAO non sélectifs</w:t>
      </w:r>
      <w:r>
        <w:t xml:space="preserve"> (iproniazide — Marplan) : </w:t>
      </w:r>
      <w:r>
        <w:rPr>
          <w:b/>
        </w:rPr>
        <w:t>CI absolue</w:t>
      </w:r>
      <w:r>
        <w:t xml:space="preserve"> — risque d'hypertension artérielle paroxystique maligne (la lévodopa est substrat de la MAO périphérique ; l'inhibition de la MAO-A et MAO-B entraîne une accumulation massive de dopamine périphérique avec stimulation vasculaire D1). Wash-out de 15 jours minimum avant d'introduire la lévodopa après arrêt d'un IMAO non sélectif.</w:t>
      </w:r>
    </w:p>
    <w:p>
      <w:pPr>
        <w:pStyle w:val="ListBullet"/>
      </w:pPr>
      <w:r/>
      <w:r>
        <w:rPr>
          <w:b/>
        </w:rPr>
        <w:t>Association aux neuroleptiques</w:t>
      </w:r>
      <w:r>
        <w:t xml:space="preserve"> (tous, typiques comme atypiques) : </w:t>
      </w:r>
      <w:r>
        <w:rPr>
          <w:b/>
        </w:rPr>
        <w:t>CI absolue</w:t>
      </w:r>
      <w:r>
        <w:t xml:space="preserve"> — antagonisme pharmacodynamique complet au niveau des récepteurs D2 centraux. La neuroleptisation bloque l'effet antiparkinsonien de la lévodopa et peut induire un syndrome malin parkinsonien (akinésie aiguë, hyperthermie, rhabdomyolyse). La clozapine et la quétiapine, qui ont une affinité D2 très faible, font figure d'exceptions relatives pour le traitement de la psychose parkinsonienne.</w:t>
      </w:r>
    </w:p>
    <w:p>
      <w:pPr>
        <w:pStyle w:val="ListBullet"/>
      </w:pPr>
      <w:r/>
      <w:r>
        <w:rPr>
          <w:b/>
        </w:rPr>
        <w:t>Syndrome malin parkinsonien</w:t>
      </w:r>
      <w:r>
        <w:t xml:space="preserve"> : antécédent personnel ou familial.</w:t>
      </w:r>
    </w:p>
    <w:p>
      <w:pPr>
        <w:pStyle w:val="ListBullet"/>
      </w:pPr>
      <w:r/>
      <w:r>
        <w:rPr>
          <w:b/>
        </w:rPr>
        <w:t>Hypersensibilité à la lévodopa, à la carbidopa ou au bensérazide</w:t>
      </w:r>
      <w:r/>
    </w:p>
    <w:p>
      <w:pPr>
        <w:pStyle w:val="ListBullet"/>
      </w:pPr>
      <w:r/>
      <w:r>
        <w:rPr>
          <w:b/>
        </w:rPr>
        <w:t>Grossesse</w:t>
      </w:r>
      <w:r>
        <w:t xml:space="preserve"> (selon CRAT) : à éviter par prudence, sauf bénéfice maternel majeur (voir section dédiée)</w:t>
      </w:r>
    </w:p>
    <w:p>
      <w:pPr>
        <w:pStyle w:val="ListBullet"/>
      </w:pPr>
      <w:r/>
      <w:r>
        <w:rPr>
          <w:b/>
        </w:rPr>
        <w:t>Allaitement</w:t>
      </w:r>
      <w:r>
        <w:t xml:space="preserve"> : CI absolue (inhibition de la lactation par inhibition de la prolactine via la dopamine)</w:t>
      </w:r>
    </w:p>
    <w:p>
      <w:pPr>
        <w:pStyle w:val="ListBullet"/>
      </w:pPr>
      <w:r/>
      <w:r>
        <w:rPr>
          <w:b/>
        </w:rPr>
        <w:t>Bêta-bloquants non sélectifs</w:t>
      </w:r>
      <w:r>
        <w:t xml:space="preserve"> (propranolol) : prudence — potentialisation de l'hypotension orthostatique</w:t>
      </w:r>
    </w:p>
    <w:p>
      <w:pPr>
        <w:pStyle w:val="ListBullet"/>
      </w:pPr>
      <w:r/>
      <w:r>
        <w:rPr>
          <w:b/>
        </w:rPr>
        <w:t>Syndrome de Bouveret</w:t>
      </w:r>
      <w:r>
        <w:t xml:space="preserve"> et tachycardies sévères : prudence (effet de la dopamine sur les récepteurs cardiaques D1)</w:t>
      </w:r>
    </w:p>
    <w:p>
      <w:pPr>
        <w:pStyle w:val="ListBullet"/>
      </w:pPr>
      <w:r/>
      <w:r>
        <w:rPr>
          <w:b/>
        </w:rPr>
        <w:t>Antécédent d'infarctus du myocarde récent</w:t>
      </w:r>
      <w:r>
        <w:t xml:space="preserve"> (&lt; 3 mois) : prudence (arythmogénicité)</w:t>
      </w:r>
    </w:p>
    <w:p>
      <w:pPr>
        <w:pStyle w:val="ListBullet"/>
      </w:pPr>
      <w:r/>
      <w:r>
        <w:rPr>
          <w:b/>
        </w:rPr>
        <w:t>Antécédent d'ulcère gastroduodénal évolutif</w:t>
      </w:r>
      <w:r>
        <w:t xml:space="preserve"> : prudence (possibilité d'exacerbation hémorragique par modification de la motilité gastrique)</w:t>
      </w:r>
    </w:p>
    <w:p>
      <w:pPr>
        <w:pStyle w:val="ListBullet"/>
      </w:pPr>
      <w:r/>
      <w:r>
        <w:rPr>
          <w:b/>
        </w:rPr>
        <w:t>Effets Indésirables</w:t>
      </w:r>
      <w:r>
        <w:t xml:space="preserve"> :</w:t>
      </w:r>
    </w:p>
    <w:p>
      <w:pPr>
        <w:pStyle w:val="ListBullet"/>
      </w:pPr>
      <w:r/>
      <w:r>
        <w:rPr>
          <w:b/>
        </w:rPr>
        <w:t>Digestifs</w:t>
      </w:r>
      <w:r>
        <w:t xml:space="preserve"> : </w:t>
      </w:r>
      <w:r>
        <w:rPr>
          <w:b/>
        </w:rPr>
        <w:t>nausées et vomissements</w:t>
      </w:r>
      <w:r>
        <w:t xml:space="preserve"> (incidence 30-40 % en initiation, puis tolérance en 2-4 semaines) — liés à la stimulation des récepteurs D2 de la zone post-rémoie chimio-sensible (area postrema du bulbe, située hors de la BHE), anorexie, douleurs abdominales, dyspepsie, diarrhée ou constipation (effet paradoxe selon le patient), sécheresse buccale, goût métallique</w:t>
      </w:r>
    </w:p>
    <w:p>
      <w:pPr>
        <w:pStyle w:val="ListBullet"/>
      </w:pPr>
      <w:r/>
      <w:r>
        <w:rPr>
          <w:b/>
        </w:rPr>
        <w:t>Cardiovasculaires</w:t>
      </w:r>
      <w:r>
        <w:t xml:space="preserve"> : </w:t>
      </w:r>
      <w:r>
        <w:rPr>
          <w:b/>
        </w:rPr>
        <w:t>hypotension orthostatique</w:t>
      </w:r>
      <w:r>
        <w:t xml:space="preserve"> (incidence 20-30 %, parfois symptomatique — vertiges, lipothymies, chutes) — liée à la stimulation des récepteurs D1 vasculaires et D2 pré-synaptiques ; tachycardie réflexe, arythmies (extrasystoles, tachycardie sinusale, rarement troubles du rythme grave), flushing facial</w:t>
      </w:r>
    </w:p>
    <w:p>
      <w:pPr>
        <w:pStyle w:val="ListBullet"/>
      </w:pPr>
      <w:r/>
      <w:r>
        <w:rPr>
          <w:b/>
        </w:rPr>
        <w:t>Neurologiques moteurs</w:t>
      </w:r>
      <w:r>
        <w:t xml:space="preserve"> : </w:t>
      </w:r>
      <w:r>
        <w:rPr>
          <w:b/>
        </w:rPr>
        <w:t>dyskinésies induites par la lévodopa</w:t>
      </w:r>
      <w:r>
        <w:t xml:space="preserve"> (LID — incidence 30-50 % à 5 ans, 50-90 % à 10 ans) — mouvements choréïques anormaux involontaires touchant la face (oromandibulaires), le tronc et les membres supérieurs ; </w:t>
      </w:r>
      <w:r>
        <w:rPr>
          <w:b/>
        </w:rPr>
        <w:t>fluctuations motrices</w:t>
      </w:r>
      <w:r>
        <w:t xml:space="preserve"> : « wearing-off » (fin de dose — réapparition des symptômes parkinsoniens avant la prise suivante, à 4-5 ans en moyenne) et phénomène « on-off » (alternance imprévisible entre périodes « on » et « off » — à 5-10 ans) ; </w:t>
      </w:r>
      <w:r>
        <w:rPr>
          <w:b/>
        </w:rPr>
        <w:t>dystonies</w:t>
      </w:r>
      <w:r>
        <w:t xml:space="preserve"> (surtout matinales, intéressant le pied — dystonie en flexion des orteils) ; </w:t>
      </w:r>
      <w:r>
        <w:rPr>
          <w:b/>
        </w:rPr>
        <w:t>myoclonies</w:t>
      </w:r>
      <w:r>
        <w:t xml:space="preserve"> (rare, en cas de surdosage)</w:t>
      </w:r>
    </w:p>
    <w:p>
      <w:pPr>
        <w:pStyle w:val="ListBullet"/>
      </w:pPr>
      <w:r/>
      <w:r>
        <w:rPr>
          <w:b/>
        </w:rPr>
        <w:t>Neurologiques non moteurs</w:t>
      </w:r>
      <w:r>
        <w:t xml:space="preserve"> : céphalées, vertiges, somnolence diurne excessive, fatigue, asthénie</w:t>
      </w:r>
    </w:p>
    <w:p>
      <w:pPr>
        <w:pStyle w:val="ListBullet"/>
      </w:pPr>
      <w:r/>
      <w:r>
        <w:rPr>
          <w:b/>
        </w:rPr>
        <w:t>Psychiatriques</w:t>
      </w:r>
      <w:r>
        <w:t xml:space="preserve"> : </w:t>
      </w:r>
      <w:r>
        <w:rPr>
          <w:b/>
        </w:rPr>
        <w:t>hallucinations</w:t>
      </w:r>
      <w:r>
        <w:t xml:space="preserve"> (10-20 %, surtout visuelles, parfois auditives, souvent complexes et structurées, le plus souvent non effrayantes mais pouvant être anxiantes) — incidence majorée chez le sujet âgé et en cas de démence émergente ; </w:t>
      </w:r>
      <w:r>
        <w:rPr>
          <w:b/>
        </w:rPr>
        <w:t>illusions</w:t>
      </w:r>
      <w:r>
        <w:t xml:space="preserve"> (sentiment de présence, illusions d'optique) ; </w:t>
      </w:r>
      <w:r>
        <w:rPr>
          <w:b/>
        </w:rPr>
        <w:t>délire paranoid</w:t>
      </w:r>
      <w:r>
        <w:t xml:space="preserve"> (plus rare, surtout si antécédent psychiatrique) ; </w:t>
      </w:r>
      <w:r>
        <w:rPr>
          <w:b/>
        </w:rPr>
        <w:t>rêves anxieux, cauchemars</w:t>
      </w:r>
      <w:r>
        <w:t xml:space="preserve"> ; </w:t>
      </w:r>
      <w:r>
        <w:rPr>
          <w:b/>
        </w:rPr>
        <w:t>insomnie</w:t>
      </w:r>
      <w:r>
        <w:t xml:space="preserve"> (fragmentation du sommeil, inversion du rythme) ; </w:t>
      </w:r>
      <w:r>
        <w:rPr>
          <w:b/>
        </w:rPr>
        <w:t>anxiété, agitation</w:t>
      </w:r>
      <w:r>
        <w:t xml:space="preserve">, </w:t>
      </w:r>
      <w:r>
        <w:rPr>
          <w:b/>
        </w:rPr>
        <w:t>épisodes confusionnels</w:t>
      </w:r>
      <w:r>
        <w:t xml:space="preserve"> (surtout sujet âgé ou démence) ; </w:t>
      </w:r>
      <w:r>
        <w:rPr>
          <w:b/>
        </w:rPr>
        <w:t>troubles du contrôle des impulsions</w:t>
      </w:r>
      <w:r>
        <w:t xml:space="preserve"> (TCI — jeu pathologique, hypersexualité, achats compulsifs, hyperphagie,punding) — incidence 15-20 %, surtout en association avec les agonistes dopaminergiques ; </w:t>
      </w:r>
      <w:r>
        <w:rPr>
          <w:b/>
        </w:rPr>
        <w:t>manie</w:t>
      </w:r>
      <w:r>
        <w:t xml:space="preserve">, </w:t>
      </w:r>
      <w:r>
        <w:rPr>
          <w:b/>
        </w:rPr>
        <w:t>hypomanie</w:t>
      </w:r>
      <w:r>
        <w:t xml:space="preserve"> (rare, en cas de surdosage)</w:t>
      </w:r>
    </w:p>
    <w:p>
      <w:pPr>
        <w:pStyle w:val="ListBullet"/>
      </w:pPr>
      <w:r/>
      <w:r>
        <w:rPr>
          <w:b/>
        </w:rPr>
        <w:t>Endocriniens</w:t>
      </w:r>
      <w:r>
        <w:t xml:space="preserve"> : </w:t>
      </w:r>
      <w:r>
        <w:rPr>
          <w:b/>
        </w:rPr>
        <w:t>hyperprolactinémie paradoxale</w:t>
      </w:r>
      <w:r>
        <w:t xml:space="preserve"> (non — la dopamine inhibe la prolactine, mais la perte des terminaisons dopaminergiques tubéro-infundibulaires dans la MP elle-même peut en provoquer une ; la lévodopa rétablit la dopamine tubéro-infundibulaire et diminue donc la prolactinémie), </w:t>
      </w:r>
      <w:r>
        <w:rPr>
          <w:b/>
        </w:rPr>
        <w:t>modification de la glycémie</w:t>
      </w:r>
      <w:r>
        <w:t xml:space="preserve"> (la lévodopa stimule la sécrétion d'insuline via l'effet D2 pancréatique), </w:t>
      </w:r>
      <w:r>
        <w:rPr>
          <w:b/>
        </w:rPr>
        <w:t>prise de poids</w:t>
      </w:r>
      <w:r>
        <w:t xml:space="preserve"> (parfois perte par dyskinésies)</w:t>
      </w:r>
    </w:p>
    <w:p>
      <w:pPr>
        <w:pStyle w:val="ListBullet"/>
      </w:pPr>
      <w:r/>
      <w:r>
        <w:rPr>
          <w:b/>
        </w:rPr>
        <w:t>Cutanés</w:t>
      </w:r>
      <w:r>
        <w:t xml:space="preserve"> : </w:t>
      </w:r>
      <w:r>
        <w:rPr>
          <w:b/>
        </w:rPr>
        <w:t>rash cutané</w:t>
      </w:r>
      <w:r>
        <w:t xml:space="preserve">, prurit, </w:t>
      </w:r>
      <w:r>
        <w:rPr>
          <w:b/>
        </w:rPr>
        <w:t>hyperpigmentation</w:t>
      </w:r>
      <w:r>
        <w:t xml:space="preserve"> (chronicité), </w:t>
      </w:r>
      <w:r>
        <w:rPr>
          <w:b/>
        </w:rPr>
        <w:t>sudation excessive</w:t>
      </w:r>
      <w:r>
        <w:t xml:space="preserve"> (surtout pendant les périodes « off »), </w:t>
      </w:r>
      <w:r>
        <w:rPr>
          <w:b/>
        </w:rPr>
        <w:t>mélanome</w:t>
      </w:r>
      <w:r>
        <w:t xml:space="preserve"> (controversé — surveiller les naevi)</w:t>
      </w:r>
    </w:p>
    <w:p>
      <w:pPr>
        <w:pStyle w:val="ListBullet"/>
      </w:pPr>
      <w:r/>
      <w:r>
        <w:rPr>
          <w:b/>
        </w:rPr>
        <w:t>Biologiques</w:t>
      </w:r>
      <w:r>
        <w:t xml:space="preserve"> : </w:t>
      </w:r>
      <w:r>
        <w:rPr>
          <w:b/>
        </w:rPr>
        <w:t>positivation de la Coombs directe</w:t>
      </w:r>
      <w:r>
        <w:t xml:space="preserve"> (incidence 5-10 %, sans hémolyse clinique — important à connaître pour les malades devant subir une transfusion), </w:t>
      </w:r>
      <w:r>
        <w:rPr>
          <w:b/>
        </w:rPr>
        <w:t>hyperuricémie</w:t>
      </w:r>
      <w:r>
        <w:t xml:space="preserve"> (compétition rénale), </w:t>
      </w:r>
      <w:r>
        <w:rPr>
          <w:b/>
        </w:rPr>
        <w:t>élévation transitoire des transaminases</w:t>
      </w:r>
      <w:r>
        <w:t xml:space="preserve">, </w:t>
      </w:r>
      <w:r>
        <w:rPr>
          <w:b/>
        </w:rPr>
        <w:t>élévation de l'urée et de la créatinine</w:t>
      </w:r>
      <w:r>
        <w:t xml:space="preserve"> (faux positifs méthodes colorimétriques)</w:t>
      </w:r>
    </w:p>
    <w:p>
      <w:pPr>
        <w:pStyle w:val="ListBullet"/>
      </w:pPr>
      <w:r/>
      <w:r>
        <w:rPr>
          <w:b/>
        </w:rPr>
        <w:t>Urinaires</w:t>
      </w:r>
      <w:r>
        <w:t xml:space="preserve"> : </w:t>
      </w:r>
      <w:r>
        <w:rPr>
          <w:b/>
        </w:rPr>
        <w:t>urine foncée</w:t>
      </w:r>
      <w:r>
        <w:t xml:space="preserve"> (pas aussi marquée qu'avec l'entacapone, mais possible par métabolites phéoliques), </w:t>
      </w:r>
      <w:r>
        <w:rPr>
          <w:b/>
        </w:rPr>
        <w:t>chromaturie rouge-brun</w:t>
      </w:r>
      <w:r>
        <w:t xml:space="preserve"> (métabolites), </w:t>
      </w:r>
      <w:r>
        <w:rPr>
          <w:b/>
        </w:rPr>
        <w:t>incontinence urinaire</w:t>
      </w:r>
      <w:r>
        <w:t xml:space="preserve"> (effet sur le détrusor), dysurie (rare)</w:t>
      </w:r>
    </w:p>
    <w:p>
      <w:pPr>
        <w:pStyle w:val="ListBullet"/>
      </w:pPr>
      <w:r/>
      <w:r>
        <w:rPr>
          <w:b/>
        </w:rPr>
        <w:t>Respiratoires</w:t>
      </w:r>
      <w:r>
        <w:t xml:space="preserve"> : dyspnée (rare), bronchospasme (exceptionnel)</w:t>
      </w:r>
    </w:p>
    <w:p>
      <w:pPr>
        <w:pStyle w:val="ListBullet"/>
      </w:pPr>
      <w:r/>
      <w:r>
        <w:rPr>
          <w:b/>
        </w:rPr>
        <w:t>Syndrome malin parkinsonien</w:t>
      </w:r>
      <w:r>
        <w:t xml:space="preserve"> : urgence vitale — analogue du syndrome malin des neuroleptiques — survient surtout à l'</w:t>
      </w:r>
      <w:r>
        <w:rPr>
          <w:b/>
        </w:rPr>
        <w:t>arrêt brutal</w:t>
      </w:r>
      <w:r>
        <w:t xml:space="preserve"> de la lévodopa (oubli de plusieurs doses, hospitalisation avec interruption du traitement, switch chirurgical) — hyperthermie &gt; 38,5 °C + hyperrigidité + troubles de la conscience + dysautonomie + rhabdomyolyse (CPK &gt; 1000 UI/L), mortalité 5-20 % — traitement : réchauffement, hydratation IV, dantrolène IV 1-2 mg/kg, bromocriptine PO/NG, réintroduction prudente de la lévodopa après résolution</w:t>
      </w:r>
    </w:p>
    <w:p>
      <w:r/>
      <w:r>
        <w:rPr>
          <w:b/>
        </w:rPr>
        <w:t>Prévention et Gestion des Effets Indésirables :</w:t>
      </w:r>
      <w:r/>
    </w:p>
    <w:p>
      <w:pPr>
        <w:pStyle w:val="ListBullet"/>
      </w:pPr>
      <w:r/>
      <w:r>
        <w:rPr>
          <w:b/>
        </w:rPr>
        <w:t>Mesures Préventives</w:t>
      </w:r>
      <w:r>
        <w:t xml:space="preserve"> :</w:t>
      </w:r>
    </w:p>
    <w:p>
      <w:pPr>
        <w:pStyle w:val="ListBullet"/>
      </w:pPr>
      <w:r/>
      <w:r>
        <w:rPr>
          <w:b/>
        </w:rPr>
        <w:t>Titration initiale lente</w:t>
      </w:r>
      <w:r>
        <w:t xml:space="preserve"> : commencer par 50 mg lévodopa + 12,5 mg carbidopa (demi-comprimé 100/25) × 1-2/jour pendant 3-7 jours, puis augmenter par paliers de 50 mg tous les 3-7 jours jusqu'à dose efficace (généralement 300-600 mg lévodopa/jour en 3 prises)</w:t>
      </w:r>
    </w:p>
    <w:p>
      <w:pPr>
        <w:pStyle w:val="ListBullet"/>
      </w:pPr>
      <w:r/>
      <w:r>
        <w:rPr>
          <w:b/>
        </w:rPr>
        <w:t>Prise pendant ou après les repas</w:t>
      </w:r>
      <w:r>
        <w:t xml:space="preserve"> en initiation (pour réduire les nausées), puis </w:t>
      </w:r>
      <w:r>
        <w:rPr>
          <w:b/>
        </w:rPr>
        <w:t>prise à jeun 30 min avant les repas</w:t>
      </w:r>
      <w:r>
        <w:t xml:space="preserve"> en entretien (pour optimiser l'absorption et éviter la compétition avec les acides aminés alimentaires)</w:t>
      </w:r>
    </w:p>
    <w:p>
      <w:pPr>
        <w:pStyle w:val="ListBullet"/>
      </w:pPr>
      <w:r/>
      <w:r>
        <w:rPr>
          <w:b/>
        </w:rPr>
        <w:t>Surveillance de la tension artérielle</w:t>
      </w:r>
      <w:r>
        <w:t xml:space="preserve"> (TA debout et couchée) à l'initiation et à chaque palier — surtout chez le sujet âgé et en cas d'antécédents cardiovasculaires</w:t>
      </w:r>
    </w:p>
    <w:p>
      <w:pPr>
        <w:pStyle w:val="ListBullet"/>
      </w:pPr>
      <w:r/>
      <w:r>
        <w:rPr>
          <w:b/>
        </w:rPr>
        <w:t>Surveillance psychiatrique</w:t>
      </w:r>
      <w:r>
        <w:t xml:space="preserve"> : interrogation systématique à chaque consultation sur l'apparition d'hallucinations, idées délirantes, troubles du sommeil paradoxal, troubles du contrôle des impulsions (jeu pathologique, hypersexualité, achats compulsifs, hyperphagie) — particulièrement en cas d'association à un agoniste dopaminergique</w:t>
      </w:r>
    </w:p>
    <w:p>
      <w:pPr>
        <w:pStyle w:val="ListBullet"/>
      </w:pPr>
      <w:r/>
      <w:r>
        <w:rPr>
          <w:b/>
        </w:rPr>
        <w:t>Surveillance dermatologique</w:t>
      </w:r>
      <w:r>
        <w:t xml:space="preserve"> : examen cutané annuel, surveillance des naevi (suspicion de mélanome, bien que la causalité soit débattue)</w:t>
      </w:r>
    </w:p>
    <w:p>
      <w:pPr>
        <w:pStyle w:val="ListBullet"/>
      </w:pPr>
      <w:r/>
      <w:r>
        <w:rPr>
          <w:b/>
        </w:rPr>
        <w:t>Surveillance neurologique</w:t>
      </w:r>
      <w:r>
        <w:t xml:space="preserve"> : évaluation motrice régulière (UPDRS — Unified Parkinson's Disease Rating Scale), recherche de dyskinésies, fluctuations, freezing</w:t>
      </w:r>
    </w:p>
    <w:p>
      <w:pPr>
        <w:pStyle w:val="ListBullet"/>
      </w:pPr>
      <w:r/>
      <w:r>
        <w:rPr>
          <w:b/>
        </w:rPr>
        <w:t>Surveillance de la numération formule sanguine</w:t>
      </w:r>
      <w:r>
        <w:t xml:space="preserve"> et du bilan hépatique (initiale puis annuelle — recherche de Coombs direct, transaminases)</w:t>
      </w:r>
    </w:p>
    <w:p>
      <w:pPr>
        <w:pStyle w:val="ListBullet"/>
      </w:pPr>
      <w:r/>
      <w:r>
        <w:rPr>
          <w:b/>
        </w:rPr>
        <w:t>Éviter l'arrêt brutal</w:t>
      </w:r>
      <w:r>
        <w:t xml:space="preserve"> : tout sevrage doit être progressif (réduction de 25 % tous les 3-7 jours) en milieu spécialisé</w:t>
      </w:r>
    </w:p>
    <w:p>
      <w:pPr>
        <w:pStyle w:val="ListBullet"/>
      </w:pPr>
      <w:r/>
      <w:r>
        <w:rPr>
          <w:b/>
        </w:rPr>
        <w:t>Bilan pré-thérapeutique</w:t>
      </w:r>
      <w:r>
        <w:t xml:space="preserve"> : ECG (sujet âgé ou ATCD cardiaque), glycémie à jeun, créatininémie, transaminases, Coombs direct, NFS, examen dermatologique, évaluation cognitive (MMSE, MoCA)</w:t>
      </w:r>
    </w:p>
    <w:p>
      <w:pPr>
        <w:pStyle w:val="ListBullet"/>
      </w:pPr>
      <w:r/>
      <w:r>
        <w:rPr>
          <w:b/>
        </w:rPr>
        <w:t>Conduite à Tenir</w:t>
      </w:r>
      <w:r>
        <w:t xml:space="preserve"> :</w:t>
      </w:r>
    </w:p>
    <w:p>
      <w:pPr>
        <w:pStyle w:val="ListBullet"/>
      </w:pPr>
      <w:r/>
      <w:r>
        <w:rPr>
          <w:b/>
        </w:rPr>
        <w:t>Nausées modérées</w:t>
      </w:r>
      <w:r>
        <w:t xml:space="preserve"> : prendre la lévodopa pendant le repas, fractionner les doses, prescrire un antiémétique non neuroleptique (dompéridone 10 mg avant chaque prise — </w:t>
      </w:r>
      <w:r>
        <w:rPr>
          <w:b/>
        </w:rPr>
        <w:t>MOTILIUM disponible en Algérie</w:t>
      </w:r>
      <w:r>
        <w:t xml:space="preserve">, métoclopramide à éviter car traverse la BHE et peut induire un parkinsonisme ou aggraver les symptômes ; </w:t>
      </w:r>
      <w:r>
        <w:rPr>
          <w:b/>
        </w:rPr>
        <w:t>NE JAMAIS utiliser dropéridol, halopéridol, métopimazine prolongée</w:t>
      </w:r>
      <w:r>
        <w:t xml:space="preserve"> — tous antagonistes D2)</w:t>
      </w:r>
    </w:p>
    <w:p>
      <w:pPr>
        <w:pStyle w:val="ListBullet"/>
      </w:pPr>
      <w:r/>
      <w:r>
        <w:rPr>
          <w:b/>
        </w:rPr>
        <w:t>Hypotension orthostatique symptomatique</w:t>
      </w:r>
      <w:r>
        <w:t xml:space="preserve"> : augmentation de l'apport hydrosodé (1,5-2 L/jour), bas de contention, lever progressif (3 temps), fractionner les doses de lévodopa, éviter les vasodilatateurs associés (nitroés, IEC, diurétiques), si persistant : fludrocortisone 0,1 mg/j ou midodrine</w:t>
      </w:r>
    </w:p>
    <w:p>
      <w:pPr>
        <w:pStyle w:val="ListBullet"/>
      </w:pPr>
      <w:r/>
      <w:r>
        <w:rPr>
          <w:b/>
        </w:rPr>
        <w:t>Hallucinations bénignes</w:t>
      </w:r>
      <w:r>
        <w:t xml:space="preserve"> (le patient en a conscience, pas d'anxiété) : ne pas modifier la dose, informer le patient et l'entourage, surveillance</w:t>
      </w:r>
    </w:p>
    <w:p>
      <w:pPr>
        <w:pStyle w:val="ListBullet"/>
      </w:pPr>
      <w:r/>
      <w:r>
        <w:rPr>
          <w:b/>
        </w:rPr>
        <w:t>Hallucinations anxieuses ou délirantes</w:t>
      </w:r>
      <w:r>
        <w:t xml:space="preserve"> : réduire la dose de lévodopa de 25-50 %, envisager switch vers clozapine ou quétiapine (les deux antipsychotiques à très faible affinité D2 compatibles avec la MP — </w:t>
      </w:r>
      <w:r>
        <w:rPr>
          <w:b/>
        </w:rPr>
        <w:t>NE JAMAIS utiliser les autres antipsychotiques</w:t>
      </w:r>
      <w:r>
        <w:t xml:space="preserve"> : CI absolue)</w:t>
      </w:r>
    </w:p>
    <w:p>
      <w:pPr>
        <w:pStyle w:val="ListBullet"/>
      </w:pPr>
      <w:r/>
      <w:r>
        <w:rPr>
          <w:b/>
        </w:rPr>
        <w:t>Dyskinésies modérées</w:t>
      </w:r>
      <w:r>
        <w:t xml:space="preserve"> : réduire la dose unitaire de lévodopa de 25 %, fractionner les prises (5-6 prises/jour à dose unitaire réduite), envisager passage à une forme LP, discuter association à l'amantadine (100-200 mg/jour — effet anti-dyskinésique par blocage NMDA)</w:t>
      </w:r>
    </w:p>
    <w:p>
      <w:pPr>
        <w:pStyle w:val="ListBullet"/>
      </w:pPr>
      <w:r/>
      <w:r>
        <w:rPr>
          <w:b/>
        </w:rPr>
        <w:t>Dyskinésies sévères</w:t>
      </w:r>
      <w:r>
        <w:t xml:space="preserve"> : hospitalisation spécialisée, envisager amantadine, stimulation cérébrale profonde (SCP) si patient éligible</w:t>
      </w:r>
    </w:p>
    <w:p>
      <w:pPr>
        <w:pStyle w:val="ListBullet"/>
      </w:pPr>
      <w:r/>
      <w:r>
        <w:rPr>
          <w:b/>
        </w:rPr>
        <w:t>Fluctuations « wearing-off »</w:t>
      </w:r>
      <w:r>
        <w:t xml:space="preserve"> : fractionner les prises (5-6 prises/jour), passage à une forme LP, association à un inhibiteur COMT (entacapone 200 mg avec chaque dose de lévodopa) ou un inhibiteur MAO-B (sélégiline 5-10 mg/j, rasagiline 1 mg/j)</w:t>
      </w:r>
    </w:p>
    <w:p>
      <w:pPr>
        <w:pStyle w:val="ListBullet"/>
      </w:pPr>
      <w:r/>
      <w:r>
        <w:rPr>
          <w:b/>
        </w:rPr>
        <w:t>Phénomène « on-off »</w:t>
      </w:r>
      <w:r>
        <w:t xml:space="preserve"> : difficile à gérer — passage à la forme LP, ou forme dispersible pour les blocages matinaux, ou pompe à lévodopa-carbidopa intestinale (LCIG — Duodopa — non disponible en Algérie à ce jour), ou stimulation cérébrale profonde</w:t>
      </w:r>
    </w:p>
    <w:p>
      <w:pPr>
        <w:pStyle w:val="ListBullet"/>
      </w:pPr>
      <w:r/>
      <w:r>
        <w:rPr>
          <w:b/>
        </w:rPr>
        <w:t>Troubles du contrôle des impulsions</w:t>
      </w:r>
      <w:r>
        <w:t xml:space="preserve"> : interrogation systématique (jeu pathologique, hypersexualité, achats compulsifs, hyperphagie, punding), réduction de dose de l'agoniste dopaminergique associé (ou arrêt si sévère), maintien de la lévodopa à dose minimale efficace, prise en charge psychiatrique et psychothérapeutique</w:t>
      </w:r>
    </w:p>
    <w:p>
      <w:pPr>
        <w:pStyle w:val="ListBullet"/>
      </w:pPr>
      <w:r/>
      <w:r>
        <w:rPr>
          <w:b/>
        </w:rPr>
        <w:t>Syndrome malin parkinsonien</w:t>
      </w:r>
      <w:r>
        <w:t xml:space="preserve"> : urgence vitale — hospitalisation réanimation, réchauffement, hydratation IV, dantrolène IV 1-2 mg/kg, bromocriptine PO/NG 5-10 mg toutes les 8 heures, surveillance CPK, fonction rénale, température</w:t>
      </w:r>
    </w:p>
    <w:p>
      <w:pPr>
        <w:pStyle w:val="ListBullet"/>
      </w:pPr>
      <w:r/>
      <w:r>
        <w:rPr>
          <w:b/>
        </w:rPr>
        <w:t>Somnolence diurne excessive</w:t>
      </w:r>
      <w:r>
        <w:t xml:space="preserve"> : évaluation du sommeil nocturne (recherche de syndrome d'apnées du sommeil, syndrome de comportement moteur en sommeil paradoxal — RBD), réduction de la dose du soir si insomnie, ajustement des horaires de prise</w:t>
      </w:r>
    </w:p>
    <w:p>
      <w:pPr>
        <w:pStyle w:val="ListBullet"/>
      </w:pPr>
      <w:r/>
      <w:r>
        <w:rPr>
          <w:b/>
        </w:rPr>
        <w:t>Constipation sévère</w:t>
      </w:r>
      <w:r>
        <w:t xml:space="preserve"> : mesure hygiéno-diététique (hydratation, fibres, activité physique), macrogol en première intention, éviter les anticholinergiques (favorisent la confusion chez le sujet âgé)</w:t>
      </w:r>
    </w:p>
    <w:p>
      <w:r/>
      <w:r>
        <w:rPr>
          <w:b/>
        </w:rPr>
        <w:t>Interactions Importantes :</w:t>
      </w:r>
      <w:r/>
    </w:p>
    <w:p>
      <w:pPr>
        <w:pStyle w:val="ListBullet"/>
      </w:pPr>
      <w:r/>
      <w:r>
        <w:rPr>
          <w:b/>
        </w:rPr>
        <w:t>Lévodopa + IMAO non sélectif</w:t>
      </w:r>
      <w:r>
        <w:t xml:space="preserve"> (iproniazide — Marplan) : </w:t>
      </w:r>
      <w:r>
        <w:rPr>
          <w:b/>
        </w:rPr>
        <w:t>CI absolue</w:t>
      </w:r>
      <w:r>
        <w:t xml:space="preserve"> — risque d'hypertension artérielle paroxystique maligne (inhibition simultanée de la MAO-A et B, empêchant la dégradation périphérique de la dopamine issue de la décarboxylation périphérique résiduelle de la lévodopa — accumulation massive de dopamine plasmatique, stimulation vasculaire D1, hypertension sévère). Wash-out de 15 jours minimum entre l'arrêt de l'IMAO non sélectif et l'introduction de la lévodopa.</w:t>
      </w:r>
    </w:p>
    <w:p>
      <w:pPr>
        <w:pStyle w:val="ListBullet"/>
      </w:pPr>
      <w:r/>
      <w:r>
        <w:rPr>
          <w:b/>
        </w:rPr>
        <w:t>Lévodopa + IMAO-A sélectif</w:t>
      </w:r>
      <w:r>
        <w:t xml:space="preserve"> (moclobémide — Moclix) : CI relative — risque d'hypertension (la moclobémide est réversible, mais prudence). Réduire la dose de lévodopa de 50 % à l'introduction.</w:t>
      </w:r>
    </w:p>
    <w:p>
      <w:pPr>
        <w:pStyle w:val="ListBullet"/>
      </w:pPr>
      <w:r/>
      <w:r>
        <w:rPr>
          <w:b/>
        </w:rPr>
        <w:t>Lévodopa + IMAO-B sélectif</w:t>
      </w:r>
      <w:r>
        <w:t xml:space="preserve"> (sélégiline, rasagiline) : </w:t>
      </w:r>
      <w:r>
        <w:rPr>
          <w:b/>
        </w:rPr>
        <w:t>autorisation</w:t>
      </w:r>
      <w:r>
        <w:t xml:space="preserve"> — utilisé en association (la sélectivité MAO-B aux doses usuelles préserve la dégradation périphérique de la dopamine par la MAO-A ; prudence au-delà de 10 mg/j pour la sélégiline qui perd sa sélectivité).</w:t>
      </w:r>
    </w:p>
    <w:p>
      <w:pPr>
        <w:pStyle w:val="ListBullet"/>
      </w:pPr>
      <w:r/>
      <w:r>
        <w:rPr>
          <w:b/>
        </w:rPr>
        <w:t>Lévodopa + antipsychotiques</w:t>
      </w:r>
      <w:r>
        <w:t xml:space="preserve"> (tous, sauf clozapine et quétiapine) : </w:t>
      </w:r>
      <w:r>
        <w:rPr>
          <w:b/>
        </w:rPr>
        <w:t>CI absolue</w:t>
      </w:r>
      <w:r>
        <w:t xml:space="preserve"> — antagonisme pharmacodynamique complet (le neuroleptique bloque le récepteur D2 postsynaptique, empêchant l'action de la dopamine produite par la lévodopa). Risque d'aggravation brutale de l'akinésie, voire de syndrome malin parkinsonien. Les antipsychotiques à éviter absolument : halopéridol, chlorpromazine, rispéridone, olanzapine, aripiprazole. Les antipsychotiques autorisés dans la psychose parkinsonienne : </w:t>
      </w:r>
      <w:r>
        <w:rPr>
          <w:b/>
        </w:rPr>
        <w:t>clozapine</w:t>
      </w:r>
      <w:r>
        <w:t xml:space="preserve"> (LEPONEX — disponible en Algérie) à faible dose 6,25-50 mg/j, et </w:t>
      </w:r>
      <w:r>
        <w:rPr>
          <w:b/>
        </w:rPr>
        <w:t>quétiapine</w:t>
      </w:r>
      <w:r>
        <w:t xml:space="preserve"> à 25-100 mg/j.</w:t>
      </w:r>
    </w:p>
    <w:p>
      <w:pPr>
        <w:pStyle w:val="ListBullet"/>
      </w:pPr>
      <w:r/>
      <w:r>
        <w:rPr>
          <w:b/>
        </w:rPr>
        <w:t>Lévodopa + antihypertenseurs</w:t>
      </w:r>
      <w:r>
        <w:t xml:space="preserve"> (IEC, ARA2, diurétiques, bêta-bloquants, calcium-bloquants, alphabloquants, dérivés nitrés) : potentialisation de l'hypotension orthostatique — surveillance TA debout et couchée, adaptation posologique.</w:t>
      </w:r>
    </w:p>
    <w:p>
      <w:pPr>
        <w:pStyle w:val="ListBullet"/>
      </w:pPr>
      <w:r/>
      <w:r>
        <w:rPr>
          <w:b/>
        </w:rPr>
        <w:t>Lévodopa + acides aminés alimentaires</w:t>
      </w:r>
      <w:r>
        <w:t xml:space="preserve"> (régime hyperprotidique) : compétition au transporteur LAT1 intestinal et cérébral — diminution de l'absorption et de l'efficacité ; recommandation de prendre la lévodopa à jeun (30 min avant les repas) en entretien, ou au minimum à distance des protéines (1h avant ou 2h après les repas).</w:t>
      </w:r>
    </w:p>
    <w:p>
      <w:pPr>
        <w:pStyle w:val="ListBullet"/>
      </w:pPr>
      <w:r/>
      <w:r>
        <w:rPr>
          <w:b/>
        </w:rPr>
        <w:t>Lévodopa + fer oral</w:t>
      </w:r>
      <w:r>
        <w:t xml:space="preserve"> (sels ferreux) : chélation de la lévodopa par les ions ferriques → diminution de l'absorption — espacer les prises d'au moins 2 heures.</w:t>
      </w:r>
    </w:p>
    <w:p>
      <w:pPr>
        <w:pStyle w:val="ListBullet"/>
      </w:pPr>
      <w:r/>
      <w:r>
        <w:rPr>
          <w:b/>
        </w:rPr>
        <w:t>Lévodopa + méthyldopa</w:t>
      </w:r>
      <w:r>
        <w:t xml:space="preserve"> : antagonisme (la méthyldopa forme un faux neurotransmetteur alpha-méthylnoradrénaline qui réduit la dopaminergie centrale) — éviter l'association.</w:t>
      </w:r>
    </w:p>
    <w:p>
      <w:pPr>
        <w:pStyle w:val="ListBullet"/>
      </w:pPr>
      <w:r/>
      <w:r>
        <w:rPr>
          <w:b/>
        </w:rPr>
        <w:t>Lévodopa + papavérine</w:t>
      </w:r>
      <w:r>
        <w:t xml:space="preserve"> : inhibition de l'effet antiparkinsonien (mécanisme mal élucidé) — éviter.</w:t>
      </w:r>
    </w:p>
    <w:p>
      <w:pPr>
        <w:pStyle w:val="ListBullet"/>
      </w:pPr>
      <w:r/>
      <w:r>
        <w:rPr>
          <w:b/>
        </w:rPr>
        <w:t>Lévodopa + phénytoïne</w:t>
      </w:r>
      <w:r>
        <w:t xml:space="preserve"> : diminution de l'efficacité de la lévodopa (mécanisme mal élucidé) — surveillance.</w:t>
      </w:r>
    </w:p>
    <w:p>
      <w:pPr>
        <w:pStyle w:val="ListBullet"/>
      </w:pPr>
      <w:r/>
      <w:r>
        <w:rPr>
          <w:b/>
        </w:rPr>
        <w:t>Lévodopa + anticholinergiques</w:t>
      </w:r>
      <w:r>
        <w:t xml:space="preserve"> (atropiniques, bipéridène, trihexyphénidyle, oxybutynine, antidépresseurs tricycliques) : potentialisation des effets atropiniques (sécheresse buccale, constipation, rétention urinaire, trouble accommodatif, confusion — surtout sujet âgé).</w:t>
      </w:r>
    </w:p>
    <w:p>
      <w:pPr>
        <w:pStyle w:val="ListBullet"/>
      </w:pPr>
      <w:r/>
      <w:r>
        <w:rPr>
          <w:b/>
        </w:rPr>
        <w:t>Lévodopa + opioïdes</w:t>
      </w:r>
      <w:r>
        <w:t xml:space="preserve"> (codéine, morphine, tramadol, fentanyl) : potentialisation de la sédation et du risque de dépression respiratoire ; surveillance de la sédation.</w:t>
      </w:r>
    </w:p>
    <w:p>
      <w:pPr>
        <w:pStyle w:val="ListBullet"/>
      </w:pPr>
      <w:r/>
      <w:r>
        <w:rPr>
          <w:b/>
        </w:rPr>
        <w:t>Lévodopa + anesthésiques généraux</w:t>
      </w:r>
      <w:r>
        <w:t xml:space="preserve"> : adaptation des doses, surveillance hémodynamique (hypotension peropératoire), arrêt de la lévodopa le matin de l'intervention avec reprise précoce en post-opératoire (risque de syndrome malin parkinsonien si interruption prolongée).</w:t>
      </w:r>
    </w:p>
    <w:p>
      <w:pPr>
        <w:pStyle w:val="ListBullet"/>
      </w:pPr>
      <w:r/>
      <w:r>
        <w:rPr>
          <w:b/>
        </w:rPr>
        <w:t>Lévodopa + anticoagulants oraux</w:t>
      </w:r>
      <w:r>
        <w:t xml:space="preserve"> (warfarine) : variation de l'INR (modification de l'absorption de la warfarine) — surveillance INR.</w:t>
      </w:r>
    </w:p>
    <w:p>
      <w:pPr>
        <w:pStyle w:val="ListBullet"/>
      </w:pPr>
      <w:r/>
      <w:r>
        <w:rPr>
          <w:b/>
        </w:rPr>
        <w:t>Lévodopa + sympathomimétiques</w:t>
      </w:r>
      <w:r>
        <w:t xml:space="preserve"> (éphédrine, pseudoéphédrine, adrénaline) : potentialisation de l'hypertension (la dopamine est métabolisée en noradrénaline, qui peut potentialiser les sympathomimétiques exogènes).</w:t>
      </w:r>
    </w:p>
    <w:p>
      <w:pPr>
        <w:pStyle w:val="ListBullet"/>
      </w:pPr>
      <w:r/>
      <w:r>
        <w:rPr>
          <w:b/>
        </w:rPr>
        <w:t>Lévodopa + thyroxine</w:t>
      </w:r>
      <w:r>
        <w:t xml:space="preserve"> : diminution de l'absorption (à distance des prises).</w:t>
      </w:r>
    </w:p>
    <w:p>
      <w:pPr>
        <w:pStyle w:val="ListBullet"/>
      </w:pPr>
      <w:r/>
      <w:r>
        <w:rPr>
          <w:b/>
        </w:rPr>
        <w:t>Lévodopa + cimétidine</w:t>
      </w:r>
      <w:r>
        <w:t xml:space="preserve"> : diminution de l'élimination de la carbidopa, prudence.</w:t>
      </w:r>
    </w:p>
    <w:p>
      <w:pPr>
        <w:pStyle w:val="ListBullet"/>
      </w:pPr>
      <w:r/>
      <w:r>
        <w:rPr>
          <w:b/>
        </w:rPr>
        <w:t>Lévodopa + métopimazine</w:t>
      </w:r>
      <w:r>
        <w:t xml:space="preserve"> (Vogalène) : antagoniste D2 périphérique — peut réduire l'efficacité de la lévodopa si usage prolongé ; préférer le dompéridone qui ne traverse pas la BHE.</w:t>
      </w:r>
    </w:p>
    <w:p>
      <w:pPr>
        <w:pStyle w:val="ListBullet"/>
      </w:pPr>
      <w:r/>
      <w:r>
        <w:rPr>
          <w:b/>
        </w:rPr>
        <w:t>Lévodopa + alcool</w:t>
      </w:r>
      <w:r>
        <w:t xml:space="preserve"> : potentialisation de la sédation et de l'hypotension — déconseillé.</w:t>
      </w:r>
    </w:p>
    <w:p>
      <w:r/>
      <w:r>
        <w:rPr>
          <w:b/>
        </w:rPr>
        <w:t>Grossesse et Allaitement :</w:t>
      </w:r>
      <w:r/>
    </w:p>
    <w:p>
      <w:pPr>
        <w:pStyle w:val="ListBullet"/>
      </w:pPr>
      <w:r/>
      <w:r>
        <w:rPr>
          <w:b/>
        </w:rPr>
        <w:t>Grossesse</w:t>
      </w:r>
      <w:r>
        <w:t xml:space="preserve"> : selon CRAT, la </w:t>
      </w:r>
      <w:r>
        <w:rPr>
          <w:b/>
        </w:rPr>
        <w:t>lévodopa seule ou en association (carbidopa, bensérazide) n'est pas tératogène majeure</w:t>
      </w:r>
      <w:r>
        <w:t xml:space="preserve"> chez l'animal, mais les données cliniques humaines sont limitées (la maladie de Parkinson survient rarement chez la femme en âge de procréer — formes juveniles rares, &lt; 5 %). Le CRAT conclut à : « </w:t>
      </w:r>
      <w:r>
        <w:rPr>
          <w:b/>
        </w:rPr>
        <w:t>L'utilisation de la lévodopa (seule ou en association) est envisageable chez la femme enceinte parkinsonienne si son état clinique le justifie.</w:t>
      </w:r>
      <w:r>
        <w:t xml:space="preserve"> » Le bénéfice maternel (maintien de l'autonomie motrice) l'emporte généralement sur le risque fœtal théorique. Surveillance rapprochée par neurologue + gynéco-obstétricien référent. Échographie morphologique standard à 22 SA. En cas de nécessité, ne pas arrêter brutalement en fin de grossesse (risque de syndrome malin maternel et de détresse motrice per-partum).</w:t>
      </w:r>
    </w:p>
    <w:p>
      <w:pPr>
        <w:pStyle w:val="ListBullet"/>
      </w:pPr>
      <w:r/>
      <w:r>
        <w:rPr>
          <w:b/>
        </w:rPr>
        <w:t>Allaitement</w:t>
      </w:r>
      <w:r>
        <w:t xml:space="preserve"> : </w:t>
      </w:r>
      <w:r>
        <w:rPr>
          <w:b/>
        </w:rPr>
        <w:t>CI absolue</w:t>
      </w:r>
      <w:r>
        <w:t xml:space="preserve"> selon CRAT — la lévodopa inhibe la synthèse de prolactine (la dopamine est le PIF — Prolactin Inhibiting Factor — physiologique) et peut donc </w:t>
      </w:r>
      <w:r>
        <w:rPr>
          <w:b/>
        </w:rPr>
        <w:t>inhiber la lactation</w:t>
      </w:r>
      <w:r>
        <w:t xml:space="preserve"> (mécanisme central tubéro-infundibulaire). De plus, la lévodopa et ses métabolites passent dans le lait maternel (rapport lait/plasma modéré) et exposent le nourrisson à des effets dopaminergiques non évalués. Sevrage du lait artificiel obligatoire. Pour les patientes souhaitant poursuivre l'allaitement, discussion au cas par cas si la dose est minimale et l'enfant grand (mais la position du CRAT reste restrictive).</w:t>
      </w:r>
    </w:p>
    <w:p>
      <w:pPr>
        <w:pStyle w:val="ListBullet"/>
      </w:pPr>
      <w:r/>
      <w:r>
        <w:rPr>
          <w:b/>
        </w:rPr>
        <w:t>Précisions</w:t>
      </w:r>
      <w:r>
        <w:t xml:space="preserve"> : la maladie de Parkinson idiopathique est rare chez la femme en âge de procréer (1 % des cas). Les parkinsonismes médicamenteux (neuroleptiques) ou secondaires (post-encéphalitique) sont à distinguer. En cas de grossesse programmée, évaluation pluridisciplinaire (neurologue, gynéco-obstétricien, psychiatre si psychose associée, pédiatre). Pour les femmes sous agoniste dopaminergique (ropinirole) envisageant une grossesse, le CRAT recommande un switch vers la lévodopa avant la conception, en raison du manque de données sur les agonistes (le ropinirole est déconseillé — voir fiche dédiée). Pour la carbidopa et le bensérazide (IDDC), les données animales sont rassurantes (pas d'effet tératogène à doses thérapeutiques).</w:t>
      </w:r>
    </w:p>
    <w:p>
      <w:r/>
      <w:r>
        <w:rPr>
          <w:b/>
        </w:rPr>
        <w:t>Posologie et Mode d'administration (Standard) :</w:t>
      </w:r>
      <w:r/>
    </w:p>
    <w:p>
      <w:pPr>
        <w:pStyle w:val="ListBullet"/>
      </w:pPr>
      <w:r/>
      <w:r>
        <w:rPr>
          <w:b/>
        </w:rPr>
        <w:t>Adulte</w:t>
      </w:r>
      <w:r>
        <w:t xml:space="preserve"> :</w:t>
      </w:r>
    </w:p>
    <w:p>
      <w:pPr>
        <w:pStyle w:val="ListBullet"/>
      </w:pPr>
      <w:r/>
      <w:r>
        <w:rPr>
          <w:b/>
        </w:rPr>
        <w:t>Dose initiale</w:t>
      </w:r>
      <w:r>
        <w:t xml:space="preserve"> : 50 mg lévodopa + 12,5 mg carbidopa (demi-comprimé de 100/25) × 1 à 2 fois/jour pendant 3-7 jours, à prendre </w:t>
      </w:r>
      <w:r>
        <w:rPr>
          <w:b/>
        </w:rPr>
        <w:t>pendant le repas</w:t>
      </w:r>
      <w:r>
        <w:t xml:space="preserve"> (pour limiter les nausées initiales)</w:t>
      </w:r>
    </w:p>
    <w:p>
      <w:pPr>
        <w:pStyle w:val="ListBullet"/>
      </w:pPr>
      <w:r/>
      <w:r>
        <w:rPr>
          <w:b/>
        </w:rPr>
        <w:t>Titration</w:t>
      </w:r>
      <w:r>
        <w:t xml:space="preserve"> : augmentation par paliers de 50 mg lévodopa tous les 3-7 jours selon la tolérance et l'efficacité</w:t>
      </w:r>
    </w:p>
    <w:p>
      <w:pPr>
        <w:pStyle w:val="ListBullet"/>
      </w:pPr>
      <w:r/>
      <w:r>
        <w:rPr>
          <w:b/>
        </w:rPr>
        <w:t>Dose d'entretien usuelle</w:t>
      </w:r>
      <w:r>
        <w:t xml:space="preserve"> : </w:t>
      </w:r>
      <w:r>
        <w:rPr>
          <w:b/>
        </w:rPr>
        <w:t>300 à 600 mg lévodopa/jour</w:t>
      </w:r>
      <w:r>
        <w:t xml:space="preserve"> en 3 à 4 prises (par exemple 100/25 × 3/jour = 300 mg lévodopa/jour, ou 250/25 × 2/jour = 500 mg lévodopa/jour)</w:t>
      </w:r>
    </w:p>
    <w:p>
      <w:pPr>
        <w:pStyle w:val="ListBullet"/>
      </w:pPr>
      <w:r/>
      <w:r>
        <w:rPr>
          <w:b/>
        </w:rPr>
        <w:t>Dose maximale</w:t>
      </w:r>
      <w:r>
        <w:t xml:space="preserve"> : 1000-1500 mg lévodopa/jour (au-delà,switch thérapeutique à envisager — association à agoniste, inhibiteur COMT, inhibiteur MAO-B)</w:t>
      </w:r>
    </w:p>
    <w:p>
      <w:pPr>
        <w:pStyle w:val="ListBullet"/>
      </w:pPr>
      <w:r/>
      <w:r>
        <w:rPr>
          <w:b/>
        </w:rPr>
        <w:t>Adaptation individuelle</w:t>
      </w:r>
      <w:r>
        <w:t xml:space="preserve"> : la dose est ajustée en fonction de la réponse motrice (objectif : suppression de l'akinésie et de la rigidité sans apparition de dyskinésies — fenêtre thérapeutique étroite), de la tolérance (nausées, hypotension, hallucinations) et des fluctuations</w:t>
      </w:r>
    </w:p>
    <w:p>
      <w:pPr>
        <w:pStyle w:val="ListBullet"/>
      </w:pPr>
      <w:r/>
      <w:r>
        <w:rPr>
          <w:b/>
        </w:rPr>
        <w:t>Chez le sujet âgé ou fragile</w:t>
      </w:r>
      <w:r>
        <w:t xml:space="preserve"> : titration encore plus lente, dose minimale efficace (souvent 200-300 mg lévodopa/jour suffisent)</w:t>
      </w:r>
    </w:p>
    <w:p>
      <w:pPr>
        <w:pStyle w:val="ListBullet"/>
      </w:pPr>
      <w:r/>
      <w:r>
        <w:rPr>
          <w:b/>
        </w:rPr>
        <w:t>En cas de fluctuations « wearing-off »</w:t>
      </w:r>
      <w:r>
        <w:t xml:space="preserve"> : fractionner les prises (5-6 prises/jour à dose unitaire réduite), ou passage à une forme LP, ou association à un inhibiteur COMT (entacapone 200 mg avec chaque prise de lévodopa)</w:t>
      </w:r>
    </w:p>
    <w:p>
      <w:pPr>
        <w:pStyle w:val="ListBullet"/>
      </w:pPr>
      <w:r/>
      <w:r>
        <w:rPr>
          <w:b/>
        </w:rPr>
        <w:t>Sujet âgé</w:t>
      </w:r>
      <w:r>
        <w:t xml:space="preserve"> : titration plus lente, dose minimale efficace, surveillance accrue des effets psychiatriques (hallucinations plus fréquentes à partir de 70 ans et en cas de démence émergente), prudence avec les associations (éviter les anticholinergiques qui favorisent la confusion)</w:t>
      </w:r>
    </w:p>
    <w:p>
      <w:pPr>
        <w:pStyle w:val="ListBullet"/>
      </w:pPr>
      <w:r/>
      <w:r>
        <w:rPr>
          <w:b/>
        </w:rPr>
        <w:t>Insuffisant rénal</w:t>
      </w:r>
      <w:r>
        <w:t xml:space="preserve"> : pas d'adaptation posologique stricte (la lévodopa est métabolisée principalement en périphérie, mais une partie est éliminée par le rein), surveillance clinique</w:t>
      </w:r>
    </w:p>
    <w:p>
      <w:pPr>
        <w:pStyle w:val="ListBullet"/>
      </w:pPr>
      <w:r/>
      <w:r>
        <w:rPr>
          <w:b/>
        </w:rPr>
        <w:t>Insuffisant hépatique</w:t>
      </w:r>
      <w:r>
        <w:t xml:space="preserve"> : diminution de la dose de 25-50 % (le métabolisme hépatique de la lévodopa est diminué), surveillance clinique et biologique</w:t>
      </w:r>
    </w:p>
    <w:p>
      <w:pPr>
        <w:pStyle w:val="ListBullet"/>
      </w:pPr>
      <w:r/>
      <w:r>
        <w:rPr>
          <w:b/>
        </w:rPr>
        <w:t>Durée</w:t>
      </w:r>
      <w:r>
        <w:t xml:space="preserve"> : traitement au long cours, à vie, indéfini. La maladie de Parkinson est chronique et progressive ; le traitement symptomatique ne ralentit pas la maladie mais améliore significativement la qualité de vie et l'espérance de vie. L'arrêt expose à un risque majeur de rechute motrice (syndrome malin parkinsonien si arrêt brutal).</w:t>
      </w:r>
    </w:p>
    <w:p>
      <w:pPr>
        <w:pStyle w:val="ListBullet"/>
      </w:pPr>
      <w:r/>
      <w:r>
        <w:rPr>
          <w:b/>
        </w:rPr>
        <w:t>Moment de la prise</w:t>
      </w:r>
      <w:r>
        <w:t xml:space="preserve"> :</w:t>
      </w:r>
    </w:p>
    <w:p>
      <w:pPr>
        <w:pStyle w:val="ListBullet"/>
      </w:pPr>
      <w:r/>
      <w:r>
        <w:rPr>
          <w:b/>
        </w:rPr>
        <w:t>Initiation</w:t>
      </w:r>
      <w:r>
        <w:t xml:space="preserve"> : pendant ou après les repas (pour réduire les nausées)</w:t>
      </w:r>
    </w:p>
    <w:p>
      <w:pPr>
        <w:pStyle w:val="ListBullet"/>
      </w:pPr>
      <w:r/>
      <w:r>
        <w:rPr>
          <w:b/>
        </w:rPr>
        <w:t>Entretien</w:t>
      </w:r>
      <w:r>
        <w:t xml:space="preserve"> : à jeun, 30 minutes avant les repas (pour optimiser l'absorption et éviter la compétition avec les acides aminés alimentaires au transporteur LAT1)</w:t>
      </w:r>
    </w:p>
    <w:p>
      <w:pPr>
        <w:pStyle w:val="ListBullet"/>
      </w:pPr>
      <w:r/>
      <w:r>
        <w:rPr>
          <w:b/>
        </w:rPr>
        <w:t>Dernière prise</w:t>
      </w:r>
      <w:r>
        <w:t xml:space="preserve"> : 1-2 heures avant le coucher (pour couvrir la nuit et faciliter les mouvements au lever, sans provoquer d'insomnie)</w:t>
      </w:r>
    </w:p>
    <w:p>
      <w:pPr>
        <w:pStyle w:val="ListBullet"/>
      </w:pPr>
      <w:r/>
      <w:r>
        <w:rPr>
          <w:b/>
        </w:rPr>
        <w:t>Horaires stricts</w:t>
      </w:r>
      <w:r>
        <w:t xml:space="preserve"> : à heure fixe, à 1 heure près — minimisation des fluctuations</w:t>
      </w:r>
    </w:p>
    <w:p>
      <w:pPr>
        <w:pStyle w:val="ListBullet"/>
      </w:pPr>
      <w:r/>
      <w:r>
        <w:rPr>
          <w:b/>
        </w:rPr>
        <w:t>Prise du matin</w:t>
      </w:r>
      <w:r>
        <w:t xml:space="preserve"> : la première prise du matin doit être effectuée 30-45 minutes avant le lever pour permettre au patient de se lever avec une motricité fonctionnelle (réduction du « freezing » matinal)</w:t>
      </w:r>
    </w:p>
    <w:p>
      <w:r/>
      <w:r>
        <w:rPr>
          <w:b/>
        </w:rPr>
        <w:t>Arbitrage et Bénéfices des Formes Galéniques :</w:t>
      </w:r>
      <w:r/>
    </w:p>
    <w:p>
      <w:r>
        <w:t>Le marché algérien dispose des formes suivantes :</w:t>
      </w:r>
    </w:p>
    <w:p>
      <w:pPr>
        <w:pStyle w:val="ListBullet"/>
      </w:pPr>
      <w:r/>
      <w:r>
        <w:rPr>
          <w:b/>
        </w:rPr>
        <w:t>Comprimé à libération immédiate (LI) 100/10 mg</w:t>
      </w:r>
      <w:r>
        <w:t xml:space="preserve"> (LEVOCARB 100/10, LEVOMED 100/10) : forme de référence pour l'initiation et la titration. Permet l'adaptation fine de la dose (par demi-comprimé). Demi-vie plasmatique courte (~60-90 min), nécessitant 3-4 prises/jour. Pic plasmatique à 30-60 min, effet clinique à 20-30 min après la prise. Forme utilisée pour les blocages « off » imprévus (effet « rescue » rapide).</w:t>
      </w:r>
    </w:p>
    <w:p>
      <w:pPr>
        <w:pStyle w:val="ListBullet"/>
      </w:pPr>
      <w:r/>
      <w:r>
        <w:rPr>
          <w:b/>
        </w:rPr>
        <w:t>Comprimé sécable à libération immédiate (LI) 250/25 mg</w:t>
      </w:r>
      <w:r>
        <w:t xml:space="preserve"> (LEVOCARB 250/25, LEVOMED 250/25, LEVODOZ 250/25) : forme d'entretien principale, permet d'atteindre les doses courantes (500-1000 mg lévodopa/jour) avec un minimum de comprimés. Sécurité de la sécabilité (adaptation par 125 mg lévodopa).</w:t>
      </w:r>
    </w:p>
    <w:p>
      <w:pPr>
        <w:pStyle w:val="ListBullet"/>
      </w:pPr>
      <w:r/>
      <w:r>
        <w:rPr>
          <w:b/>
        </w:rPr>
        <w:t>Formes à libération prolongée (LP) non disponibles en Algérie à ce jour</w:t>
      </w:r>
      <w:r>
        <w:t xml:space="preserve"> : Sinemet LP (100/25 LP, 200/50 LP), Madopar HBS 125 (gélule à système équilibré hydrodynamique), Rytary / Numient (gélule LP biphasique à libération immédiate + prolongée — générique de Imuret LP). Ces formes sont utilisées en Europe pour réduire les fluctuations motrices et permettre une monoprise ou biprise quotidienne. En Algérie, en cas de fluctuations, le recours se fait à l'association à un inhibiteur COMT (entacapone) ou au fractionnement des prises de la forme LI.</w:t>
      </w:r>
    </w:p>
    <w:p>
      <w:pPr>
        <w:pStyle w:val="ListBullet"/>
      </w:pPr>
      <w:r/>
      <w:r>
        <w:rPr>
          <w:b/>
        </w:rPr>
        <w:t>Forme dispersible</w:t>
      </w:r>
      <w:r>
        <w:t xml:space="preserve"> (comprimé à dissoudre dans un verre d'eau — Madopar dispersible 125) : non disponible en Algérie. Utile pour les blocages « off » matinaux (effet en 10-15 min vs 30-45 min pour la forme LI avalée entière) et pour les patients dysphagiques.</w:t>
      </w:r>
    </w:p>
    <w:p>
      <w:pPr>
        <w:pStyle w:val="ListBullet"/>
      </w:pPr>
      <w:r/>
      <w:r>
        <w:rPr>
          <w:b/>
        </w:rPr>
        <w:t>Forme intraveineuse</w:t>
      </w:r>
      <w:r>
        <w:t xml:space="preserve"> (lévodopa-carbidopa IV) : non disponible en Algérie, réservée à l'usage hospitalier pour tests diagnostiques et bolus peropératoire.</w:t>
      </w:r>
    </w:p>
    <w:p>
      <w:pPr>
        <w:pStyle w:val="ListBullet"/>
      </w:pPr>
      <w:r/>
      <w:r>
        <w:rPr>
          <w:b/>
        </w:rPr>
        <w:t>Forme intestinale (LCIG — Duodopa)</w:t>
      </w:r>
      <w:r>
        <w:t xml:space="preserve"> : gel de lévodopa-carbidopa administré par sonde jéjunale via une pompe portable — non disponible en Algérie, réservée aux formes avancées avec fluctuations sévères résistantes au traitement oral.</w:t>
      </w:r>
    </w:p>
    <w:p>
      <w:pPr>
        <w:pStyle w:val="ListBullet"/>
      </w:pPr>
      <w:r/>
      <w:r>
        <w:rPr>
          <w:b/>
        </w:rPr>
        <w:t>Forme "inhalation"</w:t>
      </w:r>
      <w:r>
        <w:t xml:space="preserve"> (Inbrija — lévodopa poudre inhalée) : non disponible en Algérie, forme de "rescue" récente pour les blocages « off » imprévus.</w:t>
      </w:r>
    </w:p>
    <w:p>
      <w:pPr>
        <w:pStyle w:val="ListBullet"/>
      </w:pPr>
      <w:r/>
      <w:r>
        <w:rPr>
          <w:b/>
        </w:rPr>
        <w:t>Forme LP biphasique (Rytary)</w:t>
      </w:r>
      <w:r>
        <w:t xml:space="preserve"> : non disponible en Algérie, permet une libération précoce (effet rapide) puis prolongée (effet prolongé) en une seule prise.</w:t>
      </w:r>
    </w:p>
    <w:p>
      <w:r/>
      <w:r>
        <w:rPr>
          <w:b/>
        </w:rPr>
        <w:t>Arbitrage galénique pratique au comptoir :</w:t>
      </w:r>
      <w:r/>
    </w:p>
    <w:p>
      <w:pPr>
        <w:pStyle w:val="ListBullet"/>
      </w:pPr>
      <w:r/>
      <w:r>
        <w:rPr>
          <w:b/>
        </w:rPr>
        <w:t>Initiation</w:t>
      </w:r>
      <w:r>
        <w:t xml:space="preserve"> : LEVOCARB 100/10 ou LEVOMED 100/10 — commencer par demi-comprimé × 1 à 2/jour pendant repas</w:t>
      </w:r>
    </w:p>
    <w:p>
      <w:pPr>
        <w:pStyle w:val="ListBullet"/>
      </w:pPr>
      <w:r/>
      <w:r>
        <w:rPr>
          <w:b/>
        </w:rPr>
        <w:t>Entretien</w:t>
      </w:r>
      <w:r>
        <w:t xml:space="preserve"> : LEVOCARB 250/25 ou LEVOMED 250/25 ou LEVODOZ 250/25 — 2 à 4 comprimés/jour en 3 prises</w:t>
      </w:r>
    </w:p>
    <w:p>
      <w:pPr>
        <w:pStyle w:val="ListBullet"/>
      </w:pPr>
      <w:r/>
      <w:r>
        <w:rPr>
          <w:b/>
        </w:rPr>
        <w:t>Fluctuations</w:t>
      </w:r>
      <w:r>
        <w:t xml:space="preserve"> : fractionner en 5-6 prises/jour de 100/10 (ou passer à une forme LP si disponible — en Algérie, switch vers une marque avec forme LP ou association à entacapone)</w:t>
      </w:r>
    </w:p>
    <w:p>
      <w:pPr>
        <w:pStyle w:val="ListBullet"/>
      </w:pPr>
      <w:r/>
      <w:r>
        <w:rPr>
          <w:b/>
        </w:rPr>
        <w:t>Switch Modopar/Madopar/Sinemet → générique</w:t>
      </w:r>
      <w:r>
        <w:t xml:space="preserve"> : surveillance clinique rapprochée à 2-4 semaines (variations possibles de biodisponibilité inter-formulation, ajustement de dose possible)</w:t>
      </w:r>
    </w:p>
    <w:p>
      <w:r/>
      <w:r>
        <w:rPr>
          <w:b/>
        </w:rPr>
        <w:t>Instructions et Conseils au Patient :</w:t>
      </w:r>
      <w:r/>
    </w:p>
    <w:p>
      <w:pPr>
        <w:pStyle w:val="ListBullet"/>
      </w:pPr>
      <w:r/>
      <w:r>
        <w:rPr>
          <w:b/>
        </w:rPr>
        <w:t>Communication au comptoir</w:t>
      </w:r>
      <w:r>
        <w:t xml:space="preserve"> :</w:t>
      </w:r>
    </w:p>
    <w:p>
      <w:pPr>
        <w:pStyle w:val="ListBullet"/>
      </w:pPr>
      <w:r>
        <w:t xml:space="preserve">Expliquer les </w:t>
      </w:r>
      <w:r>
        <w:rPr>
          <w:b/>
        </w:rPr>
        <w:t>horaires stricts</w:t>
      </w:r>
      <w:r>
        <w:t xml:space="preserve"> : « vos prises doivent être effectuées à heure fixe, à 1 heure près, tous les jours — c'est essentiel pour éviter les fluctuations motrices »</w:t>
      </w:r>
    </w:p>
    <w:p>
      <w:pPr>
        <w:pStyle w:val="ListBullet"/>
      </w:pPr>
      <w:r>
        <w:t>Expliquer la prise par rapport aux repas : « pendant les repas au début (pour éviter les nausées), puis à jeun 30 min avant les repas en entretien (pour optimiser l'effet) »</w:t>
      </w:r>
    </w:p>
    <w:p>
      <w:pPr>
        <w:pStyle w:val="ListBullet"/>
      </w:pPr>
      <w:r>
        <w:t xml:space="preserve">Insister sur l'interdiction de l'arrêt brutal : « </w:t>
      </w:r>
      <w:r>
        <w:rPr>
          <w:b/>
        </w:rPr>
        <w:t>ne jamais arrêter votre traitement brutalement</w:t>
      </w:r>
      <w:r>
        <w:t xml:space="preserve"> — il y a un risque vital de syndrome malin parkinsonien (hyperthermie, raideur, coma) ; en cas d'oubli de plusieurs doses, contactez votre neurologue »</w:t>
      </w:r>
    </w:p>
    <w:p>
      <w:pPr>
        <w:pStyle w:val="ListBullet"/>
      </w:pPr>
      <w:r>
        <w:t xml:space="preserve">Prévenir des </w:t>
      </w:r>
      <w:r>
        <w:rPr>
          <w:b/>
        </w:rPr>
        <w:t>effets indésirables initiaux</w:t>
      </w:r>
      <w:r>
        <w:t xml:space="preserve"> : « vous risquez des nausées et une baisse de tension les premiers jours/semaines — cela va s'atténuer progressivement. Levez-vous progressivement (3 temps). »</w:t>
      </w:r>
    </w:p>
    <w:p>
      <w:pPr>
        <w:pStyle w:val="ListBullet"/>
      </w:pPr>
      <w:r>
        <w:t xml:space="preserve">Prévenir des </w:t>
      </w:r>
      <w:r>
        <w:rPr>
          <w:b/>
        </w:rPr>
        <w:t>effets indésirables à long terme</w:t>
      </w:r>
      <w:r>
        <w:t xml:space="preserve"> : « avec le temps, le traitement peut devenir moins efficace avant la prise suivante (phénomène de "wearing-off") ou provoquer des mouvements anormaux (dyskinésies). Signalez tout changement à votre neurologue. »</w:t>
      </w:r>
    </w:p>
    <w:p>
      <w:pPr>
        <w:pStyle w:val="ListBullet"/>
      </w:pPr>
      <w:r>
        <w:t xml:space="preserve">Prévenir des </w:t>
      </w:r>
      <w:r>
        <w:rPr>
          <w:b/>
        </w:rPr>
        <w:t>effets psychiatriques</w:t>
      </w:r>
      <w:r>
        <w:t xml:space="preserve"> : « si vous avez des hallucinations (surtout visuelles), des idées délirantes, des rêves anxieux, des troubles du sommeil, ou des comportements impulsifs (jeu pathologique, hypersexualité, achats compulsifs, hyperphagie), prévenez votre médecin sans attendre — ces effets sont fréquents et gérables. »</w:t>
      </w:r>
    </w:p>
    <w:p>
      <w:pPr>
        <w:pStyle w:val="ListBullet"/>
      </w:pPr>
      <w:r>
        <w:t xml:space="preserve">Prévenir des </w:t>
      </w:r>
      <w:r>
        <w:rPr>
          <w:b/>
        </w:rPr>
        <w:t>interactions alimentaires</w:t>
      </w:r>
      <w:r>
        <w:t xml:space="preserve"> : « évitez de prendre vos comprimés en même temps que des protéines animales (viande, laitages) — prenez-les 30 minutes avant les repas »</w:t>
      </w:r>
    </w:p>
    <w:p>
      <w:pPr>
        <w:pStyle w:val="ListBullet"/>
      </w:pPr>
      <w:r>
        <w:t xml:space="preserve">Prévenir des </w:t>
      </w:r>
      <w:r>
        <w:rPr>
          <w:b/>
        </w:rPr>
        <w:t>interactions médicamenteuses</w:t>
      </w:r>
      <w:r>
        <w:t xml:space="preserve"> : « ne prenez jamais de neuroleptiques sans avis médical — même pour des nausées (préférez le dompéridone). Signalez tous vos médicaments à votre pharmacien. »</w:t>
      </w:r>
    </w:p>
    <w:p>
      <w:pPr>
        <w:pStyle w:val="ListBullet"/>
      </w:pPr>
      <w:r>
        <w:t xml:space="preserve">Information sur la </w:t>
      </w:r>
      <w:r>
        <w:rPr>
          <w:b/>
        </w:rPr>
        <w:t>surveillance dermatologique</w:t>
      </w:r>
      <w:r>
        <w:t xml:space="preserve"> : « surveillez vos grains de beauté, faites examiner votre peau une fois par an »</w:t>
      </w:r>
    </w:p>
    <w:p>
      <w:pPr>
        <w:pStyle w:val="ListBullet"/>
      </w:pPr>
      <w:r>
        <w:t xml:space="preserve">Information sur le </w:t>
      </w:r>
      <w:r>
        <w:rPr>
          <w:b/>
        </w:rPr>
        <w:t>syndrome malin parkinsonien</w:t>
      </w:r>
      <w:r>
        <w:t xml:space="preserve"> : « si vous oubliez plusieurs doses et que vous développez de la fièvre, de la raideur, des troubles de la conscience — urgence médicale absolue »</w:t>
      </w:r>
    </w:p>
    <w:p>
      <w:pPr>
        <w:pStyle w:val="ListBullet"/>
      </w:pPr>
      <w:r/>
      <w:r>
        <w:rPr>
          <w:b/>
        </w:rPr>
        <w:t>Mode d'utilisation pratique</w:t>
      </w:r>
      <w:r>
        <w:t xml:space="preserve"> :</w:t>
      </w:r>
    </w:p>
    <w:p>
      <w:pPr>
        <w:pStyle w:val="ListBullet"/>
      </w:pPr>
      <w:r>
        <w:t>En cas d'oubli d'une prise : prendre dès que possible si &lt; 2 heures, sinon attendre la prise suivante (ne pas doubler)</w:t>
      </w:r>
    </w:p>
    <w:p>
      <w:pPr>
        <w:pStyle w:val="ListBullet"/>
      </w:pPr>
      <w:r>
        <w:t>En cas de vomissement dans l'heure suivant la prise : reprendre un demi-comprimé</w:t>
      </w:r>
    </w:p>
    <w:p>
      <w:pPr>
        <w:pStyle w:val="ListBullet"/>
      </w:pPr>
      <w:r>
        <w:t>Le comprimé 250/25 sécable peut être coupé en deux (équivalent à 125/12,5 mg) pour adaptation fine</w:t>
      </w:r>
    </w:p>
    <w:p>
      <w:pPr>
        <w:pStyle w:val="ListBullet"/>
      </w:pPr>
      <w:r>
        <w:t>Le comprimé 100/10 peut être coupé en deux (équivalent à 50/5 mg) pour initiation</w:t>
      </w:r>
    </w:p>
    <w:p>
      <w:pPr>
        <w:pStyle w:val="ListBullet"/>
      </w:pPr>
      <w:r>
        <w:t>Ne pas écraser les comprimés sans avis médical (la lévodopa est photosensible et peut être dégradée à l'air)</w:t>
      </w:r>
    </w:p>
    <w:p>
      <w:pPr>
        <w:pStyle w:val="ListBullet"/>
      </w:pPr>
      <w:r>
        <w:t>Conservation : à température ambiante (&lt; 25 °C), à l'abri de la lumière et de l'humidité, dans l'emballage d'origine</w:t>
      </w:r>
    </w:p>
    <w:p>
      <w:pPr>
        <w:pStyle w:val="ListBullet"/>
      </w:pPr>
      <w:r>
        <w:t>Pour les voyages : prévoir une quantité suffisante, ne jamais être en rupture (risque de syndrome malin)</w:t>
      </w:r>
    </w:p>
    <w:p>
      <w:pPr>
        <w:pStyle w:val="ListBullet"/>
      </w:pPr>
      <w:r>
        <w:t>Pour les hospitalisations : informer systématiquement le personnel médical de votre traitement parkinsonien et de la nécessité de le poursuivre pendant l'hospitalisation (y compris périodes péri-opératoires)</w:t>
      </w:r>
    </w:p>
    <w:p>
      <w:r/>
      <w:r>
        <w:rPr>
          <w:b/>
        </w:rPr>
        <w:t>Notes, Règles d'Or &amp; Pièges au Comptoir :</w:t>
      </w:r>
      <w:r/>
    </w:p>
    <w:p>
      <w:pPr>
        <w:pStyle w:val="ListBullet"/>
      </w:pPr>
      <w:r/>
      <w:r>
        <w:rPr>
          <w:b/>
        </w:rPr>
        <w:t>Piège classique #1 — Lévodopa + neuroleptique</w:t>
      </w:r>
      <w:r>
        <w:t xml:space="preserve"> : un patient parkinsonien sous lévodopa présente des nausées, des vomissements, de l'agitation, de l'anxiété, une insomnie, une psychose émergente — un médecin non spécialiste prescrit (par erreur) un neuroleptique classique (halopéridol, dropéridol, métopimazine prolongée, chlorpromazine). Le pharmacien d'officine doit </w:t>
      </w:r>
      <w:r>
        <w:rPr>
          <w:b/>
        </w:rPr>
        <w:t>réfuter la prescription</w:t>
      </w:r>
      <w:r>
        <w:t xml:space="preserve"> et </w:t>
      </w:r>
      <w:r>
        <w:rPr>
          <w:b/>
        </w:rPr>
        <w:t>contacter le médecin</w:t>
      </w:r>
      <w:r>
        <w:t xml:space="preserve"> pour rappeler la CI absolue. Pour les nausées/vomissements : </w:t>
      </w:r>
      <w:r>
        <w:rPr>
          <w:b/>
        </w:rPr>
        <w:t>dompéridone</w:t>
      </w:r>
      <w:r>
        <w:t xml:space="preserve"> (MOTILIUM — disponible en Algérie) qui ne traverse pas la BHE. Pour l'agitation/anxiété : benzodiazépine courte durée (lorazépam). Pour la psychose parkinsonienne : clozapine (LEPONEX — disponible) à très faible dose 6,25-50 mg/j sous surveillance NFS stricte, ou quétiapine à 25-100 mg/j (formes disponibles en Algérie).</w:t>
      </w:r>
    </w:p>
    <w:p>
      <w:pPr>
        <w:pStyle w:val="ListBullet"/>
      </w:pPr>
      <w:r/>
      <w:r>
        <w:rPr>
          <w:b/>
        </w:rPr>
        <w:t>Piège classique #2 — Lévodopa + IMAO</w:t>
      </w:r>
      <w:r>
        <w:t xml:space="preserve"> : un patient dépressif parkinsonien sous lévodopa est mis sous iproniazide (IMAO non sélectif) par erreur. Le pharmacien doit </w:t>
      </w:r>
      <w:r>
        <w:rPr>
          <w:b/>
        </w:rPr>
        <w:t>réfuter</w:t>
      </w:r>
      <w:r>
        <w:t xml:space="preserve"> et contacter le prescripteur — risque d'hypertension artérielle paroxystique maligne. Wash-out de 15 jours minimum entre l'IMAO non sélectif et la lévodopa. Pour le traitement antidépresseur du patient parkinsonien dépressif : privilégier les IRS (sértaline, escitalopram — voir chapitre 81) ou la mirtazapine (effet positif sur l'anxiété, le sommeil, l'appétit).</w:t>
      </w:r>
    </w:p>
    <w:p>
      <w:pPr>
        <w:pStyle w:val="ListBullet"/>
      </w:pPr>
      <w:r/>
      <w:r>
        <w:rPr>
          <w:b/>
        </w:rPr>
        <w:t>Piège classique #3 — Hypotension orthostatique mal expliquée</w:t>
      </w:r>
      <w:r>
        <w:t xml:space="preserve"> : un patient sous lévodopa se plaint de vertiges au lever, de lipothymies, de chutes. Le médecin augmente la dose de lévodopa pensant que c'est un signe de sous-dosage parkinsonien. En réalité, l'hypotension est un </w:t>
      </w:r>
      <w:r>
        <w:rPr>
          <w:b/>
        </w:rPr>
        <w:t>effet indésirable</w:t>
      </w:r>
      <w:r>
        <w:t xml:space="preserve"> de la lévodopa. La solution : fractionner les doses, prendre pendant le repas, augmentation de l'apport hydrosodé, bas de contention, fludrocortisone si nécessaire.</w:t>
      </w:r>
    </w:p>
    <w:p>
      <w:pPr>
        <w:pStyle w:val="ListBullet"/>
      </w:pPr>
      <w:r/>
      <w:r>
        <w:rPr>
          <w:b/>
        </w:rPr>
        <w:t>Piège classique #4 — Hallucinations sous lévodopa</w:t>
      </w:r>
      <w:r>
        <w:t xml:space="preserve"> : un patient parkinsonien présente des hallucinations visuelles (souvent complexes, structurées, non effrayantes au début — personnes, animaux, objets dans la pièce). Le médecin augmente par erreur la dose de lévodopa. La solution : réduire la dose de lévodopa de 25-50 %, évaluer la cognition (MMSE, MoCA — recherche de démence émergente), envisager switch vers clozapine ou quétiapine.</w:t>
      </w:r>
    </w:p>
    <w:p>
      <w:pPr>
        <w:pStyle w:val="ListBullet"/>
      </w:pPr>
      <w:r/>
      <w:r>
        <w:rPr>
          <w:b/>
        </w:rPr>
        <w:t>Piège classique #5 — Fluctuations « wearing-off »</w:t>
      </w:r>
      <w:r>
        <w:t xml:space="preserve"> : un patient parkinsonien se plaint d'une réapparition des symptômes (raideur, tremblement, lenteur) avant la prise suivante. Le médecin augmente la dose unitaire. En réalité, la solution est de </w:t>
      </w:r>
      <w:r>
        <w:rPr>
          <w:b/>
        </w:rPr>
        <w:t>fractionner</w:t>
      </w:r>
      <w:r>
        <w:t xml:space="preserve"> les prises (5-6 prises/jour à dose unitaire réduite), ou de passage à une forme LP, ou d'association à un inhibiteur COMT (entacapone) ou à un inhibiteur MAO-B (sélégiline, rasagiline).</w:t>
      </w:r>
    </w:p>
    <w:p>
      <w:pPr>
        <w:pStyle w:val="ListBullet"/>
      </w:pPr>
      <w:r/>
      <w:r>
        <w:rPr>
          <w:b/>
        </w:rPr>
        <w:t>Piège classique #6 — Dyskinésies sous lévodopa</w:t>
      </w:r>
      <w:r>
        <w:t xml:space="preserve"> : un patient présente des mouvements anormaux choréïques de la face et des membres supérieurs après chaque prise de lévodopa. Le médecin augmente la dose pensant que c'est une aggravation parkinsonienne. En réalité, ce sont des </w:t>
      </w:r>
      <w:r>
        <w:rPr>
          <w:b/>
        </w:rPr>
        <w:t>dyskinésies induites par la lévodopa</w:t>
      </w:r>
      <w:r>
        <w:t xml:space="preserve"> (LID) — signe de surdosage relatif. La solution : réduire la dose unitaire de 25 %, fractionner les prises, envisager amantadine (effet anti-dyskinésique).</w:t>
      </w:r>
    </w:p>
    <w:p>
      <w:pPr>
        <w:pStyle w:val="ListBullet"/>
      </w:pPr>
      <w:r/>
      <w:r>
        <w:rPr>
          <w:b/>
        </w:rPr>
        <w:t>Piège classique #7 — Syndrome malin parkinsonien</w:t>
      </w:r>
      <w:r>
        <w:t xml:space="preserve"> : un patient parkinsonien est hospitalisé pour une intervention chirurgicale programmée ; la lévodopa est arrêtée à l'admission (oubli de prescription). Le patient développe en 24-48h de la fièvre, de la raideur, des troubles de la conscience. C'est un </w:t>
      </w:r>
      <w:r>
        <w:rPr>
          <w:b/>
        </w:rPr>
        <w:t>syndrome malin parkinsonien</w:t>
      </w:r>
      <w:r>
        <w:t xml:space="preserve"> — urgence vitale. Solution : la lévodopa doit être maintenue jusqu'au matin de l'intervention (dernière prise à jeun avec un petit verre d'eau), et reprise le plus tôt possible en post-opératoire (souvent via sonde nasogastrique si alimentation impossible).</w:t>
      </w:r>
    </w:p>
    <w:p>
      <w:pPr>
        <w:pStyle w:val="ListBullet"/>
      </w:pPr>
      <w:r/>
      <w:r>
        <w:rPr>
          <w:b/>
        </w:rPr>
        <w:t>Piège classique #8 — Compétition avec les protéines alimentaires</w:t>
      </w:r>
      <w:r>
        <w:t xml:space="preserve"> : un patient se plaint que sa lévodopa « ne fait plus effet » — il prend ses comprimés pendant un repas riche en protéines (viande rouge, fromage). La compétition au transporteur LAT1 intestinal réduit l'absorption de la lévodopa de 30-50 %. Solution : prendre la lévodopa à jeun, 30 min avant les repas, ou décaler les protéines vers le soir (« diet redistribution »).</w:t>
      </w:r>
    </w:p>
    <w:p>
      <w:pPr>
        <w:pStyle w:val="ListBullet"/>
      </w:pPr>
      <w:r/>
      <w:r>
        <w:rPr>
          <w:b/>
        </w:rPr>
        <w:t>Piège classique #9 — Switch de marque</w:t>
      </w:r>
      <w:r>
        <w:t xml:space="preserve"> : un patient stable sous SINEMET (retiré du marché) est switché vers LEVOCARB. Il présente une réapparition des symptômes parkinsoniens ou, à l'inverse, des dyskinésies. Explication : variations possibles de biodisponibilité inter-formulation (bioéquivalence dans la fourchette 80-125 % mais variation clinique possible). Solution : surveillance clinique rapprochée à 2-4 semaines, ajustement de dose si nécessaire.</w:t>
      </w:r>
    </w:p>
    <w:p>
      <w:pPr>
        <w:pStyle w:val="ListBullet"/>
      </w:pPr>
      <w:r/>
      <w:r>
        <w:rPr>
          <w:b/>
        </w:rPr>
        <w:t>Piège classique #10 — Test diagnostique à la lévodopa</w:t>
      </w:r>
      <w:r>
        <w:t xml:space="preserve"> : la lévodopa n'est pas un test diagnostique de la maladie de Parkinson (contrairement à une idée reçue). Un patient répondant à la lévodopa n'a pas nécessairement une maladie de Parkinson idiopathique (les parkinsonismes atypiques peuvent aussi répondre partiellement à la lévodopa). Le diagnostic reste clinique (critères MDS 2015 — Movement Disorder Society Clinical Diagnostic Criteria).</w:t>
      </w:r>
    </w:p>
    <w:p>
      <w:pPr>
        <w:pStyle w:val="ListBullet"/>
      </w:pPr>
      <w:r/>
      <w:r>
        <w:rPr>
          <w:b/>
        </w:rPr>
        <w:t>Règle de prise</w:t>
      </w:r>
      <w:r>
        <w:t xml:space="preserve"> :</w:t>
      </w:r>
    </w:p>
    <w:p>
      <w:pPr>
        <w:pStyle w:val="ListBullet"/>
      </w:pPr>
      <w:r>
        <w:t>Heures fixes (à 1 heure près)</w:t>
      </w:r>
    </w:p>
    <w:p>
      <w:pPr>
        <w:pStyle w:val="ListBullet"/>
      </w:pPr>
      <w:r>
        <w:t>À jeun (30 min avant les repas) en entretien</w:t>
      </w:r>
    </w:p>
    <w:p>
      <w:pPr>
        <w:pStyle w:val="ListBullet"/>
      </w:pPr>
      <w:r>
        <w:t>Pendant les repas en initiation</w:t>
      </w:r>
    </w:p>
    <w:p>
      <w:pPr>
        <w:pStyle w:val="ListBullet"/>
      </w:pPr>
      <w:r>
        <w:t>Ne jamais arrêter brutalement</w:t>
      </w:r>
    </w:p>
    <w:p>
      <w:pPr>
        <w:pStyle w:val="ListBullet"/>
      </w:pPr>
      <w:r>
        <w:t>Ne jamais doubler en cas d'oubli</w:t>
      </w:r>
    </w:p>
    <w:p>
      <w:pPr>
        <w:pStyle w:val="ListBullet"/>
      </w:pPr>
      <w:r>
        <w:t>En cas d'oubli &gt; 2 heures, attendre la prise suivante</w:t>
      </w:r>
    </w:p>
    <w:p>
      <w:pPr>
        <w:pStyle w:val="ListBullet"/>
      </w:pPr>
      <w:r>
        <w:t>Signaler tout effet psychiatrique au neurologue</w:t>
      </w:r>
    </w:p>
    <w:p>
      <w:pPr>
        <w:pStyle w:val="ListBullet"/>
      </w:pPr>
      <w:r>
        <w:t>Tenir un « journal de bord » des périodes « on/off » pour adapter le traitement</w:t>
      </w:r>
    </w:p>
    <w:p>
      <w:pPr>
        <w:pStyle w:val="ListBullet"/>
      </w:pPr>
      <w:r/>
      <w:r>
        <w:rPr>
          <w:b/>
        </w:rPr>
        <w:t>Préparation et Conservation</w:t>
      </w:r>
      <w:r>
        <w:t xml:space="preserve"> :</w:t>
      </w:r>
    </w:p>
    <w:p>
      <w:pPr>
        <w:pStyle w:val="ListBullet"/>
      </w:pPr>
      <w:r>
        <w:t>Conservation à &lt; 25 °C, à l'abri de la lumière et de l'humidité</w:t>
      </w:r>
    </w:p>
    <w:p>
      <w:pPr>
        <w:pStyle w:val="ListBullet"/>
      </w:pPr>
      <w:r>
        <w:t>Dans l'emballage d'origine bien fermé</w:t>
      </w:r>
    </w:p>
    <w:p>
      <w:pPr>
        <w:pStyle w:val="ListBullet"/>
      </w:pPr>
      <w:r>
        <w:t>Ne pas transférer dans un pilulier transparent sans protection UV (la lévodopa est photosensible)</w:t>
      </w:r>
    </w:p>
    <w:p>
      <w:pPr>
        <w:pStyle w:val="ListBullet"/>
      </w:pPr>
      <w:r>
        <w:t>Ne pas utiliser au-delà de la date de péremption indiquée</w:t>
      </w:r>
    </w:p>
    <w:p>
      <w:pPr>
        <w:pStyle w:val="ListBullet"/>
      </w:pPr>
      <w:r>
        <w:t>Les comprimés peuvent être sécables selon les barres de cassure</w:t>
      </w:r>
    </w:p>
    <w:p>
      <w:pPr>
        <w:pStyle w:val="ListBullet"/>
      </w:pPr>
      <w:r>
        <w:t>Ne pas écraser sans avis médical</w:t>
      </w:r>
    </w:p>
    <w:p>
      <w:pPr>
        <w:pStyle w:val="ListBullet"/>
      </w:pPr>
      <w:r/>
      <w:r>
        <w:rPr>
          <w:b/>
        </w:rPr>
        <w:t>Piège du surdosage / Substitution</w:t>
      </w:r>
      <w:r>
        <w:t xml:space="preserve"> :</w:t>
      </w:r>
    </w:p>
    <w:p>
      <w:pPr>
        <w:pStyle w:val="ListBullet"/>
      </w:pPr>
      <w:r>
        <w:t>Surdosage aigu (prise massive accidentelle ou volontaire) : agitation, confusion, hallucinations, dyskinésies sévères, hyperthermie, hyperrigidité, hypertension ou hypotension, arythmies. Traitement symptomatique en milieu spécialisé (réanimation) — pas d'antidote spécifique, arrêt de la lévodopa, surveillance ECG, hydratation, surveillance neurologique. Pas d'utilisation de neuroleptiques (risque d'aggravation du syndrome malin).</w:t>
      </w:r>
    </w:p>
    <w:p>
      <w:pPr>
        <w:pStyle w:val="ListBullet"/>
      </w:pPr>
      <w:r>
        <w:t>Substitution entre marques génériques : surveillance clinique rapprochée (variations de biodisponibilité possibles), ajustement de dose si nécessaire.</w:t>
      </w:r>
    </w:p>
    <w:p>
      <w:pPr>
        <w:pStyle w:val="ListBullet"/>
      </w:pPr>
      <w:r>
        <w:t>Substitution entre lévodopa/carbidopa et lévodopa/bensérazide : équivalence approximative 100/25 (les 2 IDDC ont une puissance comparable), surveillance clinique à 2-4 semaines.</w:t>
      </w:r>
    </w:p>
    <w:p>
      <w:pPr>
        <w:pStyle w:val="ListBullet"/>
      </w:pPr>
      <w:r>
        <w:t>Substitution entre forme LI et forme LP : adapter la dose (formes LP ont une biodisponibilité parfois réduite de 10-20 %), surveillance clinique.</w:t>
      </w:r>
    </w:p>
    <w:p>
      <w:pPr>
        <w:pStyle w:val="Heading2"/>
      </w:pPr>
      <w:r>
        <w:t>87.2 — Sous-classe : Agonistes dopaminergiques non ergotés</w:t>
      </w:r>
    </w:p>
    <w:p>
      <w:pPr>
        <w:pStyle w:val="Heading3"/>
      </w:pPr>
      <w:r>
        <w:t>Introduction à la sous-classe</w:t>
      </w:r>
    </w:p>
    <w:p>
      <w:r>
        <w:t xml:space="preserve">Les agonistes dopaminergiques représentent la deuxième grande stratégie thérapeutique de la maladie de Parkinson. Ils se différencient de la lévodopa par un mécanisme d'action </w:t>
      </w:r>
      <w:r>
        <w:rPr>
          <w:b/>
        </w:rPr>
        <w:t>direct</w:t>
      </w:r>
      <w:r>
        <w:t xml:space="preserve"> : ils stimulent eux-mêmes les récepteurs dopaminergiques postsynaptiques sans nécessiter de conversion métabolique, indépendamment des terminaisons nerveuses pré-synaptiques survivantes. Cette caractéristique pharmacologique leur confère un avantage théorique majeur dans les stades avancés de la maladie (où la perte des neurones dopaminergiques pré-synaptiques limite l'efficacité de la lévodopa qui ne peut plus être stockée et libérée physiologiquement), et une durée d'action plus longue (demi-vie plasmatique de 6-15 heures selon les molécules, contre 60-90 minutes pour la lévodopa) qui réduit les fluctuations motrices.</w:t>
      </w:r>
    </w:p>
    <w:p>
      <w:r/>
      <w:r>
        <w:rPr>
          <w:b/>
        </w:rPr>
        <w:t>Classification des agonistes dopaminergiques :</w:t>
      </w:r>
      <w:r/>
    </w:p>
    <w:p>
      <w:pPr>
        <w:pStyle w:val="ListNumber"/>
      </w:pPr>
      <w:r/>
      <w:r>
        <w:rPr>
          <w:b/>
        </w:rPr>
        <w:t>Agonistes dopaminergiques ergotés</w:t>
      </w:r>
      <w:r>
        <w:t xml:space="preserve"> (historiques — premières générations) : bromocriptine (Parlodel), pergolide, lisuride, cabergoline, dihydroergocryptine. Dérivés de l'ergot de seigle, ils ont une affinité pour les récepteurs D1, D2, et également pour les récepteurs sérotoninergiques 5-HT2 et adrénergiques alpha. Ils sont à présent </w:t>
      </w:r>
      <w:r>
        <w:rPr>
          <w:b/>
        </w:rPr>
        <w:t>contre-indiqués ou déconseillés</w:t>
      </w:r>
      <w:r>
        <w:t xml:space="preserve"> en raison du risque de </w:t>
      </w:r>
      <w:r>
        <w:rPr>
          <w:b/>
        </w:rPr>
        <w:t>fibrose rétro-péritonéale</w:t>
      </w:r>
      <w:r>
        <w:t xml:space="preserve">, </w:t>
      </w:r>
      <w:r>
        <w:rPr>
          <w:b/>
        </w:rPr>
        <w:t>fibrose valvulaire cardiaque</w:t>
      </w:r>
      <w:r>
        <w:t xml:space="preserve"> (mécanisme agoniste 5-HT2B), et </w:t>
      </w:r>
      <w:r>
        <w:rPr>
          <w:b/>
        </w:rPr>
        <w:t>érythrocytose</w:t>
      </w:r>
      <w:r>
        <w:t>. Le pergolide a été retiré du marché mondial en 2007. La bromocriptine est encore utilisée en Algérie pour ses indications gynécologiques (hyperprolactinémie, inhibition de la lactation), mais plus dans la maladie de Parkinson.</w:t>
      </w:r>
    </w:p>
    <w:p>
      <w:pPr>
        <w:pStyle w:val="ListNumber"/>
      </w:pPr>
      <w:r/>
      <w:r>
        <w:rPr>
          <w:b/>
        </w:rPr>
        <w:t>Agonistes dopaminergiques non ergotés</w:t>
      </w:r>
      <w:r>
        <w:t xml:space="preserve"> (modernes — choix de première intention) : </w:t>
      </w:r>
      <w:r>
        <w:rPr>
          <w:b/>
        </w:rPr>
        <w:t>ropinirole</w:t>
      </w:r>
      <w:r>
        <w:t xml:space="preserve"> (Requip, KEPNIROL, STRICARE), </w:t>
      </w:r>
      <w:r>
        <w:rPr>
          <w:b/>
        </w:rPr>
        <w:t>pramipexole</w:t>
      </w:r>
      <w:r>
        <w:t xml:space="preserve"> (Sifrol, MIRAPEX), </w:t>
      </w:r>
      <w:r>
        <w:rPr>
          <w:b/>
        </w:rPr>
        <w:t>rotigotine</w:t>
      </w:r>
      <w:r>
        <w:t xml:space="preserve"> (Neupro — patch transdermique). Ces molécules sont des agonistes sélectifs des récepteurs </w:t>
      </w:r>
      <w:r>
        <w:rPr>
          <w:b/>
        </w:rPr>
        <w:t>D2/D3</w:t>
      </w:r>
      <w:r>
        <w:t xml:space="preserve"> (avec une préférence pour </w:t>
      </w:r>
      <w:r>
        <w:rPr>
          <w:b/>
        </w:rPr>
        <w:t>D3</w:t>
      </w:r>
      <w:r>
        <w:t xml:space="preserve"> — récepteur limbique, impliqué dans les fonctions motivationnelles, émotionnelles et cognitives). Elles ont une structure chimique non ergotée qui élimine le risque de fibrose. Elles constituent le traitement de première intention de la maladie de Parkinson chez le sujet jeune (&lt; 60 ans), pour retarder l'introduction de la lévodopa et minimiser le risque de dyskinésies à long terme.</w:t>
      </w:r>
    </w:p>
    <w:p>
      <w:r/>
      <w:r>
        <w:rPr>
          <w:b/>
        </w:rPr>
        <w:t>Caractéristiques pharmacologiques communes aux agonistes non ergotés :</w:t>
      </w:r>
      <w:r/>
    </w:p>
    <w:p>
      <w:pPr>
        <w:pStyle w:val="ListBullet"/>
      </w:pPr>
      <w:r/>
      <w:r>
        <w:rPr>
          <w:b/>
        </w:rPr>
        <w:t>Affinité receptorielle</w:t>
      </w:r>
      <w:r>
        <w:t xml:space="preserve"> : agonistes directs des récepteurs D2 ( famille Gi — voie indirecte, inhibiteurs du mouvement) et D3 (limbique — motivation, émotion). Affinité plus marquée pour D3 que pour D2 (rapport D3/D2 ≈ 5-10). Affinité nulle ou très faible pour D1 (famille Gs — voie directe), ce qui explique une partie de leur profil d'effets indésirables (absence relative d'effet hypotenseur marqué, mais aussi efficacité motrice parfois moindre que la lévodopa sur l'akinésie sévère).</w:t>
      </w:r>
    </w:p>
    <w:p>
      <w:pPr>
        <w:pStyle w:val="ListBullet"/>
      </w:pPr>
      <w:r/>
      <w:r>
        <w:rPr>
          <w:b/>
        </w:rPr>
        <w:t>Demi-vie plasmatique longue</w:t>
      </w:r>
      <w:r>
        <w:t xml:space="preserve"> (6-15 heures selon la molécule et la forme galénique) — permet une monoprise ou biprise quotidienne, et réduit les fluctuations motrices</w:t>
      </w:r>
    </w:p>
    <w:p>
      <w:pPr>
        <w:pStyle w:val="ListBullet"/>
      </w:pPr>
      <w:r/>
      <w:r>
        <w:rPr>
          <w:b/>
        </w:rPr>
        <w:t>Métabolisme hépatique</w:t>
      </w:r>
      <w:r>
        <w:t xml:space="preserve"> pour le ropinirole (CYP1A2), principalement </w:t>
      </w:r>
      <w:r>
        <w:rPr>
          <w:b/>
        </w:rPr>
        <w:t>rénal</w:t>
      </w:r>
      <w:r>
        <w:t xml:space="preserve"> pour le pramipexole (élimination inchangée), </w:t>
      </w:r>
      <w:r>
        <w:rPr>
          <w:b/>
        </w:rPr>
        <w:t>transdermique</w:t>
      </w:r>
      <w:r>
        <w:t xml:space="preserve"> pour la rotigotine (métabolisme hépatique). Ces différences PK dictent les adaptations posologiques (insuffisance rénale pour le pramipexole, interactions médicamenteuses CYP1A2 pour le ropinirole).</w:t>
      </w:r>
    </w:p>
    <w:p>
      <w:pPr>
        <w:pStyle w:val="ListBullet"/>
      </w:pPr>
      <w:r/>
      <w:r>
        <w:rPr>
          <w:b/>
        </w:rPr>
        <w:t>Profil d'effets indésirables spécifiques</w:t>
      </w:r>
      <w:r>
        <w:t xml:space="preserve"> :</w:t>
      </w:r>
    </w:p>
    <w:p>
      <w:pPr>
        <w:pStyle w:val="ListBullet"/>
      </w:pPr>
      <w:r/>
      <w:r>
        <w:rPr>
          <w:b/>
        </w:rPr>
        <w:t>Somnolence diurne excessive</w:t>
      </w:r>
      <w:r>
        <w:t xml:space="preserve"> et </w:t>
      </w:r>
      <w:r>
        <w:rPr>
          <w:b/>
        </w:rPr>
        <w:t>attaques de sommeil</w:t>
      </w:r>
      <w:r>
        <w:t xml:space="preserve"> (sudden sleep attacks — risque d'accident de la route, ANSM 2002 et 2007 mise en garde)</w:t>
      </w:r>
    </w:p>
    <w:p>
      <w:pPr>
        <w:pStyle w:val="ListBullet"/>
      </w:pPr>
      <w:r/>
      <w:r>
        <w:rPr>
          <w:b/>
        </w:rPr>
        <w:t>Troubles du contrôle des impulsions</w:t>
      </w:r>
      <w:r>
        <w:t xml:space="preserve"> (TCI — jeu pathologique, hypersexualité, achats compulsifs, hyperphagie, punding) — incidence 15-20 %, plus marquée qu'avec la lévodopa (ANSM 2009, FDA 2012 — black box warning)</w:t>
      </w:r>
    </w:p>
    <w:p>
      <w:pPr>
        <w:pStyle w:val="ListBullet"/>
      </w:pPr>
      <w:r/>
      <w:r>
        <w:rPr>
          <w:b/>
        </w:rPr>
        <w:t>Hallucinations</w:t>
      </w:r>
      <w:r>
        <w:t xml:space="preserve"> (10-20 %, surtout sujet âgé)</w:t>
      </w:r>
    </w:p>
    <w:p>
      <w:pPr>
        <w:pStyle w:val="ListBullet"/>
      </w:pPr>
      <w:r/>
      <w:r>
        <w:rPr>
          <w:b/>
        </w:rPr>
        <w:t>Hypotension orthostatique</w:t>
      </w:r>
      <w:r>
        <w:t xml:space="preserve"> (incidence 20-30 %, mécanisme D3 vasculaire)</w:t>
      </w:r>
    </w:p>
    <w:p>
      <w:pPr>
        <w:pStyle w:val="ListBullet"/>
      </w:pPr>
      <w:r/>
      <w:r>
        <w:rPr>
          <w:b/>
        </w:rPr>
        <w:t>Œdèmes des membres inférieurs</w:t>
      </w:r>
      <w:r>
        <w:t xml:space="preserve"> (incidence 5-15 %, mécanisme mal élucidé — D3 rénal ou vasculaire)</w:t>
      </w:r>
    </w:p>
    <w:p>
      <w:pPr>
        <w:pStyle w:val="ListBullet"/>
      </w:pPr>
      <w:r/>
      <w:r>
        <w:rPr>
          <w:b/>
        </w:rPr>
        <w:t>Érythromélalgie</w:t>
      </w:r>
      <w:r>
        <w:t xml:space="preserve"> (rare, rougeur douloureuse des extrémités)</w:t>
      </w:r>
    </w:p>
    <w:p>
      <w:pPr>
        <w:pStyle w:val="ListBullet"/>
      </w:pPr>
      <w:r/>
      <w:r>
        <w:rPr>
          <w:b/>
        </w:rPr>
        <w:t>Réactions aux sites d'application</w:t>
      </w:r>
      <w:r>
        <w:t xml:space="preserve"> pour la rotigotine (patch)</w:t>
      </w:r>
    </w:p>
    <w:p>
      <w:pPr>
        <w:pStyle w:val="ListBullet"/>
      </w:pPr>
      <w:r/>
      <w:r>
        <w:rPr>
          <w:b/>
        </w:rPr>
        <w:t>Efficacité antiparkinsonienne</w:t>
      </w:r>
      <w:r>
        <w:t xml:space="preserve"> : inférieure à la lévodopa sur les symptômes moteurs sévères (UPDRS moteur moins amélioré), mais durée d'action plus longue et moins de fluctuations motrices à long terme. Efficacité supérieure à la lévodopa sur les symptômes dépressifs associés (effet D3 limbique — pramipexole a une AMM pour la dépression parkinsonienne).</w:t>
      </w:r>
    </w:p>
    <w:p>
      <w:r/>
      <w:r>
        <w:rPr>
          <w:b/>
        </w:rPr>
        <w:t>Positionnement dans la stratégie thérapeutique :</w:t>
      </w:r>
      <w:r/>
    </w:p>
    <w:p>
      <w:pPr>
        <w:pStyle w:val="ListBullet"/>
      </w:pPr>
      <w:r/>
      <w:r>
        <w:rPr>
          <w:b/>
        </w:rPr>
        <w:t>Sujets &lt; 60 ans</w:t>
      </w:r>
      <w:r>
        <w:t xml:space="preserve"> (jeunes et actifs) : traitement de </w:t>
      </w:r>
      <w:r>
        <w:rPr>
          <w:b/>
        </w:rPr>
        <w:t>première intention</w:t>
      </w:r>
      <w:r>
        <w:t xml:space="preserve"> en monothérapie, pour retarder l'introduction de la lévodopa et minimiser le risque de dyskinésies précoces. Le patient est informé de la probabilité forte (80-90 %) d'avoir besoin d'ajouter de la lévodopa après 3-5 ans d'évolution.</w:t>
      </w:r>
    </w:p>
    <w:p>
      <w:pPr>
        <w:pStyle w:val="ListBullet"/>
      </w:pPr>
      <w:r/>
      <w:r>
        <w:rPr>
          <w:b/>
        </w:rPr>
        <w:t>Sujets 60-70 ans</w:t>
      </w:r>
      <w:r>
        <w:t xml:space="preserve"> : discussion au cas par cas ; agoniste dopaminergique ou lévodopa selon le profil moteur, cognitif, psychiatrique, et l'activité professionnelle.</w:t>
      </w:r>
    </w:p>
    <w:p>
      <w:pPr>
        <w:pStyle w:val="ListBullet"/>
      </w:pPr>
      <w:r/>
      <w:r>
        <w:rPr>
          <w:b/>
        </w:rPr>
        <w:t>Sujets &gt; 70 ans</w:t>
      </w:r>
      <w:r>
        <w:t xml:space="preserve"> ou avec altération cognitive préexistante : </w:t>
      </w:r>
      <w:r>
        <w:rPr>
          <w:b/>
        </w:rPr>
        <w:t>lévodopa en première intention</w:t>
      </w:r>
      <w:r>
        <w:t xml:space="preserve"> (le risque d'hallucinations et de confusion sous agonistes est majeur dans cette population).</w:t>
      </w:r>
    </w:p>
    <w:p>
      <w:pPr>
        <w:pStyle w:val="ListBullet"/>
      </w:pPr>
      <w:r/>
      <w:r>
        <w:rPr>
          <w:b/>
        </w:rPr>
        <w:t>En association à la lévodopa</w:t>
      </w:r>
      <w:r>
        <w:t xml:space="preserve"> dans les stades avancés (fluctuations motrices sous lévodopa seule) — permet une réduction de la dose de lévodopa et une amélioration des fluctuations.</w:t>
      </w:r>
    </w:p>
    <w:p>
      <w:r/>
      <w:r>
        <w:rPr>
          <w:b/>
        </w:rPr>
        <w:t>Règle de bon usage au comptoir</w:t>
      </w:r>
      <w:r>
        <w:t xml:space="preserve"> : tout patient sous agoniste dopaminergique doit être informé des points suivants :</w:t>
      </w:r>
    </w:p>
    <w:p>
      <w:pPr>
        <w:pStyle w:val="ListNumber"/>
      </w:pPr>
      <w:r/>
      <w:r>
        <w:rPr>
          <w:b/>
        </w:rPr>
        <w:t>Titration initiale très lente</w:t>
      </w:r>
      <w:r>
        <w:t xml:space="preserve"> sur 4-8 semaines (minimisation des effets indésirables d'initiation — nausées, hypotension, somnolence, œdèmes)</w:t>
      </w:r>
    </w:p>
    <w:p>
      <w:pPr>
        <w:pStyle w:val="ListNumber"/>
      </w:pPr>
      <w:r/>
      <w:r>
        <w:rPr>
          <w:b/>
        </w:rPr>
        <w:t>Surveillance de la somnolence diurne</w:t>
      </w:r>
      <w:r>
        <w:t xml:space="preserve"> : ne pas conduire en cas de somnolence, prévenir le risque d'attaques de sommeil</w:t>
      </w:r>
    </w:p>
    <w:p>
      <w:pPr>
        <w:pStyle w:val="ListNumber"/>
      </w:pPr>
      <w:r/>
      <w:r>
        <w:rPr>
          <w:b/>
        </w:rPr>
        <w:t>Surveillance des troubles du contrôle des impulsions</w:t>
      </w:r>
      <w:r>
        <w:t xml:space="preserve"> : interrogation systématique (jeu pathologique, hypersexualité, achats compulsifs, hyperphagie) — information particulière à l'entourage</w:t>
      </w:r>
    </w:p>
    <w:p>
      <w:pPr>
        <w:pStyle w:val="ListNumber"/>
      </w:pPr>
      <w:r/>
      <w:r>
        <w:rPr>
          <w:b/>
        </w:rPr>
        <w:t>Surveillance de la tension artérielle</w:t>
      </w:r>
      <w:r>
        <w:t xml:space="preserve"> (TA debout et couchée) à l'initiation et à chaque palier</w:t>
      </w:r>
    </w:p>
    <w:p>
      <w:pPr>
        <w:pStyle w:val="ListNumber"/>
      </w:pPr>
      <w:r/>
      <w:r>
        <w:rPr>
          <w:b/>
        </w:rPr>
        <w:t>Surveillance des œdèmes des membres inférieurs</w:t>
      </w:r>
      <w:r/>
    </w:p>
    <w:p>
      <w:pPr>
        <w:pStyle w:val="ListNumber"/>
      </w:pPr>
      <w:r/>
      <w:r>
        <w:rPr>
          <w:b/>
        </w:rPr>
        <w:t>Ne jamais arrêter brutalement</w:t>
      </w:r>
      <w:r>
        <w:t xml:space="preserve"> (risque de syndrome malin parkinsonien, comme avec la lévodopa) — décroissance progressive sur plusieurs semaines en cas de nécessité d'arrêt</w:t>
      </w:r>
    </w:p>
    <w:p>
      <w:pPr>
        <w:pStyle w:val="ListNumber"/>
      </w:pPr>
      <w:r/>
      <w:r>
        <w:rPr>
          <w:b/>
        </w:rPr>
        <w:t>Surveillance psychiatrique</w:t>
      </w:r>
      <w:r>
        <w:t xml:space="preserve"> : hallucinations, idées délirantes, surtout chez le sujet âgé</w:t>
      </w:r>
    </w:p>
    <w:p>
      <w:r>
        <w:t xml:space="preserve">Le présent chapitre se concentre sur le </w:t>
      </w:r>
      <w:r>
        <w:rPr>
          <w:b/>
        </w:rPr>
        <w:t>ropinirole</w:t>
      </w:r>
      <w:r>
        <w:t>, seul agoniste dopaminergique non ergoté figurant dans la liste des médicaments retenus pour ce chapitre (le pramipexole et la rotigotine ne sont pas couverts ici — bien qu'ils soient disponibles en Algérie, ils ne figurent pas dans le périmètre de ce chapitre réduit à 3 DCI principales).</w:t>
      </w:r>
    </w:p>
    <w:p>
      <w:pPr>
        <w:pStyle w:val="Heading3"/>
      </w:pPr>
      <w:r>
        <w:t>2. DCI : Ropinirole (Seule)</w:t>
      </w:r>
    </w:p>
    <w:p>
      <w:r>
        <w:t xml:space="preserve">Le ropinirole est un agoniste dopaminergique non ergoté de deuxième génération, commercialisé en France depuis 1997 et en Algérie depuis les années 2000. Il s'agit d'une molécule de la famille des </w:t>
      </w:r>
      <w:r>
        <w:rPr>
          <w:b/>
        </w:rPr>
        <w:t>indolinones</w:t>
      </w:r>
      <w:r>
        <w:t xml:space="preserve"> (4-[2-(dipropylamino)ethyl]-1,3-dihydro-2H-indol-2-one), qui se distingue des autres agonistes non ergotés (pramipexole, rotigotine) par son </w:t>
      </w:r>
      <w:r>
        <w:rPr>
          <w:b/>
        </w:rPr>
        <w:t>métabolisme hépatique</w:t>
      </w:r>
      <w:r>
        <w:t xml:space="preserve"> via le cytochrome P450 1A2 (CYP1A2), ce qui expose à des interactions médicamenteuses spécifiques (inhibition par la fluvoxamine et la ciprofloxacine, induction par le tabac). Le ropinirole a une </w:t>
      </w:r>
      <w:r>
        <w:rPr>
          <w:b/>
        </w:rPr>
        <w:t>affinité préférentielle pour les récepteurs D3</w:t>
      </w:r>
      <w:r>
        <w:t xml:space="preserve"> (récepteurs limbiques — motivation, émotion, cognition) par rapport aux récepteurs D2 striataux (rapport D3/D2 ≈ 5-10), ce qui explique son efficacité supérieure aux autres agonistes sur les symptômes dépressifs associés à la maladie de Parkinson (effet « antidépressogène » — non confirmé en AMM pour cette indication en Europe, mais documenté dans la littérature). Il a également une AMM spécifique pour le </w:t>
      </w:r>
      <w:r>
        <w:rPr>
          <w:b/>
        </w:rPr>
        <w:t>syndrome des jambes sans repos (SJSR)</w:t>
      </w:r>
      <w:r>
        <w:t xml:space="preserve"> idiopathique à dose réduite (0,25 à 4 mg/jour), distincte de l'AMM parkinsonienne. La forme à libération prolongée (LP) permet une monoprise quotidienne, simplifiant l'observance et réduisant les fluctuations motrices. Le ropinirole est l'agoniste dopaminergique non ergoté de référence pour le traitement de première intention de la maladie de Parkinson chez le sujet jeune.</w:t>
      </w:r>
    </w:p>
    <w:p>
      <w:r/>
      <w:r>
        <w:rPr>
          <w:b/>
        </w:rPr>
        <w:t>Liste des Catégories :</w:t>
      </w:r>
      <w:r>
        <w:t xml:space="preserve"> Antiparkinsoniens — Dopaminergiques — Agoniste dopaminergique non ergoté — Agoniste D2/D3 (préférence D3).</w:t>
      </w:r>
    </w:p>
    <w:p>
      <w:r/>
      <w:r>
        <w:rPr>
          <w:b/>
        </w:rPr>
        <w:t>Médicaments disponibles en Algérie (Marques, Laboratoires, Formes et Dosages) :</w:t>
      </w:r>
      <w:r/>
    </w:p>
    <w:p>
      <w:r>
        <w:t>Spécialités ACTIVES :</w:t>
      </w:r>
    </w:p>
    <w:p>
      <w:pPr>
        <w:pStyle w:val="ListBullet"/>
      </w:pPr>
      <w:r/>
      <w:r>
        <w:rPr>
          <w:b/>
        </w:rPr>
        <w:t>KEPNIROL</w:t>
      </w:r>
      <w:r>
        <w:t xml:space="preserve"> (EL KENDI INDUSTRIE DU MEDICAMENT)</w:t>
      </w:r>
    </w:p>
    <w:p>
      <w:pPr>
        <w:pStyle w:val="ListBullet"/>
      </w:pPr>
      <w:r>
        <w:t>Formes et Dosages :</w:t>
      </w:r>
    </w:p>
    <w:p>
      <w:pPr>
        <w:pStyle w:val="ListBullet"/>
      </w:pPr>
      <w:r>
        <w:t>Comprimé enrobé 0,25 mg (B/20) — pour initiation</w:t>
      </w:r>
    </w:p>
    <w:p>
      <w:pPr>
        <w:pStyle w:val="ListBullet"/>
      </w:pPr>
      <w:r>
        <w:t>Comprimé pelliculé 1 mg (B/20)</w:t>
      </w:r>
    </w:p>
    <w:p>
      <w:pPr>
        <w:pStyle w:val="ListBullet"/>
      </w:pPr>
      <w:r>
        <w:t>Comprimé pelliculé 2 mg (B/30)</w:t>
      </w:r>
    </w:p>
    <w:p>
      <w:pPr>
        <w:pStyle w:val="ListBullet"/>
      </w:pPr>
      <w:r>
        <w:t>Comprimé pelliculé 5 mg (B/30)</w:t>
      </w:r>
    </w:p>
    <w:p>
      <w:pPr>
        <w:pStyle w:val="ListBullet"/>
      </w:pPr>
      <w:r>
        <w:t>Comprimé pelliculé à libération prolongée 4 mg (B/30)</w:t>
      </w:r>
    </w:p>
    <w:p>
      <w:pPr>
        <w:pStyle w:val="ListBullet"/>
      </w:pPr>
      <w:r>
        <w:t>Comprimé pelliculé à libération prolongée 8 mg (B/30)</w:t>
      </w:r>
    </w:p>
    <w:p>
      <w:pPr>
        <w:pStyle w:val="ListBullet"/>
      </w:pPr>
      <w:r>
        <w:t>Statut : Actif (Liste I)</w:t>
      </w:r>
    </w:p>
    <w:p>
      <w:pPr>
        <w:pStyle w:val="ListBullet"/>
      </w:pPr>
      <w:r>
        <w:t>Remarque : marque la plus complète sur le marché algérien (toutes doses LI + 2 doses LP)</w:t>
      </w:r>
    </w:p>
    <w:p>
      <w:pPr>
        <w:pStyle w:val="ListBullet"/>
      </w:pPr>
      <w:r/>
      <w:r>
        <w:rPr>
          <w:b/>
        </w:rPr>
        <w:t>STRICARE</w:t>
      </w:r>
      <w:r>
        <w:t xml:space="preserve"> (BIOCARE)</w:t>
      </w:r>
    </w:p>
    <w:p>
      <w:pPr>
        <w:pStyle w:val="ListBullet"/>
      </w:pPr>
      <w:r>
        <w:t>Formes et Dosages :</w:t>
      </w:r>
    </w:p>
    <w:p>
      <w:pPr>
        <w:pStyle w:val="ListBullet"/>
      </w:pPr>
      <w:r>
        <w:t>Comprimé pelliculé 0,25 mg (B/20) — pour initiation</w:t>
      </w:r>
    </w:p>
    <w:p>
      <w:pPr>
        <w:pStyle w:val="ListBullet"/>
      </w:pPr>
      <w:r>
        <w:t>Comprimé pelliculé 1 mg (B/20)</w:t>
      </w:r>
    </w:p>
    <w:p>
      <w:pPr>
        <w:pStyle w:val="ListBullet"/>
      </w:pPr>
      <w:r>
        <w:t>Statut : Actif (Liste I)</w:t>
      </w:r>
    </w:p>
    <w:p>
      <w:pPr>
        <w:pStyle w:val="ListBullet"/>
      </w:pPr>
      <w:r>
        <w:t>Remarque : disponibilité limitée aux faibles doses (initiation et titration)</w:t>
      </w:r>
    </w:p>
    <w:p>
      <w:r/>
      <w:r>
        <w:rPr>
          <w:b/>
        </w:rPr>
        <w:t>Commentaire sur la disponibilité algérienne :</w:t>
      </w:r>
      <w:r>
        <w:t xml:space="preserve"> le ropinirole est disponible en Algérie sous deux marques principales, KEPNIROL (El Kendi — laboratoire national algérien) et STRICARE (Biocare). La marque KEPNIROL propose la gamme complète des dosages LI (0,25, 1, 2, 5 mg) ainsi que la forme LP (4 mg et 8 mg), ce qui permet une prise en charge complète, de l'initiation à l'entretien. La marque STRICARE est limitée aux faibles dosages (0,25 mg et 1 mg) — utile pour l'initiation mais insuffisante pour les patients nécessitant des doses d'entretien élevées (4-8 mg/jour en LI ou 8-24 mg/jour en LP). Le pharmacien doit savoir gérer le </w:t>
      </w:r>
      <w:r>
        <w:rPr>
          <w:b/>
        </w:rPr>
        <w:t>switch entre marques</w:t>
      </w:r>
      <w:r>
        <w:t xml:space="preserve"> en cas d'indisponibilité (équivalence de dose stricte selon le dosage — pas de variation attendue). La marque princeps REQUIP (GSK) n'est plus disponible en Algérie (retirée), mais son générique KEPRINIL n'est pas non plus présent — le marché est dominé par KEPNIROL.</w:t>
      </w:r>
    </w:p>
    <w:p>
      <w:r/>
      <w:r>
        <w:rPr>
          <w:b/>
        </w:rPr>
        <w:t>Sous-classe et Mécanisme d'action :</w:t>
      </w:r>
      <w:r/>
    </w:p>
    <w:p>
      <w:pPr>
        <w:pStyle w:val="ListBullet"/>
      </w:pPr>
      <w:r/>
      <w:r>
        <w:rPr>
          <w:b/>
        </w:rPr>
        <w:t>Sous-classe</w:t>
      </w:r>
      <w:r>
        <w:t xml:space="preserve"> : Antiparkinsonien de première intention — agoniste dopaminergique non ergoté. Molécule de la famille des indolinones. Choix de première intention chez le sujet jeune (&lt; 60 ans) en monothérapie, ou en association à la lévodopa dans les stades avancés avec fluctuations.</w:t>
      </w:r>
    </w:p>
    <w:p>
      <w:pPr>
        <w:pStyle w:val="ListBullet"/>
      </w:pPr>
      <w:r/>
      <w:r>
        <w:rPr>
          <w:b/>
        </w:rPr>
        <w:t>Mécanisme d'action</w:t>
      </w:r>
      <w:r>
        <w:t xml:space="preserve"> :</w:t>
      </w:r>
    </w:p>
    <w:p>
      <w:pPr>
        <w:pStyle w:val="ListBullet"/>
      </w:pPr>
      <w:r/>
      <w:r>
        <w:rPr>
          <w:b/>
        </w:rPr>
        <w:t>Agoniste direct des récepteurs dopaminergiques D2 et D3 postsynaptiques</w:t>
      </w:r>
      <w:r>
        <w:t xml:space="preserve"> (famille Gi — inhibe l'adénylyl cyclase — voie indirecte, facilitateurs du mouvement via désinhibition thalamo-corticale). Le ropinirole a une affinité préférentielle pour les récepteurs </w:t>
      </w:r>
      <w:r>
        <w:rPr>
          <w:b/>
        </w:rPr>
        <w:t>D3</w:t>
      </w:r>
      <w:r>
        <w:t xml:space="preserve"> (Ki ≈ 1-5 nM) par rapport aux récepteurs D2 striataux (Ki ≈ 5-25 nM) — rapport D3/D2 ≈ 5-10. Cette préférence D3 explique :</w:t>
      </w:r>
    </w:p>
    <w:p>
      <w:pPr>
        <w:pStyle w:val="ListBullet"/>
      </w:pPr>
      <w:r>
        <w:t>L'efficacité sur les symptômes moteurs parkinsoniens (D2 striatale) — bien que moins puissant que la lévodopa sur l'akinésie sévère</w:t>
      </w:r>
    </w:p>
    <w:p>
      <w:pPr>
        <w:pStyle w:val="ListBullet"/>
      </w:pPr>
      <w:r>
        <w:t>L'efficacité supérieure aux autres agonistes sur les symptômes dépressifs associés (effet D3 limbique sur le système mésolimbique et mésocortical — motivation, émotion, cognition)</w:t>
      </w:r>
    </w:p>
    <w:p>
      <w:pPr>
        <w:pStyle w:val="ListBullet"/>
      </w:pPr>
      <w:r>
        <w:t>L'efficacité dans le syndrome des jambes sans repos (récepteurs D3 de la moelle épinière et du système nerveux central)</w:t>
      </w:r>
    </w:p>
    <w:p>
      <w:pPr>
        <w:pStyle w:val="ListBullet"/>
      </w:pPr>
      <w:r>
        <w:t>Le profil d'effets indésirables spécifiques : troubles du contrôle des impulsions (D3 mésolimbique), hypotension orthostatique (D3 vasculaire), hallucinations (D3 limbique)</w:t>
      </w:r>
    </w:p>
    <w:p>
      <w:pPr>
        <w:pStyle w:val="ListBullet"/>
      </w:pPr>
      <w:r/>
      <w:r>
        <w:rPr>
          <w:b/>
        </w:rPr>
        <w:t>Affinité nulle ou très faible pour D1, D4, D5</w:t>
      </w:r>
      <w:r>
        <w:t>, ainsi que pour les récepteurs sérotoninergiques (5-HT1A, 5-HT2A, 5-HT2B), adrénergiques (alpha-1, alpha-2, bêta), histaminergiques (H1), muscariniques (M1), opioïdes, benzodiazépines — ce qui explique l'absence relative d'effets indésirables liés à ces récepteurs (pas de fibrose — pas d'effet 5-HT2B comme les ergotés ; pas de sédation centrale — pas d'effet H1 ; pas d'hypotension marquée — pas d'effet alpha-1).</w:t>
      </w:r>
    </w:p>
    <w:p>
      <w:pPr>
        <w:pStyle w:val="ListBullet"/>
      </w:pPr>
      <w:r/>
      <w:r>
        <w:rPr>
          <w:b/>
        </w:rPr>
        <w:t>Indépendance vis-à-vis des terminaisons pré-synaptiques</w:t>
      </w:r>
      <w:r>
        <w:t xml:space="preserve"> : contrairement à la lévodopa qui nécessite d'être captée puis décarboxylée par les terminaisons dopaminergiques survivantes, le ropinirole agit directement sur les récepteurs postsynaptiques — son efficacité est donc préservée dans les stades avancés de la maladie où la perte neuronale est massive. Cette caractéristique explique pourquoi le ropinirole (et les autres agonistes) peuvent être utiles dans les stades avancés avec fluctuations sous lévodopa.</w:t>
      </w:r>
    </w:p>
    <w:p>
      <w:pPr>
        <w:pStyle w:val="ListBullet"/>
      </w:pPr>
      <w:r/>
      <w:r>
        <w:rPr>
          <w:b/>
        </w:rPr>
        <w:t>Demi-vie longue</w:t>
      </w:r>
      <w:r>
        <w:t xml:space="preserve"> (≈ 6 heures en forme LI, ≈ 6-10 heures en forme LP) — réduit les fluctuations motrices et permet une monoprise (forme LP) ou biprise (forme LI) quotidienne.</w:t>
      </w:r>
    </w:p>
    <w:p>
      <w:pPr>
        <w:pStyle w:val="ListBullet"/>
      </w:pPr>
      <w:r/>
      <w:r>
        <w:rPr>
          <w:b/>
        </w:rPr>
        <w:t>Complémentarité avec la lévodopa</w:t>
      </w:r>
      <w:r>
        <w:t xml:space="preserve"> : le ropinirole peut être utilisé en </w:t>
      </w:r>
      <w:r>
        <w:rPr>
          <w:b/>
        </w:rPr>
        <w:t>monothérapie de première intention</w:t>
      </w:r>
      <w:r>
        <w:t xml:space="preserve"> chez le sujet jeune (&lt; 60 ans), pour retarder l'introduction de la lévodopa et minimiser le risque de dyskinésies à long terme (bénéfice démontré dans plusieurs essais contrôlés — surtout dans les 5 premières années, mais la différence s'estompe à 10 ans). En </w:t>
      </w:r>
      <w:r>
        <w:rPr>
          <w:b/>
        </w:rPr>
        <w:t>association à la lévodopa</w:t>
      </w:r>
      <w:r>
        <w:t xml:space="preserve"> dans les stades avancés, il permet une réduction de 20-30 % de la dose de lévodopa et une amélioration des fluctuations motrices (réduction du temps « off » de 1-2 heures par jour).</w:t>
      </w:r>
    </w:p>
    <w:p>
      <w:r/>
      <w:r>
        <w:rPr>
          <w:b/>
        </w:rPr>
        <w:t>Profil Pharmacologique :</w:t>
      </w:r>
      <w:r/>
    </w:p>
    <w:p>
      <w:pPr>
        <w:pStyle w:val="ListBullet"/>
      </w:pPr>
      <w:r/>
      <w:r>
        <w:rPr>
          <w:b/>
        </w:rPr>
        <w:t>Indications</w:t>
      </w:r>
      <w:r>
        <w:t xml:space="preserve"> :</w:t>
      </w:r>
    </w:p>
    <w:p>
      <w:pPr>
        <w:pStyle w:val="ListBullet"/>
      </w:pPr>
      <w:r/>
      <w:r>
        <w:rPr>
          <w:b/>
        </w:rPr>
        <w:t>Maladie de Parkinson idiopathique</w:t>
      </w:r>
      <w:r>
        <w:t xml:space="preserve"> : traitement de première intention en monothérapie chez le sujet jeune (&lt; 60 ans) pour retarder l'introduction de la lévodopa ; ou en association à la lévodopa dans les stades avancés (fluctuations motrices — « wearing-off », phénomène « on-off »).</w:t>
      </w:r>
    </w:p>
    <w:p>
      <w:pPr>
        <w:pStyle w:val="ListBullet"/>
      </w:pPr>
      <w:r/>
      <w:r>
        <w:rPr>
          <w:b/>
        </w:rPr>
        <w:t>Syndrome des jambes sans repos (SJSR) idiopathique</w:t>
      </w:r>
      <w:r>
        <w:t xml:space="preserve"> : à dose réduite (0,25 à 4 mg/jour en prise unique 1-3 heures avant le coucher) — AMM spécifique pour cette indication. Forme LP non indiquée dans le SJSR (demi-vie trop longue avec risque d'effet résidnel diurne).</w:t>
      </w:r>
    </w:p>
    <w:p>
      <w:pPr>
        <w:pStyle w:val="ListBullet"/>
      </w:pPr>
      <w:r/>
      <w:r>
        <w:rPr>
          <w:b/>
        </w:rPr>
        <w:t>Hors AMM</w:t>
      </w:r>
      <w:r>
        <w:t xml:space="preserve"> : dépression parkinsonienne (effet D3 limbique — données positives mais non validées en AMM européenne ; le pramipexole a une AMM dans cette indication).</w:t>
      </w:r>
    </w:p>
    <w:p>
      <w:pPr>
        <w:pStyle w:val="ListBullet"/>
      </w:pPr>
      <w:r/>
      <w:r>
        <w:rPr>
          <w:b/>
        </w:rPr>
        <w:t>Contre-indications</w:t>
      </w:r>
      <w:r>
        <w:t xml:space="preserve"> :</w:t>
      </w:r>
    </w:p>
    <w:p>
      <w:pPr>
        <w:pStyle w:val="ListBullet"/>
      </w:pPr>
      <w:r/>
      <w:r>
        <w:rPr>
          <w:b/>
        </w:rPr>
        <w:t>Hypersensibilité au ropinirole ou à l'un des excipients</w:t>
      </w:r>
      <w:r/>
    </w:p>
    <w:p>
      <w:pPr>
        <w:pStyle w:val="ListBullet"/>
      </w:pPr>
      <w:r/>
      <w:r>
        <w:rPr>
          <w:b/>
        </w:rPr>
        <w:t>Insuffisance rénale sévère</w:t>
      </w:r>
      <w:r>
        <w:t xml:space="preserve"> (clairance de la créatinine &lt; 30 mL/min) : prudence — le ropinirole est métabolisé par le foie mais certains métabolites sont éliminés par le rein ; surveillance clinique et adaptation posologique (réduction de 25-50 %)</w:t>
      </w:r>
    </w:p>
    <w:p>
      <w:pPr>
        <w:pStyle w:val="ListBullet"/>
      </w:pPr>
      <w:r/>
      <w:r>
        <w:rPr>
          <w:b/>
        </w:rPr>
        <w:t>Insuffisance hépatique sévère</w:t>
      </w:r>
      <w:r>
        <w:t xml:space="preserve"> : CI relative — adaptation posologique (réduction de dose de 25-50 %, surveillance clinique et biologique)</w:t>
      </w:r>
    </w:p>
    <w:p>
      <w:pPr>
        <w:pStyle w:val="ListBullet"/>
      </w:pPr>
      <w:r/>
      <w:r>
        <w:rPr>
          <w:b/>
        </w:rPr>
        <w:t>Psychose non contrôlée</w:t>
      </w:r>
      <w:r>
        <w:t xml:space="preserve"> : la stimulation dopaminergique aggrave les symptômes psychotiques (effet D3 limbique) — CI relative ; la psychose parkinsonienne doit être traitée préalablement par clozapine ou quétiapine avant introduction du ropinirole</w:t>
      </w:r>
    </w:p>
    <w:p>
      <w:pPr>
        <w:pStyle w:val="ListBullet"/>
      </w:pPr>
      <w:r/>
      <w:r>
        <w:rPr>
          <w:b/>
        </w:rPr>
        <w:t>Grossesse</w:t>
      </w:r>
      <w:r>
        <w:t xml:space="preserve"> (selon CRAT) : à éviter par prudence (données animales évocatrices d'effet tératogène à doses élevées — voir section dédiée)</w:t>
      </w:r>
    </w:p>
    <w:p>
      <w:pPr>
        <w:pStyle w:val="ListBullet"/>
      </w:pPr>
      <w:r/>
      <w:r>
        <w:rPr>
          <w:b/>
        </w:rPr>
        <w:t>Allaitement</w:t>
      </w:r>
      <w:r>
        <w:t xml:space="preserve"> : CI absolue (inhibition de la lactation par effet D2 tubéro-infundibulaire)</w:t>
      </w:r>
    </w:p>
    <w:p>
      <w:pPr>
        <w:pStyle w:val="ListBullet"/>
      </w:pPr>
      <w:r/>
      <w:r>
        <w:rPr>
          <w:b/>
        </w:rPr>
        <w:t>Association aux neuroleptiques</w:t>
      </w:r>
      <w:r>
        <w:t xml:space="preserve"> (tous, sauf clozapine et quétiapine) : </w:t>
      </w:r>
      <w:r>
        <w:rPr>
          <w:b/>
        </w:rPr>
        <w:t>CI absolue</w:t>
      </w:r>
      <w:r>
        <w:t xml:space="preserve"> — antagonisme pharmacodynamique complet (le neuroleptique bloque le récepteur D2 postsynaptique, empêchant l'action du ropinirole). Risque d'aggravation brutale de l'akinésie, voire de syndrome malin parkinsonien.</w:t>
      </w:r>
    </w:p>
    <w:p>
      <w:pPr>
        <w:pStyle w:val="ListBullet"/>
      </w:pPr>
      <w:r/>
      <w:r>
        <w:rPr>
          <w:b/>
        </w:rPr>
        <w:t>Antécédents de troubles du contrôle des impulsions</w:t>
      </w:r>
      <w:r>
        <w:t xml:space="preserve"> (jeu pathologique, hypersexualité, troubles bipolaires avec impulsivité) : CI relative — le ropinirole majore significativement ce risque (incidence 15-20 %)</w:t>
      </w:r>
    </w:p>
    <w:p>
      <w:pPr>
        <w:pStyle w:val="ListBullet"/>
      </w:pPr>
      <w:r/>
      <w:r>
        <w:rPr>
          <w:b/>
        </w:rPr>
        <w:t>Conducteurs de véhicules</w:t>
      </w:r>
      <w:r>
        <w:t xml:space="preserve"> et professions à risque (travail en hauteur, machines dangereuses) : à évaluer individuellement en fonction de la somnolence diurne et des attaques de sommeil</w:t>
      </w:r>
    </w:p>
    <w:p>
      <w:pPr>
        <w:pStyle w:val="ListBullet"/>
      </w:pPr>
      <w:r/>
      <w:r>
        <w:rPr>
          <w:b/>
        </w:rPr>
        <w:t>Syndrome malin parkinsonien</w:t>
      </w:r>
      <w:r>
        <w:t xml:space="preserve"> : antécédent personnel</w:t>
      </w:r>
    </w:p>
    <w:p>
      <w:pPr>
        <w:pStyle w:val="ListBullet"/>
      </w:pPr>
      <w:r/>
      <w:r>
        <w:rPr>
          <w:b/>
        </w:rPr>
        <w:t>Forme LP chez l'enfant et l'adolescent &lt; 18 ans</w:t>
      </w:r>
      <w:r>
        <w:t xml:space="preserve"> : pas d'AMM</w:t>
      </w:r>
    </w:p>
    <w:p>
      <w:pPr>
        <w:pStyle w:val="ListBullet"/>
      </w:pPr>
      <w:r/>
      <w:r>
        <w:rPr>
          <w:b/>
        </w:rPr>
        <w:t>Effets Indésirables</w:t>
      </w:r>
      <w:r>
        <w:t xml:space="preserve"> :</w:t>
      </w:r>
    </w:p>
    <w:p>
      <w:pPr>
        <w:pStyle w:val="ListBullet"/>
      </w:pPr>
      <w:r/>
      <w:r>
        <w:rPr>
          <w:b/>
        </w:rPr>
        <w:t>Neurologiques</w:t>
      </w:r>
      <w:r>
        <w:t xml:space="preserve"> :</w:t>
      </w:r>
    </w:p>
    <w:p>
      <w:pPr>
        <w:pStyle w:val="ListBullet"/>
      </w:pPr>
      <w:r/>
      <w:r>
        <w:rPr>
          <w:b/>
        </w:rPr>
        <w:t>Somnolence diurne excessive</w:t>
      </w:r>
      <w:r>
        <w:t xml:space="preserve"> (incidence 30-40 % en initiation, puis 10-15 % en entretien) — parfois sévère, gênant la conduite automobile et les activités professionnelles</w:t>
      </w:r>
    </w:p>
    <w:p>
      <w:pPr>
        <w:pStyle w:val="ListBullet"/>
      </w:pPr>
      <w:r/>
      <w:r>
        <w:rPr>
          <w:b/>
        </w:rPr>
        <w:t>Attaques de sommeil</w:t>
      </w:r>
      <w:r>
        <w:t xml:space="preserve"> (sudden sleep attacks — incidence 5-10 %) : endormissement soudain sans prodrome, parfois au volant (plusieurs accidents mortels rapportés — ANSM 2002 et 2007 mise en garde et obligation d'information du patient). À distinguer de la somnolence progressive</w:t>
      </w:r>
    </w:p>
    <w:p>
      <w:pPr>
        <w:pStyle w:val="ListBullet"/>
      </w:pPr>
      <w:r/>
      <w:r>
        <w:rPr>
          <w:b/>
        </w:rPr>
        <w:t>Vertiges</w:t>
      </w:r>
      <w:r>
        <w:t>, céphalées, asthénie, fatigue</w:t>
      </w:r>
    </w:p>
    <w:p>
      <w:pPr>
        <w:pStyle w:val="ListBullet"/>
      </w:pPr>
      <w:r/>
      <w:r>
        <w:rPr>
          <w:b/>
        </w:rPr>
        <w:t>Syncope</w:t>
      </w:r>
      <w:r>
        <w:t xml:space="preserve"> (rare, liée à l'hypotension orthostatique)</w:t>
      </w:r>
    </w:p>
    <w:p>
      <w:pPr>
        <w:pStyle w:val="ListBullet"/>
      </w:pPr>
      <w:r/>
      <w:r>
        <w:rPr>
          <w:b/>
        </w:rPr>
        <w:t>Psychiatriques (gravité maximale — à surveiller impérativement)</w:t>
      </w:r>
      <w:r>
        <w:t xml:space="preserve"> :</w:t>
      </w:r>
    </w:p>
    <w:p>
      <w:pPr>
        <w:pStyle w:val="ListBullet"/>
      </w:pPr>
      <w:r/>
      <w:r>
        <w:rPr>
          <w:b/>
        </w:rPr>
        <w:t>Troubles du contrôle des impulsions</w:t>
      </w:r>
      <w:r>
        <w:t xml:space="preserve"> (TCI — incidence 15-20 %, surtout en cas d'association à la lévodopa ou de doses élevées) : </w:t>
      </w:r>
      <w:r>
        <w:rPr>
          <w:b/>
        </w:rPr>
        <w:t>jeu pathologique</w:t>
      </w:r>
      <w:r>
        <w:t xml:space="preserve"> (incidence 5-7 %), </w:t>
      </w:r>
      <w:r>
        <w:rPr>
          <w:b/>
        </w:rPr>
        <w:t>hypersexualité</w:t>
      </w:r>
      <w:r>
        <w:t xml:space="preserve"> (incidence 3-5 %), </w:t>
      </w:r>
      <w:r>
        <w:rPr>
          <w:b/>
        </w:rPr>
        <w:t>achats compulsifs</w:t>
      </w:r>
      <w:r>
        <w:t xml:space="preserve"> (incidence 4-6 %), </w:t>
      </w:r>
      <w:r>
        <w:rPr>
          <w:b/>
        </w:rPr>
        <w:t>hyperphagie</w:t>
      </w:r>
      <w:r>
        <w:t xml:space="preserve"> (incidence 2-4 %), </w:t>
      </w:r>
      <w:r>
        <w:rPr>
          <w:b/>
        </w:rPr>
        <w:t>punding</w:t>
      </w:r>
      <w:r>
        <w:t xml:space="preserve"> (activité répétitive stéréotypée non finalisée, incidence 1-3 %). Ces troubles peuvent être dévastateurs socialement et financièrement ; information particulière à l'entourage, recherche systématique à chaque consultation. ANSM 2009 et FDA 2012 (black box warning). Le mécanisme est l'effet D3 mésolimbique sur la voie de la récompense (désinhibition du circuit dopaminergique mésolimbique = "reward pathway").</w:t>
      </w:r>
    </w:p>
    <w:p>
      <w:pPr>
        <w:pStyle w:val="ListBullet"/>
      </w:pPr>
      <w:r/>
      <w:r>
        <w:rPr>
          <w:b/>
        </w:rPr>
        <w:t>Hallucinations</w:t>
      </w:r>
      <w:r>
        <w:t xml:space="preserve"> (incidence 10-20 %, surtout visuelles, parfois auditives — incidence majorée chez le sujet âgé ou en cas de démence émergente)</w:t>
      </w:r>
    </w:p>
    <w:p>
      <w:pPr>
        <w:pStyle w:val="ListBullet"/>
      </w:pPr>
      <w:r/>
      <w:r>
        <w:rPr>
          <w:b/>
        </w:rPr>
        <w:t>Idées délirantes</w:t>
      </w:r>
      <w:r>
        <w:t xml:space="preserve"> (incidence 3-5 %, surtout paranoides)</w:t>
      </w:r>
    </w:p>
    <w:p>
      <w:pPr>
        <w:pStyle w:val="ListBullet"/>
      </w:pPr>
      <w:r/>
      <w:r>
        <w:rPr>
          <w:b/>
        </w:rPr>
        <w:t>Confusion mentale</w:t>
      </w:r>
      <w:r>
        <w:t xml:space="preserve"> (surtout sujet âgé)</w:t>
      </w:r>
    </w:p>
    <w:p>
      <w:pPr>
        <w:pStyle w:val="ListBullet"/>
      </w:pPr>
      <w:r/>
      <w:r>
        <w:rPr>
          <w:b/>
        </w:rPr>
        <w:t>Rêves anxieux, cauchemars</w:t>
      </w:r>
      <w:r>
        <w:t>, troubles du sommeil paradoxal (RBD — REM sleep behavior disorder)</w:t>
      </w:r>
    </w:p>
    <w:p>
      <w:pPr>
        <w:pStyle w:val="ListBullet"/>
      </w:pPr>
      <w:r/>
      <w:r>
        <w:rPr>
          <w:b/>
        </w:rPr>
        <w:t>Manie, hypomanie</w:t>
      </w:r>
      <w:r>
        <w:t xml:space="preserve"> (rare, en cas de surdosage)</w:t>
      </w:r>
    </w:p>
    <w:p>
      <w:pPr>
        <w:pStyle w:val="ListBullet"/>
      </w:pPr>
      <w:r/>
      <w:r>
        <w:rPr>
          <w:b/>
        </w:rPr>
        <w:t>Anxiété, agitation</w:t>
      </w:r>
      <w:r>
        <w:t xml:space="preserve"> (parfois en initiation)</w:t>
      </w:r>
    </w:p>
    <w:p>
      <w:pPr>
        <w:pStyle w:val="ListBullet"/>
      </w:pPr>
      <w:r/>
      <w:r>
        <w:rPr>
          <w:b/>
        </w:rPr>
        <w:t>Dépression paradoxale</w:t>
      </w:r>
      <w:r>
        <w:t xml:space="preserve"> (rare, en cas d'arrêt brutal)</w:t>
      </w:r>
    </w:p>
    <w:p>
      <w:pPr>
        <w:pStyle w:val="ListBullet"/>
      </w:pPr>
      <w:r/>
      <w:r>
        <w:rPr>
          <w:b/>
        </w:rPr>
        <w:t>Cardiovasculaires</w:t>
      </w:r>
      <w:r>
        <w:t xml:space="preserve"> :</w:t>
      </w:r>
    </w:p>
    <w:p>
      <w:pPr>
        <w:pStyle w:val="ListBullet"/>
      </w:pPr>
      <w:r/>
      <w:r>
        <w:rPr>
          <w:b/>
        </w:rPr>
        <w:t>Hypotension orthostatique</w:t>
      </w:r>
      <w:r>
        <w:t xml:space="preserve"> (incidence 20-30 % en initiation, puis 5-10 % en entretien) — liée à la stimulation des récepteurs D3 vasculaires (effet vasodilatateur) ; surveillance TA debout et couchée à l'initiation et à chaque palier</w:t>
      </w:r>
    </w:p>
    <w:p>
      <w:pPr>
        <w:pStyle w:val="ListBullet"/>
      </w:pPr>
      <w:r/>
      <w:r>
        <w:rPr>
          <w:b/>
        </w:rPr>
        <w:t>Tachycardie réflexe</w:t>
      </w:r>
      <w:r>
        <w:t>, palpitations</w:t>
      </w:r>
    </w:p>
    <w:p>
      <w:pPr>
        <w:pStyle w:val="ListBullet"/>
      </w:pPr>
      <w:r/>
      <w:r>
        <w:rPr>
          <w:b/>
        </w:rPr>
        <w:t>Allongement QTc</w:t>
      </w:r>
      <w:r>
        <w:t xml:space="preserve"> (rare, à surveiller en cas d'association à d'autres allongeurs QT)</w:t>
      </w:r>
    </w:p>
    <w:p>
      <w:pPr>
        <w:pStyle w:val="ListBullet"/>
      </w:pPr>
      <w:r/>
      <w:r>
        <w:rPr>
          <w:b/>
        </w:rPr>
        <w:t>Digestifs</w:t>
      </w:r>
      <w:r>
        <w:t xml:space="preserve"> :</w:t>
      </w:r>
    </w:p>
    <w:p>
      <w:pPr>
        <w:pStyle w:val="ListBullet"/>
      </w:pPr>
      <w:r/>
      <w:r>
        <w:rPr>
          <w:b/>
        </w:rPr>
        <w:t>Nausées et vomissements</w:t>
      </w:r>
      <w:r>
        <w:t xml:space="preserve"> (incidence 30-40 % en initiation, puis tolérance en 2-4 semaines) — liés à la stimulation des récepteurs D2 de la zone post-rémoie chimio-sensible (area postrema)</w:t>
      </w:r>
    </w:p>
    <w:p>
      <w:pPr>
        <w:pStyle w:val="ListBullet"/>
      </w:pPr>
      <w:r>
        <w:t>Douleurs abdominales, dyspepsie, constipation ou diarrhée, sécheresse buccale</w:t>
      </w:r>
    </w:p>
    <w:p>
      <w:pPr>
        <w:pStyle w:val="ListBullet"/>
      </w:pPr>
      <w:r/>
      <w:r>
        <w:rPr>
          <w:b/>
        </w:rPr>
        <w:t>Vasculaires</w:t>
      </w:r>
      <w:r>
        <w:t xml:space="preserve"> :</w:t>
      </w:r>
    </w:p>
    <w:p>
      <w:pPr>
        <w:pStyle w:val="ListBullet"/>
      </w:pPr>
      <w:r/>
      <w:r>
        <w:rPr>
          <w:b/>
        </w:rPr>
        <w:t>Œdèmes des membres inférieurs</w:t>
      </w:r>
      <w:r>
        <w:t xml:space="preserve"> (incidence 5-15 %, surtout en cas de doses élevées et de longue durée) — mécanisme mal élucidé (D3 vasculaire ou rénal ?) ; à distinguer de l'insuffisance cardiaque (le ropinirole n'est pas cardiotoxique à proprement parler)</w:t>
      </w:r>
    </w:p>
    <w:p>
      <w:pPr>
        <w:pStyle w:val="ListBullet"/>
      </w:pPr>
      <w:r/>
      <w:r>
        <w:rPr>
          <w:b/>
        </w:rPr>
        <w:t>Érythromélalgie</w:t>
      </w:r>
      <w:r>
        <w:t xml:space="preserve"> (rare, rougeur douloureuse des extrémités — mécanisme vasculaire D3)</w:t>
      </w:r>
    </w:p>
    <w:p>
      <w:pPr>
        <w:pStyle w:val="ListBullet"/>
      </w:pPr>
      <w:r/>
      <w:r>
        <w:rPr>
          <w:b/>
        </w:rPr>
        <w:t>Raynaud</w:t>
      </w:r>
      <w:r>
        <w:t xml:space="preserve"> (rare, aggravation d'un Raynaud préexistant)</w:t>
      </w:r>
    </w:p>
    <w:p>
      <w:pPr>
        <w:pStyle w:val="ListBullet"/>
      </w:pPr>
      <w:r/>
      <w:r>
        <w:rPr>
          <w:b/>
        </w:rPr>
        <w:t>Cutanés</w:t>
      </w:r>
      <w:r>
        <w:t xml:space="preserve"> :</w:t>
      </w:r>
    </w:p>
    <w:p>
      <w:pPr>
        <w:pStyle w:val="ListBullet"/>
      </w:pPr>
      <w:r/>
      <w:r>
        <w:rPr>
          <w:b/>
        </w:rPr>
        <w:t>Rash cutané</w:t>
      </w:r>
      <w:r>
        <w:t xml:space="preserve">, prurit, </w:t>
      </w:r>
      <w:r>
        <w:rPr>
          <w:b/>
        </w:rPr>
        <w:t>sudation excessive</w:t>
      </w:r>
      <w:r>
        <w:t xml:space="preserve"> (surtout pendant les périodes « off »)</w:t>
      </w:r>
    </w:p>
    <w:p>
      <w:pPr>
        <w:pStyle w:val="ListBullet"/>
      </w:pPr>
      <w:r>
        <w:t>Pas de risque de fibrose (contrairement aux ergotés)</w:t>
      </w:r>
    </w:p>
    <w:p>
      <w:pPr>
        <w:pStyle w:val="ListBullet"/>
      </w:pPr>
      <w:r/>
      <w:r>
        <w:rPr>
          <w:b/>
        </w:rPr>
        <w:t>Endocriniens</w:t>
      </w:r>
      <w:r>
        <w:t xml:space="preserve"> :</w:t>
      </w:r>
    </w:p>
    <w:p>
      <w:pPr>
        <w:pStyle w:val="ListBullet"/>
      </w:pPr>
      <w:r/>
      <w:r>
        <w:rPr>
          <w:b/>
        </w:rPr>
        <w:t>Hyperprolactinémie paradoxale</w:t>
      </w:r>
      <w:r>
        <w:t xml:space="preserve"> (non — le ropinirole, comme tous les agonistes D2, diminue la prolactine par effet D2 tubéro-infundibulaire ; chez les patientes non ménopausées, risque d'aménorrhée et d'infertilité par inhibition de la prolactine)</w:t>
      </w:r>
    </w:p>
    <w:p>
      <w:pPr>
        <w:pStyle w:val="ListBullet"/>
      </w:pPr>
      <w:r/>
      <w:r>
        <w:rPr>
          <w:b/>
        </w:rPr>
        <w:t>Respiratoires</w:t>
      </w:r>
      <w:r>
        <w:t xml:space="preserve"> :</w:t>
      </w:r>
    </w:p>
    <w:p>
      <w:pPr>
        <w:pStyle w:val="ListBullet"/>
      </w:pPr>
      <w:r/>
      <w:r>
        <w:rPr>
          <w:b/>
        </w:rPr>
        <w:t>Dyspnée</w:t>
      </w:r>
      <w:r>
        <w:t xml:space="preserve"> (rare)</w:t>
      </w:r>
    </w:p>
    <w:p>
      <w:pPr>
        <w:pStyle w:val="ListBullet"/>
      </w:pPr>
      <w:r/>
      <w:r>
        <w:rPr>
          <w:b/>
        </w:rPr>
        <w:t>Pneumopathie d'inhalation</w:t>
      </w:r>
      <w:r>
        <w:t xml:space="preserve"> (rare, en cas de troubles de la déglutition parkinsoniens associés)</w:t>
      </w:r>
    </w:p>
    <w:p>
      <w:pPr>
        <w:pStyle w:val="ListBullet"/>
      </w:pPr>
      <w:r/>
      <w:r>
        <w:rPr>
          <w:b/>
        </w:rPr>
        <w:t>Syndrome malin parkinsonien</w:t>
      </w:r>
      <w:r>
        <w:t xml:space="preserve"> : rare sous ropinirole seul mais possible (surtout à l'arrêt brutal ou en association à un neuroleptique)</w:t>
      </w:r>
    </w:p>
    <w:p>
      <w:pPr>
        <w:pStyle w:val="ListBullet"/>
      </w:pPr>
      <w:r/>
      <w:r>
        <w:rPr>
          <w:b/>
        </w:rPr>
        <w:t>Effets de sevrage</w:t>
      </w:r>
      <w:r>
        <w:t xml:space="preserve"> (à l'arrêt) :</w:t>
      </w:r>
    </w:p>
    <w:p>
      <w:pPr>
        <w:pStyle w:val="ListBullet"/>
      </w:pPr>
      <w:r/>
      <w:r>
        <w:rPr>
          <w:b/>
        </w:rPr>
        <w:t>Syndrome de sevrage aux agonistes dopaminergiques</w:t>
      </w:r>
      <w:r>
        <w:t xml:space="preserve"> (DAWS — Dopamine Agonist Withdrawal Syndrome) : anxiété, panique, dépression, agitation, irritabilité, fatigue, douleurs diffuses, hypotension, parfois résistant sur plusieurs mois — à gérer par décroissance lente sur plusieurs semaines à mois</w:t>
      </w:r>
    </w:p>
    <w:p>
      <w:pPr>
        <w:pStyle w:val="ListBullet"/>
      </w:pPr>
      <w:r/>
      <w:r>
        <w:rPr>
          <w:b/>
        </w:rPr>
        <w:t>Biologiques</w:t>
      </w:r>
      <w:r>
        <w:t xml:space="preserve"> :</w:t>
      </w:r>
    </w:p>
    <w:p>
      <w:pPr>
        <w:pStyle w:val="ListBullet"/>
      </w:pPr>
      <w:r>
        <w:t>Pas d'effet hématologique notable (contrairement à la clozapine)</w:t>
      </w:r>
    </w:p>
    <w:p>
      <w:pPr>
        <w:pStyle w:val="ListBullet"/>
      </w:pPr>
      <w:r>
        <w:t>Pas d'effet hépatique notable</w:t>
      </w:r>
    </w:p>
    <w:p>
      <w:r/>
      <w:r>
        <w:rPr>
          <w:b/>
        </w:rPr>
        <w:t>Prévention et Gestion des Effets Indésirables :</w:t>
      </w:r>
      <w:r/>
    </w:p>
    <w:p>
      <w:pPr>
        <w:pStyle w:val="ListBullet"/>
      </w:pPr>
      <w:r/>
      <w:r>
        <w:rPr>
          <w:b/>
        </w:rPr>
        <w:t>Mesures Préventives</w:t>
      </w:r>
      <w:r>
        <w:t xml:space="preserve"> :</w:t>
      </w:r>
    </w:p>
    <w:p>
      <w:pPr>
        <w:pStyle w:val="ListBullet"/>
      </w:pPr>
      <w:r/>
      <w:r>
        <w:rPr>
          <w:b/>
        </w:rPr>
        <w:t>Titration initiale très lente</w:t>
      </w:r>
      <w:r>
        <w:t xml:space="preserve"> sur 4-8 semaines : commencer par 0,25 mg × 3/jour (LI) pendant 1 semaine, puis 0,5 mg × 3/jour la 2e semaine, puis 1 mg × 3/jour la 3e semaine, puis augmentation par paliers de 0,5-1 mg/jour chaque semaine jusqu'à dose efficace (généralement 3-9 mg/jour en LI en 3 prises, ou 4-12 mg/jour en LP en 1 prise)</w:t>
      </w:r>
    </w:p>
    <w:p>
      <w:pPr>
        <w:pStyle w:val="ListBullet"/>
      </w:pPr>
      <w:r/>
      <w:r>
        <w:rPr>
          <w:b/>
        </w:rPr>
        <w:t>Prise pendant les repas</w:t>
      </w:r>
      <w:r>
        <w:t xml:space="preserve"> en initiation (pour réduire les nausées)</w:t>
      </w:r>
    </w:p>
    <w:p>
      <w:pPr>
        <w:pStyle w:val="ListBullet"/>
      </w:pPr>
      <w:r/>
      <w:r>
        <w:rPr>
          <w:b/>
        </w:rPr>
        <w:t>Surveillance de la tension artérielle</w:t>
      </w:r>
      <w:r>
        <w:t xml:space="preserve"> (TA debout et couchée) à l'initiation et à chaque palier — surtout chez le sujet âgé et en cas d'antécédents cardiovasculaires</w:t>
      </w:r>
    </w:p>
    <w:p>
      <w:pPr>
        <w:pStyle w:val="ListBullet"/>
      </w:pPr>
      <w:r/>
      <w:r>
        <w:rPr>
          <w:b/>
        </w:rPr>
        <w:t>Information patient sur la somnolence et le risque d'attaques de sommeil</w:t>
      </w:r>
      <w:r>
        <w:t xml:space="preserve"> : « ne pas conduire tant que la dose n'est pas stabilisée ; être attentif aux signes précurseurs (somnolence progressive, bâillements, vision floue) ; en cas d'attaque de sommeil, arrêter immédiatement de conduire et contacter le neurologue »</w:t>
      </w:r>
    </w:p>
    <w:p>
      <w:pPr>
        <w:pStyle w:val="ListBullet"/>
      </w:pPr>
      <w:r/>
      <w:r>
        <w:rPr>
          <w:b/>
        </w:rPr>
        <w:t>Information patient et entourage sur les troubles du contrôle des impulsions</w:t>
      </w:r>
      <w:r>
        <w:t xml:space="preserve"> : interrogation systématique à chaque consultation sur le jeu pathologique (Loterie, courses, casinos), l'hypersexualité, les achats compulsifs, l'hyperphagie ; information particulière à l'entourage (conjoint, enfants) qui sont souvent les premiers à repérer le trouble ; questionnaires validés (QUIP — Questionnaire for Impulsive-Compulsive Disorders in Parkinson's Disease)</w:t>
      </w:r>
    </w:p>
    <w:p>
      <w:pPr>
        <w:pStyle w:val="ListBullet"/>
      </w:pPr>
      <w:r/>
      <w:r>
        <w:rPr>
          <w:b/>
        </w:rPr>
        <w:t>Surveillance psychiatrique</w:t>
      </w:r>
      <w:r>
        <w:t xml:space="preserve"> : interrogation systématique sur l'apparition d'hallucinations, idées délirantes, troubles du sommeil paradoxal, surtout chez le sujet âgé et en cas de démence émergente</w:t>
      </w:r>
    </w:p>
    <w:p>
      <w:pPr>
        <w:pStyle w:val="ListBullet"/>
      </w:pPr>
      <w:r/>
      <w:r>
        <w:rPr>
          <w:b/>
        </w:rPr>
        <w:t>Surveillance des œdèmes des membres inférieurs</w:t>
      </w:r>
      <w:r>
        <w:t xml:space="preserve"> : examen clinique régulier, recherche de prise de poids rapide</w:t>
      </w:r>
    </w:p>
    <w:p>
      <w:pPr>
        <w:pStyle w:val="ListBullet"/>
      </w:pPr>
      <w:r/>
      <w:r>
        <w:rPr>
          <w:b/>
        </w:rPr>
        <w:t>Bilan pré-thérapeutique</w:t>
      </w:r>
      <w:r>
        <w:t xml:space="preserve"> : ECG (sujet âgé ou ATCD cardiaque), TA debout et couchée, glycémie à jeun, créatininémie, transaminases, évaluation cognitive (MMSE, MoCA — surtout sujet âgé)</w:t>
      </w:r>
    </w:p>
    <w:p>
      <w:pPr>
        <w:pStyle w:val="ListBullet"/>
      </w:pPr>
      <w:r/>
      <w:r>
        <w:rPr>
          <w:b/>
        </w:rPr>
        <w:t>Éviter l'arrêt brutal</w:t>
      </w:r>
      <w:r>
        <w:t xml:space="preserve"> : tout sevrage doit être progressif (réduction de 25 % tous les 7-14 jours) en milieu spécialisé, pour éviter le DAWS et le syndrome malin parkinsonien</w:t>
      </w:r>
    </w:p>
    <w:p>
      <w:pPr>
        <w:pStyle w:val="ListBullet"/>
      </w:pPr>
      <w:r/>
      <w:r>
        <w:rPr>
          <w:b/>
        </w:rPr>
        <w:t>Éviter les associations à risque</w:t>
      </w:r>
      <w:r>
        <w:t xml:space="preserve"> : neuroleptiques (CI absolue sauf clozapine, quétiapine), IMAO non sélectifs (CI absolue), alcool (potentialisation de la somnolence), opioïdes (potentialisation de la somnolence), benzodiazépines (potentialisation de la somnolence), autres dopaminergiques (lévodopa — adapter les doses)</w:t>
      </w:r>
    </w:p>
    <w:p>
      <w:pPr>
        <w:pStyle w:val="ListBullet"/>
      </w:pPr>
      <w:r/>
      <w:r>
        <w:rPr>
          <w:b/>
        </w:rPr>
        <w:t>Conduite à Tenir</w:t>
      </w:r>
      <w:r>
        <w:t xml:space="preserve"> :</w:t>
      </w:r>
    </w:p>
    <w:p>
      <w:pPr>
        <w:pStyle w:val="ListBullet"/>
      </w:pPr>
      <w:r/>
      <w:r>
        <w:rPr>
          <w:b/>
        </w:rPr>
        <w:t>Somnolence diurne excessive</w:t>
      </w:r>
      <w:r>
        <w:t xml:space="preserve"> : réduire la dose du ropinirole de 25-50 %, envisager switch vers pramipexole (qui a un profil de somnolence parfois différent), prudence avec la conduite automobile</w:t>
      </w:r>
    </w:p>
    <w:p>
      <w:pPr>
        <w:pStyle w:val="ListBullet"/>
      </w:pPr>
      <w:r/>
      <w:r>
        <w:rPr>
          <w:b/>
        </w:rPr>
        <w:t>Attaque de sommeil</w:t>
      </w:r>
      <w:r>
        <w:t xml:space="preserve"> : arrêt immédiat de la conduite automobile, contact neurologue en urgence, réduction de dose ou switch vers pramipexole ou lévodopa</w:t>
      </w:r>
    </w:p>
    <w:p>
      <w:pPr>
        <w:pStyle w:val="ListBullet"/>
      </w:pPr>
      <w:r/>
      <w:r>
        <w:rPr>
          <w:b/>
        </w:rPr>
        <w:t>Troubles du contrôle des impulsions</w:t>
      </w:r>
      <w:r>
        <w:t xml:space="preserve"> (TCI) : interrogation systématique (jeu pathologique, hypersexualité, achats compulsifs, hyperphagie, punding) ; réduction de dose de 50-75 %, voire arrêt progressif si sévère ; maintien de la lévodopa à dose minimale efficace ; prise en charge psychiatrique et psychothérapeutique (TCC — thérapie cognitivo-comportementale) ; information à l'entourage ; mesures de protection financière (blocage des comptes, tutelle si nécessaire)</w:t>
      </w:r>
    </w:p>
    <w:p>
      <w:pPr>
        <w:pStyle w:val="ListBullet"/>
      </w:pPr>
      <w:r/>
      <w:r>
        <w:rPr>
          <w:b/>
        </w:rPr>
        <w:t>Hallucinations bénignes</w:t>
      </w:r>
      <w:r>
        <w:t xml:space="preserve"> (le patient en a conscience, pas d'anxiété) : ne pas modifier la dose, informer le patient et l'entourage, surveillance</w:t>
      </w:r>
    </w:p>
    <w:p>
      <w:pPr>
        <w:pStyle w:val="ListBullet"/>
      </w:pPr>
      <w:r/>
      <w:r>
        <w:rPr>
          <w:b/>
        </w:rPr>
        <w:t>Hallucinations anxieuses ou délirantes</w:t>
      </w:r>
      <w:r>
        <w:t xml:space="preserve"> : réduire la dose de ropinirole de 25-50 %, envisager switch vers clozapine ou quétiapine pour la composante psychotique (à dose minimale efficace, surveillance de la somnolence additive)</w:t>
      </w:r>
    </w:p>
    <w:p>
      <w:pPr>
        <w:pStyle w:val="ListBullet"/>
      </w:pPr>
      <w:r/>
      <w:r>
        <w:rPr>
          <w:b/>
        </w:rPr>
        <w:t>Hypotension orthostatique symptomatique</w:t>
      </w:r>
      <w:r>
        <w:t xml:space="preserve"> : augmentation de l'apport hydrosodé (1,5-2 L/jour), bas de contention, lever progressif (3 temps), fractionner les doses, éviter les vasodilatateurs associés, si persistant : fludrocortisone 0,1 mg/j ou midodrine</w:t>
      </w:r>
    </w:p>
    <w:p>
      <w:pPr>
        <w:pStyle w:val="ListBullet"/>
      </w:pPr>
      <w:r/>
      <w:r>
        <w:rPr>
          <w:b/>
        </w:rPr>
        <w:t>Œdèmes des membres inférieurs</w:t>
      </w:r>
      <w:r>
        <w:t xml:space="preserve"> : réduire la dose, bas de contention, surveillance du poids, diurétique si nécessaire (avec prudence — risque d'aggravation de l'hypotension), éliminer une insuffisance cardiaque</w:t>
      </w:r>
    </w:p>
    <w:p>
      <w:pPr>
        <w:pStyle w:val="ListBullet"/>
      </w:pPr>
      <w:r/>
      <w:r>
        <w:rPr>
          <w:b/>
        </w:rPr>
        <w:t>Nausées modérées</w:t>
      </w:r>
      <w:r>
        <w:t xml:space="preserve"> : prendre pendant le repas, fractionner les doses, prescrire un antiémétique non neuroleptique (dompéridone 10 mg avant chaque prise — </w:t>
      </w:r>
      <w:r>
        <w:rPr>
          <w:b/>
        </w:rPr>
        <w:t>MOTILIUM disponible en Algérie</w:t>
      </w:r>
      <w:r>
        <w:t>)</w:t>
      </w:r>
    </w:p>
    <w:p>
      <w:pPr>
        <w:pStyle w:val="ListBullet"/>
      </w:pPr>
      <w:r/>
      <w:r>
        <w:rPr>
          <w:b/>
        </w:rPr>
        <w:t>DAWS (syndrome de sevrage)</w:t>
      </w:r>
      <w:r>
        <w:t xml:space="preserve"> : décroissance très lente sur plusieurs semaines à mois, prise en charge psychiatrique (antidépresseurs si nécessaire — mais attention aux interactions avec les IMAO), soutien psychothérapeutique</w:t>
      </w:r>
    </w:p>
    <w:p>
      <w:r/>
      <w:r>
        <w:rPr>
          <w:b/>
        </w:rPr>
        <w:t>Interactions Importantes :</w:t>
      </w:r>
      <w:r/>
    </w:p>
    <w:p>
      <w:pPr>
        <w:pStyle w:val="ListBullet"/>
      </w:pPr>
      <w:r/>
      <w:r>
        <w:rPr>
          <w:b/>
        </w:rPr>
        <w:t>Ropinirole + neuroleptiques</w:t>
      </w:r>
      <w:r>
        <w:t xml:space="preserve"> (tous, sauf clozapine et quétiapine) : </w:t>
      </w:r>
      <w:r>
        <w:rPr>
          <w:b/>
        </w:rPr>
        <w:t>CI absolue</w:t>
      </w:r>
      <w:r>
        <w:t xml:space="preserve"> — antagonisme pharmacodynamique complet au niveau des récepteurs D2 centraux. Le neuroleptique bloque le récepteur D2 postsynaptique, empêchant l'action du ropinirole. Risque d'aggravation brutale de l'akinésie, voire de syndrome malin parkinsonien.</w:t>
      </w:r>
    </w:p>
    <w:p>
      <w:pPr>
        <w:pStyle w:val="ListBullet"/>
      </w:pPr>
      <w:r/>
      <w:r>
        <w:rPr>
          <w:b/>
        </w:rPr>
        <w:t>Ropinirole + inhibiteurs CYP1A2</w:t>
      </w:r>
      <w:r>
        <w:t xml:space="preserve"> (fluvoxamine ≥ 100 mg/j, ciprofloxacine, énoxacine, mexilétine, oméprazole forte dose, caféine forte dose) : </w:t>
      </w:r>
      <w:r>
        <w:rPr>
          <w:b/>
        </w:rPr>
        <w:t>augmentation des taux plasmatiques de ropinirole</w:t>
      </w:r>
      <w:r>
        <w:t xml:space="preserve"> (jusqu'à × 2-3 pour la ciprofloxacine à 500 mg × 2/jour, et × 2-6 pour la fluvoxamine à 100-200 mg/jour). Réduction de la dose de ropinirole de 50-75 % à l'introduction de l'inhibiteur, surveillance clinique de la tolérance (somnolence, nausées, hypotension).</w:t>
      </w:r>
    </w:p>
    <w:p>
      <w:pPr>
        <w:pStyle w:val="ListBullet"/>
      </w:pPr>
      <w:r/>
      <w:r>
        <w:rPr>
          <w:b/>
        </w:rPr>
        <w:t>Ropinirole + inducteurs CYP1A2</w:t>
      </w:r>
      <w:r>
        <w:t xml:space="preserve"> (tabac, rifampicine, phénytoïne, carbamazépine, phénobarbital, omeprazole chronique à forte dose) : </w:t>
      </w:r>
      <w:r>
        <w:rPr>
          <w:b/>
        </w:rPr>
        <w:t>diminution des taux plasmatiques de ropinirole</w:t>
      </w:r>
      <w:r>
        <w:t xml:space="preserve"> (jusqu'à -50 % chez le fumeur actif) → inefficacité possible ; surveiller en cas d'arrêt du tabac (qui peut faire monter le ropinirole et conduire à une intoxication — somnolence, nausées, hypotension).</w:t>
      </w:r>
    </w:p>
    <w:p>
      <w:pPr>
        <w:pStyle w:val="ListBullet"/>
      </w:pPr>
      <w:r/>
      <w:r>
        <w:rPr>
          <w:b/>
        </w:rPr>
        <w:t>Ropinirole + oestrogènes</w:t>
      </w:r>
      <w:r>
        <w:t xml:space="preserve"> (contraception orale, hormonothérapie substitutive) : </w:t>
      </w:r>
      <w:r>
        <w:rPr>
          <w:b/>
        </w:rPr>
        <w:t>augmentation des taux plasmatiques de ropinirole</w:t>
      </w:r>
      <w:r>
        <w:t xml:space="preserve"> (les oestrogènes inhibent le CYP1A2) — prudence à l'introduction et à l'arrêt des oestrogènes, ajustement de dose.</w:t>
      </w:r>
    </w:p>
    <w:p>
      <w:pPr>
        <w:pStyle w:val="ListBullet"/>
      </w:pPr>
      <w:r/>
      <w:r>
        <w:rPr>
          <w:b/>
        </w:rPr>
        <w:t>Ropinirole + lévodopa</w:t>
      </w:r>
      <w:r>
        <w:t xml:space="preserve"> : pas d'interaction pharmacocinétique, mais effet pharmacodynamique additif (potentialisation de l'effet antiparkinsonien et des effets indésirables dopaminergiques — dyskinésies, hallucinations, hypotension). Adapter les doses (réduction de la lévodopa de 20-30 % à l'introduction du ropinirole).</w:t>
      </w:r>
    </w:p>
    <w:p>
      <w:pPr>
        <w:pStyle w:val="ListBullet"/>
      </w:pPr>
      <w:r/>
      <w:r>
        <w:rPr>
          <w:b/>
        </w:rPr>
        <w:t>Ropinirole + autres dopaminergiques</w:t>
      </w:r>
      <w:r>
        <w:t xml:space="preserve"> (pramipexole, rotigotine, bromocriptine, apomorphine) : pas d'association (doublon thérapeutique) — choix d'un seul agoniste.</w:t>
      </w:r>
    </w:p>
    <w:p>
      <w:pPr>
        <w:pStyle w:val="ListBullet"/>
      </w:pPr>
      <w:r/>
      <w:r>
        <w:rPr>
          <w:b/>
        </w:rPr>
        <w:t>Ropinirole + IMAO non sélectif</w:t>
      </w:r>
      <w:r>
        <w:t xml:space="preserve"> (iproniazide) : CI absolue — risque d'hypertension artérielle paroxystique (comme avec la lévodopa).</w:t>
      </w:r>
    </w:p>
    <w:p>
      <w:pPr>
        <w:pStyle w:val="ListBullet"/>
      </w:pPr>
      <w:r/>
      <w:r>
        <w:rPr>
          <w:b/>
        </w:rPr>
        <w:t>Ropinirole + IMAO-B sélectif</w:t>
      </w:r>
      <w:r>
        <w:t xml:space="preserve"> (sélégiline, rasagiline) : autorisé — association utile dans les stades avancés pour prolonger l'effet dopaminergique.</w:t>
      </w:r>
    </w:p>
    <w:p>
      <w:pPr>
        <w:pStyle w:val="ListBullet"/>
      </w:pPr>
      <w:r/>
      <w:r>
        <w:rPr>
          <w:b/>
        </w:rPr>
        <w:t>Ropinirole + antidépresseurs</w:t>
      </w:r>
      <w:r>
        <w:t xml:space="preserve"> :</w:t>
      </w:r>
    </w:p>
    <w:p>
      <w:pPr>
        <w:pStyle w:val="ListBullet"/>
      </w:pPr>
      <w:r>
        <w:t>IRS (fluoxétine, sertraline, paroxétine, citalopram, escitalopram) : pas d'interaction majeure — préférables chez le patient parkinsonien dépressif</w:t>
      </w:r>
    </w:p>
    <w:p>
      <w:pPr>
        <w:pStyle w:val="ListBullet"/>
      </w:pPr>
      <w:r>
        <w:t>Fluvoxamine : voir ci-dessus (inhibiteur CYP1A2 — augmenter les taux de ropinirole)</w:t>
      </w:r>
    </w:p>
    <w:p>
      <w:pPr>
        <w:pStyle w:val="ListBullet"/>
      </w:pPr>
      <w:r>
        <w:t>ATC (amitriptyline, clomipramine) : potentialisation de l'hypotension orthostatique et de la somnolence</w:t>
      </w:r>
    </w:p>
    <w:p>
      <w:pPr>
        <w:pStyle w:val="ListBullet"/>
      </w:pPr>
      <w:r>
        <w:t>Mirtazapine : pas d'interaction majeure — bonne option chez le patient parkinsonien dépressif avec anxiété et troubles du sommeil</w:t>
      </w:r>
    </w:p>
    <w:p>
      <w:pPr>
        <w:pStyle w:val="ListBullet"/>
      </w:pPr>
      <w:r/>
      <w:r>
        <w:rPr>
          <w:b/>
        </w:rPr>
        <w:t>Ropinirole + alcool</w:t>
      </w:r>
      <w:r>
        <w:t xml:space="preserve"> : potentialisation majeure de la somnolence — déconseillé</w:t>
      </w:r>
    </w:p>
    <w:p>
      <w:pPr>
        <w:pStyle w:val="ListBullet"/>
      </w:pPr>
      <w:r/>
      <w:r>
        <w:rPr>
          <w:b/>
        </w:rPr>
        <w:t>Ropinirole + opioïdes</w:t>
      </w:r>
      <w:r>
        <w:t xml:space="preserve"> (codéine, morphine, tramadol, fentanyl) : potentialisation de la somnolence et du risque de dépression respiratoire — prudence</w:t>
      </w:r>
    </w:p>
    <w:p>
      <w:pPr>
        <w:pStyle w:val="ListBullet"/>
      </w:pPr>
      <w:r/>
      <w:r>
        <w:rPr>
          <w:b/>
        </w:rPr>
        <w:t>Ropinirole + benzodiazépines</w:t>
      </w:r>
      <w:r>
        <w:t xml:space="preserve"> (diazépam, lorazépam, bromazépam) : potentialisation de la somnolence — prudence, surtout chez le sujet âgé</w:t>
      </w:r>
    </w:p>
    <w:p>
      <w:pPr>
        <w:pStyle w:val="ListBullet"/>
      </w:pPr>
      <w:r/>
      <w:r>
        <w:rPr>
          <w:b/>
        </w:rPr>
        <w:t>Ropinirole + antihypertenseurs</w:t>
      </w:r>
      <w:r>
        <w:t xml:space="preserve"> : potentialisation de l'hypotension orthostatique — surveillance TA, adaptation</w:t>
      </w:r>
    </w:p>
    <w:p>
      <w:pPr>
        <w:pStyle w:val="ListBullet"/>
      </w:pPr>
      <w:r/>
      <w:r>
        <w:rPr>
          <w:b/>
        </w:rPr>
        <w:t>Ropinirole + métopimazine</w:t>
      </w:r>
      <w:r>
        <w:t xml:space="preserve"> (Vogalène) : antagoniste D2 périphérique — peut réduire l'efficacité du ropinirole si usage prolongé ; préférer le dompéridone</w:t>
      </w:r>
    </w:p>
    <w:p>
      <w:pPr>
        <w:pStyle w:val="ListBullet"/>
      </w:pPr>
      <w:r/>
      <w:r>
        <w:rPr>
          <w:b/>
        </w:rPr>
        <w:t>Ropinirole + antihistaminiques H1 sédatifs</w:t>
      </w:r>
      <w:r>
        <w:t xml:space="preserve"> (hydroxyzine, prométhazine) : potentialisation de la somnolence</w:t>
      </w:r>
    </w:p>
    <w:p>
      <w:pPr>
        <w:pStyle w:val="ListBullet"/>
      </w:pPr>
      <w:r/>
      <w:r>
        <w:rPr>
          <w:b/>
        </w:rPr>
        <w:t>Ropinirole + anesthésiques généraux</w:t>
      </w:r>
      <w:r>
        <w:t xml:space="preserve"> : information de l'anesthésiste, surveillance hémodynamique peropératoire (hypotension), ne pas arrêter brutalement en péri-opératoire</w:t>
      </w:r>
    </w:p>
    <w:p>
      <w:r/>
      <w:r>
        <w:rPr>
          <w:b/>
        </w:rPr>
        <w:t>Grossesse et Allaitement :</w:t>
      </w:r>
      <w:r/>
    </w:p>
    <w:p>
      <w:pPr>
        <w:pStyle w:val="ListBullet"/>
      </w:pPr>
      <w:r/>
      <w:r>
        <w:rPr>
          <w:b/>
        </w:rPr>
        <w:t>Grossesse</w:t>
      </w:r>
      <w:r>
        <w:t xml:space="preserve"> : selon CRAT, le ropinirole est </w:t>
      </w:r>
      <w:r>
        <w:rPr>
          <w:b/>
        </w:rPr>
        <w:t>déconseillé pendant la grossesse</w:t>
      </w:r>
      <w:r>
        <w:t xml:space="preserve"> en raison du manque de données cliniques humaines (la maladie de Parkinson est rare chez la femme en âge de procréer — formes juveniles rares). Les études animales ont montré des effets </w:t>
      </w:r>
      <w:r>
        <w:rPr>
          <w:b/>
        </w:rPr>
        <w:t>tératogènes</w:t>
      </w:r>
      <w:r>
        <w:t xml:space="preserve"> (perte embryonnaire, malformations digitales à doses élevées) et un effet sur le développement postnatal (poids des petits réduit, mortalité néonatale augmentée). Le CRAT conclut à : « </w:t>
      </w:r>
      <w:r>
        <w:rPr>
          <w:b/>
        </w:rPr>
        <w:t>L'utilisation du ropinirole est déconseillée chez la femme enceinte, par mesure de prudence, en raison du manque de données.</w:t>
      </w:r>
      <w:r>
        <w:t xml:space="preserve"> » En cas de nécessité, le switch vers la lévodopa (mieux documentée) doit être discuté avant la conception. En cas de grossesse programmée, évaluation pluridisciplinaire (neurologue, gynéco-obstétricien, psychiatre si psychose associée).</w:t>
      </w:r>
    </w:p>
    <w:p>
      <w:pPr>
        <w:pStyle w:val="ListBullet"/>
      </w:pPr>
      <w:r/>
      <w:r>
        <w:rPr>
          <w:b/>
        </w:rPr>
        <w:t>Allaitement</w:t>
      </w:r>
      <w:r>
        <w:t xml:space="preserve"> : </w:t>
      </w:r>
      <w:r>
        <w:rPr>
          <w:b/>
        </w:rPr>
        <w:t>CI absolue</w:t>
      </w:r>
      <w:r>
        <w:t xml:space="preserve"> selon CRAT — le ropinirole inhibe la synthèse de prolactine (la dopamine est le PIF — Prolactin Inhibiting Factor — physiologique) et peut donc </w:t>
      </w:r>
      <w:r>
        <w:rPr>
          <w:b/>
        </w:rPr>
        <w:t>inhiber la lactation</w:t>
      </w:r>
      <w:r>
        <w:t>. De plus, le ropinirole passe dans le lait maternel (rapport lait/plasma élevé) et expose le nourrisson à des effets dopaminergiques (somnolence, hypotension, troubles neurologiques). Sevrage du lait artificiel obligatoire.</w:t>
      </w:r>
    </w:p>
    <w:p>
      <w:pPr>
        <w:pStyle w:val="ListBullet"/>
      </w:pPr>
      <w:r/>
      <w:r>
        <w:rPr>
          <w:b/>
        </w:rPr>
        <w:t>Précisions</w:t>
      </w:r>
      <w:r>
        <w:t xml:space="preserve"> : la maladie de Parkinson idiopathique est rare chez la femme en âge de procréer (1 % des cas). En cas de grossesse non programmée sous ropinirole, ne pas arrêter brutalement (risque de syndrome malin parkinsonien maternel et de détresse motrice per-partum), contacter le neurologue pour évaluation du bénéfice/risque et éventuel switch vers la lévodopa (mieux documentée en grossesse).</w:t>
      </w:r>
    </w:p>
    <w:p>
      <w:r/>
      <w:r>
        <w:rPr>
          <w:b/>
        </w:rPr>
        <w:t>Posologie et Mode d'administration (Standard) :</w:t>
      </w:r>
      <w:r/>
    </w:p>
    <w:p>
      <w:pPr>
        <w:pStyle w:val="ListBullet"/>
      </w:pPr>
      <w:r/>
      <w:r>
        <w:rPr>
          <w:b/>
        </w:rPr>
        <w:t>Adulte — Maladie de Parkinson</w:t>
      </w:r>
      <w:r>
        <w:t xml:space="preserve"> :</w:t>
      </w:r>
    </w:p>
    <w:p>
      <w:pPr>
        <w:pStyle w:val="ListBullet"/>
      </w:pPr>
      <w:r/>
      <w:r>
        <w:rPr>
          <w:b/>
        </w:rPr>
        <w:t>Dose initiale (forme LI)</w:t>
      </w:r>
      <w:r>
        <w:t xml:space="preserve"> : 0,25 mg × 3/jour (soit 0,75 mg/jour) pendant 1 semaine, à prendre </w:t>
      </w:r>
      <w:r>
        <w:rPr>
          <w:b/>
        </w:rPr>
        <w:t>pendant le repas</w:t>
      </w:r>
      <w:r>
        <w:t xml:space="preserve"> (pour limiter les nausées initiales)</w:t>
      </w:r>
    </w:p>
    <w:p>
      <w:pPr>
        <w:pStyle w:val="ListBullet"/>
      </w:pPr>
      <w:r/>
      <w:r>
        <w:rPr>
          <w:b/>
        </w:rPr>
        <w:t>Titration (forme LI)</w:t>
      </w:r>
      <w:r>
        <w:t xml:space="preserve"> : augmentation par paliers hebdomadaires selon le schéma suivant :</w:t>
      </w:r>
    </w:p>
    <w:p>
      <w:pPr>
        <w:pStyle w:val="ListBullet"/>
      </w:pPr>
      <w:r>
        <w:t>Semaine 1 : 0,25 mg × 3/jour (0,75 mg/jour)</w:t>
      </w:r>
    </w:p>
    <w:p>
      <w:pPr>
        <w:pStyle w:val="ListBullet"/>
      </w:pPr>
      <w:r>
        <w:t>Semaine 2 : 0,5 mg × 3/jour (1,5 mg/jour)</w:t>
      </w:r>
    </w:p>
    <w:p>
      <w:pPr>
        <w:pStyle w:val="ListBullet"/>
      </w:pPr>
      <w:r>
        <w:t>Semaine 3 : 1 mg × 3/jour (3 mg/jour)</w:t>
      </w:r>
    </w:p>
    <w:p>
      <w:pPr>
        <w:pStyle w:val="ListBullet"/>
      </w:pPr>
      <w:r>
        <w:t>Semaine 4 : 1,5 mg × 3/jour (4,5 mg/jour)</w:t>
      </w:r>
    </w:p>
    <w:p>
      <w:pPr>
        <w:pStyle w:val="ListBullet"/>
      </w:pPr>
      <w:r>
        <w:t>Semaine 5 : 2 mg × 3/jour (6 mg/jour)</w:t>
      </w:r>
    </w:p>
    <w:p>
      <w:pPr>
        <w:pStyle w:val="ListBullet"/>
      </w:pPr>
      <w:r>
        <w:t>Semaines suivantes : augmentation par 1-2 mg/jour chaque semaine jusqu'à dose efficace</w:t>
      </w:r>
    </w:p>
    <w:p>
      <w:pPr>
        <w:pStyle w:val="ListBullet"/>
      </w:pPr>
      <w:r/>
      <w:r>
        <w:rPr>
          <w:b/>
        </w:rPr>
        <w:t>Dose d'entretien usuelle (forme LI)</w:t>
      </w:r>
      <w:r>
        <w:t xml:space="preserve"> : </w:t>
      </w:r>
      <w:r>
        <w:rPr>
          <w:b/>
        </w:rPr>
        <w:t>3 à 9 mg/jour</w:t>
      </w:r>
      <w:r>
        <w:t xml:space="preserve"> en 3 prises (jusqu'à 24 mg/jour maximum)</w:t>
      </w:r>
    </w:p>
    <w:p>
      <w:pPr>
        <w:pStyle w:val="ListBullet"/>
      </w:pPr>
      <w:r/>
      <w:r>
        <w:rPr>
          <w:b/>
        </w:rPr>
        <w:t>Dose maximale (forme LI)</w:t>
      </w:r>
      <w:r>
        <w:t xml:space="preserve"> : 24 mg/jour</w:t>
      </w:r>
    </w:p>
    <w:p>
      <w:pPr>
        <w:pStyle w:val="ListBullet"/>
      </w:pPr>
      <w:r/>
      <w:r>
        <w:rPr>
          <w:b/>
        </w:rPr>
        <w:t>Forme LP</w:t>
      </w:r>
      <w:r>
        <w:t xml:space="preserve"> : titration initiale par la forme LI, puis </w:t>
      </w:r>
      <w:r>
        <w:rPr>
          <w:b/>
        </w:rPr>
        <w:t>switch vers la forme LP</w:t>
      </w:r>
      <w:r>
        <w:t xml:space="preserve"> à dose équivalente (la forme LP s'utilise en monoprise quotidienne à heure fixe)</w:t>
      </w:r>
    </w:p>
    <w:p>
      <w:pPr>
        <w:pStyle w:val="ListBullet"/>
      </w:pPr>
      <w:r>
        <w:t>Schéma LP : commencer par 2 mg LP/jour en 1 prise, augmenter par paliers de 2 mg chaque semaine jusqu'à dose efficace (généralement 6-12 mg LP/jour en 1 prise, maximum 24 mg LP/jour)</w:t>
      </w:r>
    </w:p>
    <w:p>
      <w:pPr>
        <w:pStyle w:val="ListBullet"/>
      </w:pPr>
      <w:r>
        <w:t>Switch LI → LP : dose quotidienne totale de LI arrondie à la dose LP la plus proche (4, 6, 8, 12 mg LP)</w:t>
      </w:r>
    </w:p>
    <w:p>
      <w:pPr>
        <w:pStyle w:val="ListBullet"/>
      </w:pPr>
      <w:r/>
      <w:r>
        <w:rPr>
          <w:b/>
        </w:rPr>
        <w:t>Adaptation individuelle</w:t>
      </w:r>
      <w:r>
        <w:t xml:space="preserve"> : la dose est ajustée en fonction de la réponse motrice (objectif : suppression de l'akinésie et de la rigidité), de la tolérance (somnolence, nausées, hypotension, hallucinations, troubles du contrôle des impulsions), et des fluctuations</w:t>
      </w:r>
    </w:p>
    <w:p>
      <w:pPr>
        <w:pStyle w:val="ListBullet"/>
      </w:pPr>
      <w:r/>
      <w:r>
        <w:rPr>
          <w:b/>
        </w:rPr>
        <w:t>Chez le sujet âgé ou fragile</w:t>
      </w:r>
      <w:r>
        <w:t xml:space="preserve"> : titration encore plus lente, dose minimale efficace (souvent 2-4 mg/jour suffisent), surveillance accrue des effets psychiatriques (hallucinations plus fréquentes à partir de 70 ans et en cas de démence émergente)</w:t>
      </w:r>
    </w:p>
    <w:p>
      <w:pPr>
        <w:pStyle w:val="ListBullet"/>
      </w:pPr>
      <w:r/>
      <w:r>
        <w:rPr>
          <w:b/>
        </w:rPr>
        <w:t>En association à la lévodopa</w:t>
      </w:r>
      <w:r>
        <w:t xml:space="preserve"> : dose initiale 0,25 mg × 3/jour, titration lente ; la dose de lévodopa est réduite progressivement de 20-30 % à mesure que le ropinirole est augmenté</w:t>
      </w:r>
    </w:p>
    <w:p>
      <w:pPr>
        <w:pStyle w:val="ListBullet"/>
      </w:pPr>
      <w:r/>
      <w:r>
        <w:rPr>
          <w:b/>
        </w:rPr>
        <w:t>Adulte — Syndrome des jambes sans repos (SJSR)</w:t>
      </w:r>
      <w:r>
        <w:t xml:space="preserve"> :</w:t>
      </w:r>
    </w:p>
    <w:p>
      <w:pPr>
        <w:pStyle w:val="ListBullet"/>
      </w:pPr>
      <w:r/>
      <w:r>
        <w:rPr>
          <w:b/>
        </w:rPr>
        <w:t>Dose initiale</w:t>
      </w:r>
      <w:r>
        <w:t xml:space="preserve"> : 0,25 mg en 1 prise unique 1-3 heures avant le coucher</w:t>
      </w:r>
    </w:p>
    <w:p>
      <w:pPr>
        <w:pStyle w:val="ListBullet"/>
      </w:pPr>
      <w:r/>
      <w:r>
        <w:rPr>
          <w:b/>
        </w:rPr>
        <w:t>Titration</w:t>
      </w:r>
      <w:r>
        <w:t xml:space="preserve"> : augmentation par paliers de 0,25 mg chaque semaine si nécessaire</w:t>
      </w:r>
    </w:p>
    <w:p>
      <w:pPr>
        <w:pStyle w:val="ListBullet"/>
      </w:pPr>
      <w:r/>
      <w:r>
        <w:rPr>
          <w:b/>
        </w:rPr>
        <w:t>Dose maximale</w:t>
      </w:r>
      <w:r>
        <w:t xml:space="preserve"> : 4 mg/jour en 1 prise unique</w:t>
      </w:r>
    </w:p>
    <w:p>
      <w:pPr>
        <w:pStyle w:val="ListBullet"/>
      </w:pPr>
      <w:r/>
      <w:r>
        <w:rPr>
          <w:b/>
        </w:rPr>
        <w:t>Forme LP non indiquée dans le SJSR</w:t>
      </w:r>
      <w:r>
        <w:t xml:space="preserve"> (demi-vie trop longue avec risque d'effet résiduel diurne)</w:t>
      </w:r>
    </w:p>
    <w:p>
      <w:pPr>
        <w:pStyle w:val="ListBullet"/>
      </w:pPr>
      <w:r/>
      <w:r>
        <w:rPr>
          <w:b/>
        </w:rPr>
        <w:t>Sujet âgé</w:t>
      </w:r>
      <w:r>
        <w:t xml:space="preserve"> : titration plus lente, dose minimale efficace, surveillance accrue des effets psychiatriques</w:t>
      </w:r>
    </w:p>
    <w:p>
      <w:pPr>
        <w:pStyle w:val="ListBullet"/>
      </w:pPr>
      <w:r/>
      <w:r>
        <w:rPr>
          <w:b/>
        </w:rPr>
        <w:t>Insuffisant rénal</w:t>
      </w:r>
      <w:r>
        <w:t xml:space="preserve"> :</w:t>
      </w:r>
    </w:p>
    <w:p>
      <w:pPr>
        <w:pStyle w:val="ListBullet"/>
      </w:pPr>
      <w:r>
        <w:t>Clairance ≥ 30 mL/min : pas d'adaptation</w:t>
      </w:r>
    </w:p>
    <w:p>
      <w:pPr>
        <w:pStyle w:val="ListBullet"/>
      </w:pPr>
      <w:r>
        <w:t>Clairance &lt; 30 mL/min : prudence, surveillance clinique, réduction de dose possible (mais le ropinirole est principalement métabolisé par le foie, l'adaptation est moins critique que pour le pramipexole)</w:t>
      </w:r>
    </w:p>
    <w:p>
      <w:pPr>
        <w:pStyle w:val="ListBullet"/>
      </w:pPr>
      <w:r/>
      <w:r>
        <w:rPr>
          <w:b/>
        </w:rPr>
        <w:t>Insuffisant hépatique</w:t>
      </w:r>
      <w:r>
        <w:t xml:space="preserve"> :</w:t>
      </w:r>
    </w:p>
    <w:p>
      <w:pPr>
        <w:pStyle w:val="ListBullet"/>
      </w:pPr>
      <w:r>
        <w:t>Légère à modérée : pas d'adaptation stricte</w:t>
      </w:r>
    </w:p>
    <w:p>
      <w:pPr>
        <w:pStyle w:val="ListBullet"/>
      </w:pPr>
      <w:r>
        <w:t>Sévère : réduction de dose de 25-50 %, surveillance clinique</w:t>
      </w:r>
    </w:p>
    <w:p>
      <w:pPr>
        <w:pStyle w:val="ListBullet"/>
      </w:pPr>
      <w:r/>
      <w:r>
        <w:rPr>
          <w:b/>
        </w:rPr>
        <w:t>Durée</w:t>
      </w:r>
      <w:r>
        <w:t xml:space="preserve"> : traitement au long cours, à vie, indéfini. L'arrêt expose à un risque majeur de rechute motrice (syndrome malin parkinsonien si arrêt brutal) et de DAWS (syndrome de sevrage aux agonistes dopaminergiques).</w:t>
      </w:r>
    </w:p>
    <w:p>
      <w:pPr>
        <w:pStyle w:val="ListBullet"/>
      </w:pPr>
      <w:r/>
      <w:r>
        <w:rPr>
          <w:b/>
        </w:rPr>
        <w:t>Moment de la prise</w:t>
      </w:r>
      <w:r>
        <w:t xml:space="preserve"> :</w:t>
      </w:r>
    </w:p>
    <w:p>
      <w:pPr>
        <w:pStyle w:val="ListBullet"/>
      </w:pPr>
      <w:r/>
      <w:r>
        <w:rPr>
          <w:b/>
        </w:rPr>
        <w:t>Forme LI</w:t>
      </w:r>
      <w:r>
        <w:t xml:space="preserve"> : 3 prises/jour à heure fixe, à 1 heure près, pendant les repas en initiation puis à jeun ou pendant les repas en entretien (selon tolérance)</w:t>
      </w:r>
    </w:p>
    <w:p>
      <w:pPr>
        <w:pStyle w:val="ListBullet"/>
      </w:pPr>
      <w:r/>
      <w:r>
        <w:rPr>
          <w:b/>
        </w:rPr>
        <w:t>Forme LP</w:t>
      </w:r>
      <w:r>
        <w:t xml:space="preserve"> : 1 prise unique quotidienne à heure fixe, le soir vers 18-20h (pour couvrir la nuit et le matin suivant) ou le matin (selon profil de somnolence diurne)</w:t>
      </w:r>
    </w:p>
    <w:p>
      <w:pPr>
        <w:pStyle w:val="ListBullet"/>
      </w:pPr>
      <w:r/>
      <w:r>
        <w:rPr>
          <w:b/>
        </w:rPr>
        <w:t>SJSR</w:t>
      </w:r>
      <w:r>
        <w:t xml:space="preserve"> : 1 prise unique 1-3 heures avant le coucher</w:t>
      </w:r>
    </w:p>
    <w:p>
      <w:r/>
      <w:r>
        <w:rPr>
          <w:b/>
        </w:rPr>
        <w:t>Arbitrage et Bénéfices des Formes Galéniques :</w:t>
      </w:r>
      <w:r/>
    </w:p>
    <w:p>
      <w:r>
        <w:t>Le marché algérien dispose des formes suivantes :</w:t>
      </w:r>
    </w:p>
    <w:p>
      <w:pPr>
        <w:pStyle w:val="ListBullet"/>
      </w:pPr>
      <w:r/>
      <w:r>
        <w:rPr>
          <w:b/>
        </w:rPr>
        <w:t>Comprimé à libération immédiate (LI) 0,25 mg</w:t>
      </w:r>
      <w:r>
        <w:t xml:space="preserve"> (KEPNIROL 0,25, STRICARE 0,25) : forme d'initiation, indispensable pour la titration lente. Permet l'adaptation fine de la dose par paliers de 0,25 mg.</w:t>
      </w:r>
    </w:p>
    <w:p>
      <w:pPr>
        <w:pStyle w:val="ListBullet"/>
      </w:pPr>
      <w:r/>
      <w:r>
        <w:rPr>
          <w:b/>
        </w:rPr>
        <w:t>Comprimé à libération immédiate (LI) 1 mg</w:t>
      </w:r>
      <w:r>
        <w:t xml:space="preserve"> (KEPNIROL 1, STRICARE 1) : forme d'adaptation, pour la titration après la phase initiale.</w:t>
      </w:r>
    </w:p>
    <w:p>
      <w:pPr>
        <w:pStyle w:val="ListBullet"/>
      </w:pPr>
      <w:r/>
      <w:r>
        <w:rPr>
          <w:b/>
        </w:rPr>
        <w:t>Comprimé à libération immédiate (LI) 2 mg</w:t>
      </w:r>
      <w:r>
        <w:t xml:space="preserve"> (KEPNIROL 2) : forme d'entretien intermédiaire.</w:t>
      </w:r>
    </w:p>
    <w:p>
      <w:pPr>
        <w:pStyle w:val="ListBullet"/>
      </w:pPr>
      <w:r/>
      <w:r>
        <w:rPr>
          <w:b/>
        </w:rPr>
        <w:t>Comprimé à libération immédiate (LI) 5 mg</w:t>
      </w:r>
      <w:r>
        <w:t xml:space="preserve"> (KEPNIROL 5) : forme d'entretien principale pour les doses élevées (15-24 mg/jour en 3-4 prises).</w:t>
      </w:r>
    </w:p>
    <w:p>
      <w:pPr>
        <w:pStyle w:val="ListBullet"/>
      </w:pPr>
      <w:r/>
      <w:r>
        <w:rPr>
          <w:b/>
        </w:rPr>
        <w:t>Comprimé à libération prolongée (LP) 4 mg</w:t>
      </w:r>
      <w:r>
        <w:t xml:space="preserve"> (KEPNIROL LP 4) : forme d'entretien LP pour les patients stabilisés nécessitant 4-8 mg LP/jour.</w:t>
      </w:r>
    </w:p>
    <w:p>
      <w:pPr>
        <w:pStyle w:val="ListBullet"/>
      </w:pPr>
      <w:r/>
      <w:r>
        <w:rPr>
          <w:b/>
        </w:rPr>
        <w:t>Comprimé à libération prolongée (LP) 8 mg</w:t>
      </w:r>
      <w:r>
        <w:t xml:space="preserve"> (KEPNIROL LP 8) : forme d'entretien LP pour les patients stabilisés nécessitant 8-24 mg LP/jour.</w:t>
      </w:r>
    </w:p>
    <w:p>
      <w:r/>
      <w:r>
        <w:rPr>
          <w:b/>
        </w:rPr>
        <w:t>Arbitrage galénique pratique au comptoir :</w:t>
      </w:r>
      <w:r/>
    </w:p>
    <w:p>
      <w:pPr>
        <w:pStyle w:val="ListBullet"/>
      </w:pPr>
      <w:r/>
      <w:r>
        <w:rPr>
          <w:b/>
        </w:rPr>
        <w:t>Initiation</w:t>
      </w:r>
      <w:r>
        <w:t xml:space="preserve"> : KEPNIROL 0,25 mg ou STRICARE 0,25 mg — commencer par 1 comprimé × 3/jour pendant 1 semaine pendant le repas</w:t>
      </w:r>
    </w:p>
    <w:p>
      <w:pPr>
        <w:pStyle w:val="ListBullet"/>
      </w:pPr>
      <w:r/>
      <w:r>
        <w:rPr>
          <w:b/>
        </w:rPr>
        <w:t>Titration</w:t>
      </w:r>
      <w:r>
        <w:t xml:space="preserve"> : adaptation progressive par paliers hebdomadaires selon le schéma (voir posologie)</w:t>
      </w:r>
    </w:p>
    <w:p>
      <w:pPr>
        <w:pStyle w:val="ListBullet"/>
      </w:pPr>
      <w:r/>
      <w:r>
        <w:rPr>
          <w:b/>
        </w:rPr>
        <w:t>Entretien en forme LI</w:t>
      </w:r>
      <w:r>
        <w:t xml:space="preserve"> : KEPNIROL 2 mg ou 5 mg — 3 prises/jour</w:t>
      </w:r>
    </w:p>
    <w:p>
      <w:pPr>
        <w:pStyle w:val="ListBullet"/>
      </w:pPr>
      <w:r/>
      <w:r>
        <w:rPr>
          <w:b/>
        </w:rPr>
        <w:t>Switch LI → LP</w:t>
      </w:r>
      <w:r>
        <w:t xml:space="preserve"> : une fois la dose efficace stabilisée en LI, switch vers la forme LP en monoprise (simplification de l'observance, réduction des fluctuations)</w:t>
      </w:r>
    </w:p>
    <w:p>
      <w:pPr>
        <w:pStyle w:val="ListBullet"/>
      </w:pPr>
      <w:r/>
      <w:r>
        <w:rPr>
          <w:b/>
        </w:rPr>
        <w:t>SJSR</w:t>
      </w:r>
      <w:r>
        <w:t xml:space="preserve"> : KEPNIROL 0,25 mg ou STRICARE 0,25 mg — 1 prise unique 1-3 heures avant le coucher (pas de forme LP dans cette indication)</w:t>
      </w:r>
    </w:p>
    <w:p>
      <w:r/>
      <w:r>
        <w:rPr>
          <w:b/>
        </w:rPr>
        <w:t>Avantages de la forme LP :</w:t>
      </w:r>
      <w:r/>
    </w:p>
    <w:p>
      <w:pPr>
        <w:pStyle w:val="ListBullet"/>
      </w:pPr>
      <w:r/>
      <w:r>
        <w:rPr>
          <w:b/>
        </w:rPr>
        <w:t>Monoprise quotidienne</w:t>
      </w:r>
      <w:r>
        <w:t xml:space="preserve"> : simplification de l'observance (surtout chez le patient âgé ou polymédiqué)</w:t>
      </w:r>
    </w:p>
    <w:p>
      <w:pPr>
        <w:pStyle w:val="ListBullet"/>
      </w:pPr>
      <w:r/>
      <w:r>
        <w:rPr>
          <w:b/>
        </w:rPr>
        <w:t>Réduction des fluctuations motrices</w:t>
      </w:r>
      <w:r>
        <w:t xml:space="preserve"> : concentration plasmatique plus stable</w:t>
      </w:r>
    </w:p>
    <w:p>
      <w:pPr>
        <w:pStyle w:val="ListBullet"/>
      </w:pPr>
      <w:r/>
      <w:r>
        <w:rPr>
          <w:b/>
        </w:rPr>
        <w:t>Réduction des effets indésirables d'initiation</w:t>
      </w:r>
      <w:r>
        <w:t xml:space="preserve"> : pas de pic plasmatique marqué</w:t>
      </w:r>
    </w:p>
    <w:p>
      <w:pPr>
        <w:pStyle w:val="ListBullet"/>
      </w:pPr>
      <w:r/>
      <w:r>
        <w:rPr>
          <w:b/>
        </w:rPr>
        <w:t>Amélioration de la somnolence diurne</w:t>
      </w:r>
      <w:r>
        <w:t xml:space="preserve"> : profil PK plus régulier</w:t>
      </w:r>
    </w:p>
    <w:p>
      <w:pPr>
        <w:pStyle w:val="ListBullet"/>
      </w:pPr>
      <w:r/>
      <w:r>
        <w:rPr>
          <w:b/>
        </w:rPr>
        <w:t>Adaptation posologique</w:t>
      </w:r>
      <w:r>
        <w:t xml:space="preserve"> : par paliers de 2 mg LP/jour</w:t>
      </w:r>
    </w:p>
    <w:p>
      <w:r/>
      <w:r>
        <w:rPr>
          <w:b/>
        </w:rPr>
        <w:t>Inconvénients de la forme LP :</w:t>
      </w:r>
      <w:r/>
    </w:p>
    <w:p>
      <w:pPr>
        <w:pStyle w:val="ListBullet"/>
      </w:pPr>
      <w:r/>
      <w:r>
        <w:rPr>
          <w:b/>
        </w:rPr>
        <w:t>Adaptation impossible en initiation</w:t>
      </w:r>
      <w:r>
        <w:t xml:space="preserve"> : la titration initiale doit se faire en LI</w:t>
      </w:r>
    </w:p>
    <w:p>
      <w:pPr>
        <w:pStyle w:val="ListBullet"/>
      </w:pPr>
      <w:r/>
      <w:r>
        <w:rPr>
          <w:b/>
        </w:rPr>
        <w:t>Pic d'action retardé</w:t>
      </w:r>
      <w:r>
        <w:t xml:space="preserve"> : effet clinique à 4-6 heures après la prise (vs 30-60 min pour la LI) — ne pas utiliser pour les blocages « off » imprévus</w:t>
      </w:r>
    </w:p>
    <w:p>
      <w:pPr>
        <w:pStyle w:val="ListBullet"/>
      </w:pPr>
      <w:r/>
      <w:r>
        <w:rPr>
          <w:b/>
        </w:rPr>
        <w:t>Coût parfois supérieur</w:t>
      </w:r>
      <w:r>
        <w:t xml:space="preserve"> : la forme LP est généralement plus chère que la forme LI</w:t>
      </w:r>
    </w:p>
    <w:p>
      <w:pPr>
        <w:pStyle w:val="ListBullet"/>
      </w:pPr>
      <w:r/>
      <w:r>
        <w:rPr>
          <w:b/>
        </w:rPr>
        <w:t>Pas d'indication dans le SJSR</w:t>
      </w:r>
      <w:r>
        <w:t xml:space="preserve"> : demi-vie trop longue avec risque d'effet résiduel diurne</w:t>
      </w:r>
    </w:p>
    <w:p>
      <w:r/>
      <w:r>
        <w:rPr>
          <w:b/>
        </w:rPr>
        <w:t>Instructions et Conseils au Patient :</w:t>
      </w:r>
      <w:r/>
    </w:p>
    <w:p>
      <w:pPr>
        <w:pStyle w:val="ListBullet"/>
      </w:pPr>
      <w:r/>
      <w:r>
        <w:rPr>
          <w:b/>
        </w:rPr>
        <w:t>Communication au comptoir</w:t>
      </w:r>
      <w:r>
        <w:t xml:space="preserve"> :</w:t>
      </w:r>
    </w:p>
    <w:p>
      <w:pPr>
        <w:pStyle w:val="ListBullet"/>
      </w:pPr>
      <w:r>
        <w:t xml:space="preserve">Expliquer la </w:t>
      </w:r>
      <w:r>
        <w:rPr>
          <w:b/>
        </w:rPr>
        <w:t>titration lente</w:t>
      </w:r>
      <w:r>
        <w:t xml:space="preserve"> : « votre traitement va être augmenté progressivement sur plusieurs semaines pour minimiser les effets indésirables initiaux (nausées, somnolence, baisse de tension) — il faut être patient et ne pas sauter de palier »</w:t>
      </w:r>
    </w:p>
    <w:p>
      <w:pPr>
        <w:pStyle w:val="ListBullet"/>
      </w:pPr>
      <w:r>
        <w:t>Expliquer la prise pendant les repas en initiation, puis à heure fixe en entretien</w:t>
      </w:r>
    </w:p>
    <w:p>
      <w:pPr>
        <w:pStyle w:val="ListBullet"/>
      </w:pPr>
      <w:r>
        <w:t xml:space="preserve">Insister sur l'interdiction de l'arrêt brutal : « </w:t>
      </w:r>
      <w:r>
        <w:rPr>
          <w:b/>
        </w:rPr>
        <w:t>ne jamais arrêter votre traitement brutalement</w:t>
      </w:r>
      <w:r>
        <w:t xml:space="preserve"> — il y a un risque de syndrome de sevrage (anxiété, dépression, douleurs, agitation) et de syndrome malin parkinsonien »</w:t>
      </w:r>
    </w:p>
    <w:p>
      <w:pPr>
        <w:pStyle w:val="ListBullet"/>
      </w:pPr>
      <w:r/>
      <w:r>
        <w:rPr>
          <w:b/>
        </w:rPr>
        <w:t>Prévenir de la somnolence et des attaques de sommeil</w:t>
      </w:r>
      <w:r>
        <w:t xml:space="preserve"> : « vous risquez une somnolence excessive, surtout en début de traitement. </w:t>
      </w:r>
      <w:r>
        <w:rPr>
          <w:b/>
        </w:rPr>
        <w:t>Ne pas conduire</w:t>
      </w:r>
      <w:r>
        <w:t xml:space="preserve"> tant que la dose n'est pas stabilisée. Il peut y avoir des attaques de sommeil soudaines sans prévenir — soyez très vigilant. Si vous ressentez une somnolence au volant, arrêtez-vous immédiatement et contactez votre neurologue. »</w:t>
      </w:r>
    </w:p>
    <w:p>
      <w:pPr>
        <w:pStyle w:val="ListBullet"/>
      </w:pPr>
      <w:r/>
      <w:r>
        <w:rPr>
          <w:b/>
        </w:rPr>
        <w:t>Prévenir des troubles du contrôle des impulsions</w:t>
      </w:r>
      <w:r>
        <w:t xml:space="preserve"> : « prévenez votre entourage (conjoint, enfants) : ce traitement peut parfois provoquer des comportements impulsifs anormaux — jeu pathologique, hypersexualité, achats compulsifs, hyperphagie. Si vous ou votre famille remarquez un tel comportement, prévenez immédiatement votre neurologue — c'est un effet fréquent et gérable. »</w:t>
      </w:r>
    </w:p>
    <w:p>
      <w:pPr>
        <w:pStyle w:val="ListBullet"/>
      </w:pPr>
      <w:r/>
      <w:r>
        <w:rPr>
          <w:b/>
        </w:rPr>
        <w:t>Prévenir des hallucinations</w:t>
      </w:r>
      <w:r>
        <w:t xml:space="preserve"> : « si vous avez des hallucinations (surtout visuelles), des idées délirantes, des rêves anxieux, des troubles du sommeil — prévenez votre médecin. »</w:t>
      </w:r>
    </w:p>
    <w:p>
      <w:pPr>
        <w:pStyle w:val="ListBullet"/>
      </w:pPr>
      <w:r/>
      <w:r>
        <w:rPr>
          <w:b/>
        </w:rPr>
        <w:t>Prévenir des hypotensions orthostatiques</w:t>
      </w:r>
      <w:r>
        <w:t xml:space="preserve"> : « levez-vous progressivement (3 temps), surtout en début de traitement. »</w:t>
      </w:r>
    </w:p>
    <w:p>
      <w:pPr>
        <w:pStyle w:val="ListBullet"/>
      </w:pPr>
      <w:r/>
      <w:r>
        <w:rPr>
          <w:b/>
        </w:rPr>
        <w:t>Prévenir des interactions alimentaires et médicamenteuses</w:t>
      </w:r>
      <w:r>
        <w:t xml:space="preserve"> : « ne fumez pas (le tabac diminue l'effet du ropinirole) ; ne prenez pas de fluvoxamine ou de ciprofloxacine sans avis médical (ces médicaments augmentent les taux de ropinirole) ; signalez tous vos médicaments à votre pharmacien. »</w:t>
      </w:r>
    </w:p>
    <w:p>
      <w:pPr>
        <w:pStyle w:val="ListBullet"/>
      </w:pPr>
      <w:r/>
      <w:r>
        <w:rPr>
          <w:b/>
        </w:rPr>
        <w:t>Mode d'utilisation pratique</w:t>
      </w:r>
      <w:r>
        <w:t xml:space="preserve"> :</w:t>
      </w:r>
    </w:p>
    <w:p>
      <w:pPr>
        <w:pStyle w:val="ListBullet"/>
      </w:pPr>
      <w:r>
        <w:t>En cas d'oubli d'une prise : prendre dès que possible si &lt; 4 heures, sinon attendre la prise suivante (ne pas doubler)</w:t>
      </w:r>
    </w:p>
    <w:p>
      <w:pPr>
        <w:pStyle w:val="ListBullet"/>
      </w:pPr>
      <w:r>
        <w:t>Le comprimé LI peut être pris pendant ou en dehors des repas</w:t>
      </w:r>
    </w:p>
    <w:p>
      <w:pPr>
        <w:pStyle w:val="ListBullet"/>
      </w:pPr>
      <w:r>
        <w:t>Le comprimé LP doit être pris à heure fixe, à 1 heure près</w:t>
      </w:r>
    </w:p>
    <w:p>
      <w:pPr>
        <w:pStyle w:val="ListBullet"/>
      </w:pPr>
      <w:r>
        <w:t>Ne pas écraser ni croquer les comprimés LP (la libération prolongée serait rompue)</w:t>
      </w:r>
    </w:p>
    <w:p>
      <w:pPr>
        <w:pStyle w:val="ListBullet"/>
      </w:pPr>
      <w:r>
        <w:t>Le comprimé LP peut être pris avec ou sans repas (mais éviter les repas riches en protéines juste avant la prise)</w:t>
      </w:r>
    </w:p>
    <w:p>
      <w:pPr>
        <w:pStyle w:val="ListBullet"/>
      </w:pPr>
      <w:r>
        <w:t>Conservation : à température ambiante (&lt; 25 °C), à l'abri de la lumière et de l'humidité, dans l'emballage d'origine</w:t>
      </w:r>
    </w:p>
    <w:p>
      <w:pPr>
        <w:pStyle w:val="ListBullet"/>
      </w:pPr>
      <w:r>
        <w:t>Pour les voyages : prévoir une quantité suffisante</w:t>
      </w:r>
    </w:p>
    <w:p>
      <w:pPr>
        <w:pStyle w:val="ListBullet"/>
      </w:pPr>
      <w:r>
        <w:t>Pour les hospitalisations : informer systématiquement le personnel médical</w:t>
      </w:r>
    </w:p>
    <w:p>
      <w:r/>
      <w:r>
        <w:rPr>
          <w:b/>
        </w:rPr>
        <w:t>Notes, Règles d'Or &amp; Pièges au Comptoir :</w:t>
      </w:r>
      <w:r/>
    </w:p>
    <w:p>
      <w:pPr>
        <w:pStyle w:val="ListBullet"/>
      </w:pPr>
      <w:r/>
      <w:r>
        <w:rPr>
          <w:b/>
        </w:rPr>
        <w:t>Piège classique #1 — Ropinirole + neuroleptique</w:t>
      </w:r>
      <w:r>
        <w:t xml:space="preserve"> : un patient parkinsonien sous ropinirole présente des hallucinations, un médecin non spécialiste prescrit (par erreur) un neuroleptique classique (halopéridol, dropéridol, chlorpromazine, rispéridone, olanzapine). Le pharmacien doit </w:t>
      </w:r>
      <w:r>
        <w:rPr>
          <w:b/>
        </w:rPr>
        <w:t>réfuter la prescription</w:t>
      </w:r>
      <w:r>
        <w:t xml:space="preserve"> et contacter le médecin pour rappeler la CI absolue. Pour la psychose parkinsonienne : clozapine (LEPONEX) à 6,25-50 mg/j, ou quétiapine à 25-100 mg/j (formes disponibles en Algérie).</w:t>
      </w:r>
    </w:p>
    <w:p>
      <w:pPr>
        <w:pStyle w:val="ListBullet"/>
      </w:pPr>
      <w:r/>
      <w:r>
        <w:rPr>
          <w:b/>
        </w:rPr>
        <w:t>Piège classique #2 — Ropinirole + inhibiteur CYP1A2</w:t>
      </w:r>
      <w:r>
        <w:t xml:space="preserve"> : un patient sous ropinirole développe une infection urinaire, le médecin prescrit de la </w:t>
      </w:r>
      <w:r>
        <w:rPr>
          <w:b/>
        </w:rPr>
        <w:t>ciprofloxacine</w:t>
      </w:r>
      <w:r>
        <w:t xml:space="preserve"> (inhibiteur puissant du CYP1A2). Le pharmacien doit alerter le prescripteur — risque d'augmentation majeure des taux de ropinirole (× 2-3), pouvant conduire à une intoxication (somnolence sévère, hypotension, nausées, hallucinations). Solution : réduire la dose de ropinirole de 50-75 % pendant la durée du traitement par ciprofloxacine, surveillance clinique, ou choisir un autre antibiotique (cotrimoxazole, nitrofurantoine).</w:t>
      </w:r>
    </w:p>
    <w:p>
      <w:pPr>
        <w:pStyle w:val="ListBullet"/>
      </w:pPr>
      <w:r/>
      <w:r>
        <w:rPr>
          <w:b/>
        </w:rPr>
        <w:t>Piège classique #3 — Ropinirole + fluvoxamine</w:t>
      </w:r>
      <w:r>
        <w:t xml:space="preserve"> : un patient parkinsonien dépressif sous ropinirole est mis sous </w:t>
      </w:r>
      <w:r>
        <w:rPr>
          <w:b/>
        </w:rPr>
        <w:t>fluvoxamine</w:t>
      </w:r>
      <w:r>
        <w:t xml:space="preserve"> (inhibiteur puissant du CYP1A2 — IRS). Le pharmacien doit alerter le prescripteur — risque d'augmentation des taux de ropinirole (× 2-6). Solution : préférer un autre IRS (sertraline, escitalopram, citalopram — peu ou pas d'inhibition du CYP1A2), ou réduire la dose de ropinirole de 50-75 % à l'introduction de la fluvoxamine.</w:t>
      </w:r>
    </w:p>
    <w:p>
      <w:pPr>
        <w:pStyle w:val="ListBullet"/>
      </w:pPr>
      <w:r/>
      <w:r>
        <w:rPr>
          <w:b/>
        </w:rPr>
        <w:t>Piège classique #4 — Ropinirole + tabac</w:t>
      </w:r>
      <w:r>
        <w:t xml:space="preserve"> : un patient sous ropinirole arrête de fumer (induction du CYP1A2 par le tabac). Les taux de ropinirole augmentent (jusqu'à +50-100 %), pouvant conduire à une intoxication. Solution : surveillance clinique rapprochée à l'arrêt du tabac, réduction possible de la dose de ropinirole.</w:t>
      </w:r>
    </w:p>
    <w:p>
      <w:pPr>
        <w:pStyle w:val="ListBullet"/>
      </w:pPr>
      <w:r/>
      <w:r>
        <w:rPr>
          <w:b/>
        </w:rPr>
        <w:t>Piège classique #5 — Attaque de sommeil au volant</w:t>
      </w:r>
      <w:r>
        <w:t xml:space="preserve"> : un patient sous ropinirole s'endort soudainement au volant sans prodrome — risque d'accident grave. ANSM 2002 et 2007 mise en garde obligatoire. Solution : information patient systématique, interdiction de conduire tant que la dose n'est pas stabilisée, switch vers pramipexole ou lévodopa si persistant.</w:t>
      </w:r>
    </w:p>
    <w:p>
      <w:pPr>
        <w:pStyle w:val="ListBullet"/>
      </w:pPr>
      <w:r/>
      <w:r>
        <w:rPr>
          <w:b/>
        </w:rPr>
        <w:t>Piège classique #6 — Troubles du contrôle des impulsions</w:t>
      </w:r>
      <w:r>
        <w:t xml:space="preserve"> : un patient sous ropinirole développe un </w:t>
      </w:r>
      <w:r>
        <w:rPr>
          <w:b/>
        </w:rPr>
        <w:t>jeu pathologique</w:t>
      </w:r>
      <w:r>
        <w:t xml:space="preserve"> (Loterie, paris sportifs, casinos), une </w:t>
      </w:r>
      <w:r>
        <w:rPr>
          <w:b/>
        </w:rPr>
        <w:t>hypersexualité</w:t>
      </w:r>
      <w:r>
        <w:t xml:space="preserve">, des </w:t>
      </w:r>
      <w:r>
        <w:rPr>
          <w:b/>
        </w:rPr>
        <w:t>achats compulsifs</w:t>
      </w:r>
      <w:r>
        <w:t xml:space="preserve">, une </w:t>
      </w:r>
      <w:r>
        <w:rPr>
          <w:b/>
        </w:rPr>
        <w:t>hyperphagie</w:t>
      </w:r>
      <w:r>
        <w:t xml:space="preserve"> — le patient cache souvent le trouble par honte. Le pharmacien doit </w:t>
      </w:r>
      <w:r>
        <w:rPr>
          <w:b/>
        </w:rPr>
        <w:t>interroger systématiquement</w:t>
      </w:r>
      <w:r>
        <w:t xml:space="preserve"> le patient et l'entourage. ANSM 2009 et FDA 2012 (black box warning). Solution : réduction de dose de 50-75 %, voire arrêt progressif si sévère, prise en charge psychiatrique (TCC), mesures de protection financière (blocage des comptes, tutelle si nécessaire).</w:t>
      </w:r>
    </w:p>
    <w:p>
      <w:pPr>
        <w:pStyle w:val="ListBullet"/>
      </w:pPr>
      <w:r/>
      <w:r>
        <w:rPr>
          <w:b/>
        </w:rPr>
        <w:t>Piège classique #7 — Switch LI → LP</w:t>
      </w:r>
      <w:r>
        <w:t xml:space="preserve"> : un patient stable sous ropinirole LI 3 mg × 3/jour (9 mg/jour) est switché vers la forme LP. Le pharmacien doit savoir calculer l'équivalence : la dose totale quotidienne est arrondie à la dose LP la plus proche (4, 6, 8, 12 mg LP). Pour 9 mg/jour LI, le switch se fait vers 8 mg LP en 1 prise (avec une surveillance clinique rapprochée à 2-4 semaines).</w:t>
      </w:r>
    </w:p>
    <w:p>
      <w:pPr>
        <w:pStyle w:val="ListBullet"/>
      </w:pPr>
      <w:r/>
      <w:r>
        <w:rPr>
          <w:b/>
        </w:rPr>
        <w:t>Piège classique #8 — Syndrome de sevrage (DAWS)</w:t>
      </w:r>
      <w:r>
        <w:t xml:space="preserve"> : un patient arrête le ropinirole brutalement (oubli de plusieurs doses ou arrêt volontaire). Il développe en 24-72h une anxiété sévère, des attaques de panique, une dépression, une agitation, des douleurs diffuses, parfois résistantes sur plusieurs mois. Solution : décroissance très lente sur plusieurs semaines à mois (réduction de 25 % tous les 7-14 jours), prise en charge psychiatrique (antidépresseurs si nécessaire), soutien psychothérapeutique.</w:t>
      </w:r>
    </w:p>
    <w:p>
      <w:pPr>
        <w:pStyle w:val="ListBullet"/>
      </w:pPr>
      <w:r/>
      <w:r>
        <w:rPr>
          <w:b/>
        </w:rPr>
        <w:t>Piège classique #9 — SJSR mal diagnostiqué</w:t>
      </w:r>
      <w:r>
        <w:t xml:space="preserve"> : un patient se plaint d'impatiences dans les jambes le soir et la nuit, avec besoin irrépressible de bouger. Le médecin augmente par erreur la dose de ropinirole LP (qui n'est pas indiquée dans le SJSR). Solution : le SJSR se traite par ropinirole LI à dose réduite (0,25 à 4 mg/jour en 1 prise unique 1-3 heures avant le coucher), pas par la forme LP.</w:t>
      </w:r>
    </w:p>
    <w:p>
      <w:pPr>
        <w:pStyle w:val="ListBullet"/>
      </w:pPr>
      <w:r/>
      <w:r>
        <w:rPr>
          <w:b/>
        </w:rPr>
        <w:t>Piège classique #10 — Œdèmes des membres inférieurs</w:t>
      </w:r>
      <w:r>
        <w:t xml:space="preserve"> : un patient sous ropinirole développe des œdèmes des membres inférieurs. Le médecin pense à une insuffisance cardiaque. Solution : le ropinirole peut causer des œdèmes par mécanisme vasculaire D3 — surveiller le poids, réduire la dose si nécessaire, éliminer une insuffisance cardiaque (BNP, échographie cardiaque).</w:t>
      </w:r>
    </w:p>
    <w:p>
      <w:pPr>
        <w:pStyle w:val="ListBullet"/>
      </w:pPr>
      <w:r/>
      <w:r>
        <w:rPr>
          <w:b/>
        </w:rPr>
        <w:t>Règle de prise</w:t>
      </w:r>
      <w:r>
        <w:t xml:space="preserve"> :</w:t>
      </w:r>
    </w:p>
    <w:p>
      <w:pPr>
        <w:pStyle w:val="ListBullet"/>
      </w:pPr>
      <w:r>
        <w:t>Heures fixes (à 1 heure près)</w:t>
      </w:r>
    </w:p>
    <w:p>
      <w:pPr>
        <w:pStyle w:val="ListBullet"/>
      </w:pPr>
      <w:r>
        <w:t>Pendant les repas en initiation</w:t>
      </w:r>
    </w:p>
    <w:p>
      <w:pPr>
        <w:pStyle w:val="ListBullet"/>
      </w:pPr>
      <w:r>
        <w:t>À heure fixe en entretien</w:t>
      </w:r>
    </w:p>
    <w:p>
      <w:pPr>
        <w:pStyle w:val="ListBullet"/>
      </w:pPr>
      <w:r>
        <w:t>Ne jamais arrêter brutalement</w:t>
      </w:r>
    </w:p>
    <w:p>
      <w:pPr>
        <w:pStyle w:val="ListBullet"/>
      </w:pPr>
      <w:r>
        <w:t>Ne jamais doubler en cas d'oubli</w:t>
      </w:r>
    </w:p>
    <w:p>
      <w:pPr>
        <w:pStyle w:val="ListBullet"/>
      </w:pPr>
      <w:r>
        <w:t>En cas d'oubli &gt; 4 heures (LI) ou &gt; 12 heures (LP), attendre la prise suivante</w:t>
      </w:r>
    </w:p>
    <w:p>
      <w:pPr>
        <w:pStyle w:val="ListBullet"/>
      </w:pPr>
      <w:r>
        <w:t>Signaler tout effet psychiatrique au neurologue</w:t>
      </w:r>
    </w:p>
    <w:p>
      <w:pPr>
        <w:pStyle w:val="ListBullet"/>
      </w:pPr>
      <w:r>
        <w:t>Tenir un « journal de bord » des périodes « on/off » pour adapter le traitement</w:t>
      </w:r>
    </w:p>
    <w:p>
      <w:pPr>
        <w:pStyle w:val="ListBullet"/>
      </w:pPr>
      <w:r>
        <w:t>Prévenir le médecin de tous les médicaments (interactions CYP1A2, neuroleptiques)</w:t>
      </w:r>
    </w:p>
    <w:p>
      <w:pPr>
        <w:pStyle w:val="ListBullet"/>
      </w:pPr>
      <w:r>
        <w:t>Prévenir le médecin de l'arrêt du tabac (augmentation des taux)</w:t>
      </w:r>
    </w:p>
    <w:p>
      <w:pPr>
        <w:pStyle w:val="ListBullet"/>
      </w:pPr>
      <w:r/>
      <w:r>
        <w:rPr>
          <w:b/>
        </w:rPr>
        <w:t>Préparation et Conservation</w:t>
      </w:r>
      <w:r>
        <w:t xml:space="preserve"> :</w:t>
      </w:r>
    </w:p>
    <w:p>
      <w:pPr>
        <w:pStyle w:val="ListBullet"/>
      </w:pPr>
      <w:r>
        <w:t>Conservation à &lt; 25 °C, à l'abri de la lumière et de l'humidité</w:t>
      </w:r>
    </w:p>
    <w:p>
      <w:pPr>
        <w:pStyle w:val="ListBullet"/>
      </w:pPr>
      <w:r>
        <w:t>Dans l'emballage d'origine bien fermé</w:t>
      </w:r>
    </w:p>
    <w:p>
      <w:pPr>
        <w:pStyle w:val="ListBullet"/>
      </w:pPr>
      <w:r>
        <w:t>Les comprimés LI peuvent être sécables selon les barres de cassure (mais généralement non sécables — utiliser les dosages disponibles)</w:t>
      </w:r>
    </w:p>
    <w:p>
      <w:pPr>
        <w:pStyle w:val="ListBullet"/>
      </w:pPr>
      <w:r>
        <w:t>Ne pas écraser ni croquer les comprimés LP</w:t>
      </w:r>
    </w:p>
    <w:p>
      <w:pPr>
        <w:pStyle w:val="ListBullet"/>
      </w:pPr>
      <w:r/>
      <w:r>
        <w:rPr>
          <w:b/>
        </w:rPr>
        <w:t>Piège du surdosage / Substitution</w:t>
      </w:r>
      <w:r>
        <w:t xml:space="preserve"> :</w:t>
      </w:r>
    </w:p>
    <w:p>
      <w:pPr>
        <w:pStyle w:val="ListBullet"/>
      </w:pPr>
      <w:r>
        <w:t>Surdosage aigu : agitation, confusion, hallucinations, somnolence profonde, hypotension sévère, vomissements. Traitement symptomatique en milieu spécialisé (réanimation) — pas d'antidote spécifique, arrêt du ropinirole, surveillance ECG, hydratation, surveillance neurologique. Pas d'utilisation de neuroleptiques (risque d'aggravation du syndrome malin parkinsonien).</w:t>
      </w:r>
    </w:p>
    <w:p>
      <w:pPr>
        <w:pStyle w:val="ListBullet"/>
      </w:pPr>
      <w:r>
        <w:t>Substitution entre marques (KEPNIROL ↔ STRICARE) : équivalence de dose stricte selon le dosage, surveillance clinique à 2-4 semaines.</w:t>
      </w:r>
    </w:p>
    <w:p>
      <w:pPr>
        <w:pStyle w:val="ListBullet"/>
      </w:pPr>
      <w:r>
        <w:t>Substitution LI ↔ LP : adapter la dose (équivalence 1:1 en dose totale quotidienne, arrondie à la dose LP la plus proche), surveillance clinique à 2-4 semaines.</w:t>
      </w:r>
    </w:p>
    <w:p>
      <w:pPr>
        <w:pStyle w:val="ListBullet"/>
      </w:pPr>
      <w:r>
        <w:t>Substitution ropinirole ↔ pramipexole : équivalence approximative ropinirole 1 mg ≈ pramipexole 0,5 mg (à vérifier dans les RCP), surveillance clinique à 2-4 semaines.</w:t>
      </w:r>
    </w:p>
    <w:p>
      <w:pPr>
        <w:pStyle w:val="Heading2"/>
      </w:pPr>
      <w:r>
        <w:t>87.3 — Sous-classe : Inhibiteurs COMT (Catéchol-O-Méthyl-Transférase)</w:t>
      </w:r>
    </w:p>
    <w:p>
      <w:pPr>
        <w:pStyle w:val="Heading3"/>
      </w:pPr>
      <w:r>
        <w:t>Introduction à la sous-classe</w:t>
      </w:r>
    </w:p>
    <w:p>
      <w:r>
        <w:t xml:space="preserve">Les inhibiteurs de la </w:t>
      </w:r>
      <w:r>
        <w:rPr>
          <w:b/>
        </w:rPr>
        <w:t>COMT (Catéchol-O-Méthyl-Transférase)</w:t>
      </w:r>
      <w:r>
        <w:t xml:space="preserve"> constituent la troisième stratégie thérapeutique de la maladie de Parkinson. Ils agissent en </w:t>
      </w:r>
      <w:r>
        <w:rPr>
          <w:b/>
        </w:rPr>
        <w:t>inhibant l'une des deux voies de dégradation de la lévodopa et de la dopamine</w:t>
      </w:r>
      <w:r>
        <w:t xml:space="preserve">, la O-méthylation par la COMT — l'autre voie étant la désamination par la MAO (monoamine oxydase). La COMT est une enzyme cytosolique présente dans de nombreux tissus (foie, reins, intestin, globules rouges, cerveau), qui catalyse le transfert d'un groupe méthyle de la S-adénosyl-méthionine (SAM) sur l'un des groupements hydroxyles du noyau catéchol de la lévodopa, de la dopamine, de la noradrénaline et de l'adrénaline. La méthylation de la lévodopa produit la </w:t>
      </w:r>
      <w:r>
        <w:rPr>
          <w:b/>
        </w:rPr>
        <w:t>3-O-méthyldopa (3-OMD)</w:t>
      </w:r>
      <w:r>
        <w:t>, un métabolite inactif qui entre en compétition avec la lévodopa au transporteur LAT1 des acides aminés neutres — limitant ainsi la biodisponibilité centrale de la lévodopa. L'inhibition de la COMT périphérique réduit la formation de 3-OMD, prolongeant ainsi la demi-vie de la lévodopa et augmentant sa biodisponibilité centrale.</w:t>
      </w:r>
    </w:p>
    <w:p>
      <w:r/>
      <w:r>
        <w:rPr>
          <w:b/>
        </w:rPr>
        <w:t>Physiologie de la COMT et justification thérapeutique :</w:t>
      </w:r>
      <w:r/>
    </w:p>
    <w:p>
      <w:r>
        <w:t xml:space="preserve">La lévodopa est métabolisée par </w:t>
      </w:r>
      <w:r>
        <w:rPr>
          <w:b/>
        </w:rPr>
        <w:t>trois voies enzymatiques principales</w:t>
      </w:r>
      <w:r>
        <w:t xml:space="preserve"> :</w:t>
      </w:r>
    </w:p>
    <w:p>
      <w:pPr>
        <w:pStyle w:val="ListNumber"/>
      </w:pPr>
      <w:r/>
      <w:r>
        <w:rPr>
          <w:b/>
        </w:rPr>
        <w:t>Décarboxylation par la DOPA-décarboxylase</w:t>
      </w:r>
      <w:r>
        <w:t xml:space="preserve"> (AADC) en dopamine — voies périphérique (intestin, foie, reins) et centrale (terminaisons dopaminergiques) — inhibée par les IDDC (carbidopa, bensérazide)</w:t>
      </w:r>
    </w:p>
    <w:p>
      <w:pPr>
        <w:pStyle w:val="ListNumber"/>
      </w:pPr>
      <w:r/>
      <w:r>
        <w:rPr>
          <w:b/>
        </w:rPr>
        <w:t>O-méthylation par la COMT</w:t>
      </w:r>
      <w:r>
        <w:t xml:space="preserve"> en 3-O-méthyldopa (3-OMD) — voies périphérique et centrale — inhibée par les inhibiteurs COMT (entacapone, tolcapone, opicapone)</w:t>
      </w:r>
    </w:p>
    <w:p>
      <w:pPr>
        <w:pStyle w:val="ListNumber"/>
      </w:pPr>
      <w:r/>
      <w:r>
        <w:rPr>
          <w:b/>
        </w:rPr>
        <w:t>Désamination par la MAO</w:t>
      </w:r>
      <w:r>
        <w:t xml:space="preserve"> (monoamine oxydase) — surtout la MAO-B pour la dopamine (dans le cerveau, terminaisons nerveuses) — inhibée par les inhibiteurs MAO-B (sélégiline, rasagiline)</w:t>
      </w:r>
    </w:p>
    <w:p>
      <w:r>
        <w:t>L'</w:t>
      </w:r>
      <w:r>
        <w:rPr>
          <w:b/>
        </w:rPr>
        <w:t>inhibition combinée</w:t>
      </w:r>
      <w:r>
        <w:t xml:space="preserve"> de la décarboxylation périphérique (par IDDC) et de la O-méthylation périphérique (par inhibiteur COMT) permet de :</w:t>
      </w:r>
    </w:p>
    <w:p>
      <w:pPr>
        <w:pStyle w:val="ListBullet"/>
      </w:pPr>
      <w:r/>
      <w:r>
        <w:rPr>
          <w:b/>
        </w:rPr>
        <w:t>Augmenter significativement la biodisponibilité centrale de la lévodopa</w:t>
      </w:r>
      <w:r>
        <w:t xml:space="preserve"> (de 30-50 % avec IDDC seul à 60-75 % avec IDDC + inhibiteur COMT)</w:t>
      </w:r>
    </w:p>
    <w:p>
      <w:pPr>
        <w:pStyle w:val="ListBullet"/>
      </w:pPr>
      <w:r/>
      <w:r>
        <w:rPr>
          <w:b/>
        </w:rPr>
        <w:t>Prolonger la demi-vie plasmatique de la lévodopa</w:t>
      </w:r>
      <w:r>
        <w:t xml:space="preserve"> (de ~60-90 min à ~120-150 min avec inhibiteur COMT)</w:t>
      </w:r>
    </w:p>
    <w:p>
      <w:pPr>
        <w:pStyle w:val="ListBullet"/>
      </w:pPr>
      <w:r/>
      <w:r>
        <w:rPr>
          <w:b/>
        </w:rPr>
        <w:t>Réduire la formation de 3-OMD</w:t>
      </w:r>
      <w:r>
        <w:t xml:space="preserve"> (qui entre en compétition avec la lévodopa au transporteur LAT1)</w:t>
      </w:r>
    </w:p>
    <w:p>
      <w:pPr>
        <w:pStyle w:val="ListBullet"/>
      </w:pPr>
      <w:r/>
      <w:r>
        <w:rPr>
          <w:b/>
        </w:rPr>
        <w:t>Stabiliser les concentrations plasmatiques de lévodopa</w:t>
      </w:r>
      <w:r>
        <w:t xml:space="preserve"> — réduction des fluctuations motrices, surtout du « wearing-off »</w:t>
      </w:r>
    </w:p>
    <w:p>
      <w:pPr>
        <w:pStyle w:val="ListBullet"/>
      </w:pPr>
      <w:r/>
      <w:r>
        <w:rPr>
          <w:b/>
        </w:rPr>
        <w:t>Permettre une réduction de 20-30 % de la dose totale de lévodopa</w:t>
      </w:r>
      <w:r>
        <w:t xml:space="preserve"> (à efficacité équivalente)</w:t>
      </w:r>
    </w:p>
    <w:p>
      <w:r/>
      <w:r>
        <w:rPr>
          <w:b/>
        </w:rPr>
        <w:t>Classification des inhibiteurs COMT :</w:t>
      </w:r>
      <w:r/>
    </w:p>
    <w:p>
      <w:pPr>
        <w:pStyle w:val="ListNumber"/>
      </w:pPr>
      <w:r/>
      <w:r>
        <w:rPr>
          <w:b/>
        </w:rPr>
        <w:t>Entacapone</w:t>
      </w:r>
      <w:r>
        <w:t xml:space="preserve"> (Comtan, Stalevo — lévodopa + carbidopa + entacapone en association fixe ; CANTAPONE, COMTAN en Algérie) : inhibiteur COMT </w:t>
      </w:r>
      <w:r>
        <w:rPr>
          <w:b/>
        </w:rPr>
        <w:t>périphérique</w:t>
      </w:r>
      <w:r>
        <w:t xml:space="preserve"> (ne traverse pas la BHE en quantité significative), réversible, demi-vie courte (~2-3 heures), pris avec chaque dose de lévodopa. Profil de tolérance favorable. Seul inhibiteur COMT disponible en Algérie.</w:t>
      </w:r>
    </w:p>
    <w:p>
      <w:pPr>
        <w:pStyle w:val="ListNumber"/>
      </w:pPr>
      <w:r/>
      <w:r>
        <w:rPr>
          <w:b/>
        </w:rPr>
        <w:t>Tolcapone</w:t>
      </w:r>
      <w:r>
        <w:t xml:space="preserve"> (Tasmar) : inhibiteur COMT </w:t>
      </w:r>
      <w:r>
        <w:rPr>
          <w:b/>
        </w:rPr>
        <w:t>périphérique et central</w:t>
      </w:r>
      <w:r>
        <w:t xml:space="preserve"> (traverse la BHE), réversible, demi-vie plus longue (~2-3 heures). Risque d'</w:t>
      </w:r>
      <w:r>
        <w:rPr>
          <w:b/>
        </w:rPr>
        <w:t>hépatotoxicité sévère</w:t>
      </w:r>
      <w:r>
        <w:t xml:space="preserve"> (incidence 1/10 000 à 1/30 000 — hépatite fulminante ayant causé plusieurs décès) — réservé à l'usage hospitalier spécialisé sous surveillance stricte des transaminases (ALAT, ASAT) toutes les 2-4 semaines. </w:t>
      </w:r>
      <w:r>
        <w:rPr>
          <w:b/>
        </w:rPr>
        <w:t>Non disponible en Algérie</w:t>
      </w:r>
      <w:r>
        <w:t xml:space="preserve"> (retrait du marché mondial partiel en 1998, maintien sous surveillance stricte en Europe et aux USA).</w:t>
      </w:r>
    </w:p>
    <w:p>
      <w:pPr>
        <w:pStyle w:val="ListNumber"/>
      </w:pPr>
      <w:r/>
      <w:r>
        <w:rPr>
          <w:b/>
        </w:rPr>
        <w:t>Opicapone</w:t>
      </w:r>
      <w:r>
        <w:t xml:space="preserve"> (Ongentys) : inhibiteur COMT </w:t>
      </w:r>
      <w:r>
        <w:rPr>
          <w:b/>
        </w:rPr>
        <w:t>périphérique</w:t>
      </w:r>
      <w:r>
        <w:t xml:space="preserve"> (comme l'entacapone), réversible, demi-vie très longue (~2 heures pour la phase initiale, mais ~100 heures pour la phase terminale avec liaison à la COMT), prise unique quotidienne. Profil de tolérance favorable, mais pas encore disponible en Algérie à ce jour (commercialisé en Europe depuis 2016, AMM FDA 2020).</w:t>
      </w:r>
    </w:p>
    <w:p>
      <w:r/>
      <w:r>
        <w:rPr>
          <w:b/>
        </w:rPr>
        <w:t>Positionnement dans la stratégie thérapeutique :</w:t>
      </w:r>
      <w:r/>
    </w:p>
    <w:p>
      <w:pPr>
        <w:pStyle w:val="ListBullet"/>
      </w:pPr>
      <w:r>
        <w:t xml:space="preserve">Les inhibiteurs COMT sont </w:t>
      </w:r>
      <w:r>
        <w:rPr>
          <w:b/>
        </w:rPr>
        <w:t>utilisés en adjuvant de la lévodopa</w:t>
      </w:r>
      <w:r>
        <w:t xml:space="preserve"> dans les stades avancés de la maladie (fluctuations motrices « wearing-off »), pour prolonger la demi-vie de la lévodopa et réduire les fluctuations</w:t>
      </w:r>
    </w:p>
    <w:p>
      <w:pPr>
        <w:pStyle w:val="ListBullet"/>
      </w:pPr>
      <w:r>
        <w:t xml:space="preserve">Ils ne sont </w:t>
      </w:r>
      <w:r>
        <w:rPr>
          <w:b/>
        </w:rPr>
        <w:t>jamais utilisés en monothérapie</w:t>
      </w:r>
      <w:r>
        <w:t xml:space="preserve"> (pas d'effet propre sans lévodopa associée)</w:t>
      </w:r>
    </w:p>
    <w:p>
      <w:pPr>
        <w:pStyle w:val="ListBullet"/>
      </w:pPr>
      <w:r>
        <w:t xml:space="preserve">L'entacapone se prescrit à la dose de </w:t>
      </w:r>
      <w:r>
        <w:rPr>
          <w:b/>
        </w:rPr>
        <w:t>200 mg avec chaque dose de lévodopa</w:t>
      </w:r>
      <w:r>
        <w:t xml:space="preserve"> (jusqu'à 10 prises par jour, soit 2000 mg d'entacapone/jour maximum)</w:t>
      </w:r>
    </w:p>
    <w:p>
      <w:pPr>
        <w:pStyle w:val="ListBullet"/>
      </w:pPr>
      <w:r>
        <w:t xml:space="preserve">L'association fixe </w:t>
      </w:r>
      <w:r>
        <w:rPr>
          <w:b/>
        </w:rPr>
        <w:t>lévodopa + carbidopa + entacapone</w:t>
      </w:r>
      <w:r>
        <w:t xml:space="preserve"> (Stalevo — non disponible en Algérie sous cette forme fixe) simplifie l'observance (1 comprimé unique au lieu de 2)</w:t>
      </w:r>
    </w:p>
    <w:p>
      <w:r/>
      <w:r>
        <w:rPr>
          <w:b/>
        </w:rPr>
        <w:t>Règle de bon usage au comptoir</w:t>
      </w:r>
      <w:r>
        <w:t xml:space="preserve"> : tout patient sous entacapone doit être informé des points suivants :</w:t>
      </w:r>
    </w:p>
    <w:p>
      <w:pPr>
        <w:pStyle w:val="ListNumber"/>
      </w:pPr>
      <w:r/>
      <w:r>
        <w:rPr>
          <w:b/>
        </w:rPr>
        <w:t>Prise simultanée avec chaque dose de lévodopa</w:t>
      </w:r>
      <w:r>
        <w:t xml:space="preserve"> — ne pas prendre seul (pas d'effet)</w:t>
      </w:r>
    </w:p>
    <w:p>
      <w:pPr>
        <w:pStyle w:val="ListNumber"/>
      </w:pPr>
      <w:r/>
      <w:r>
        <w:rPr>
          <w:b/>
        </w:rPr>
        <w:t>Surveillance des dyskinésies</w:t>
      </w:r>
      <w:r>
        <w:t xml:space="preserve"> — l'entacapone augmente la biodisponibilité de la lévodopa, ce qui peut majorer les dyskinésies induites par la lévodopa (LID) — réduction de la dose de lévodopa de 20-30 % à l'introduction de l'entacapone</w:t>
      </w:r>
    </w:p>
    <w:p>
      <w:pPr>
        <w:pStyle w:val="ListNumber"/>
      </w:pPr>
      <w:r/>
      <w:r>
        <w:rPr>
          <w:b/>
        </w:rPr>
        <w:t>Surveillance de la diarrhée</w:t>
      </w:r>
      <w:r>
        <w:t xml:space="preserve"> — effet indésirable fréquent (10-20 %), pouvant être sévère et imposer l'arrêt</w:t>
      </w:r>
    </w:p>
    <w:p>
      <w:pPr>
        <w:pStyle w:val="ListNumber"/>
      </w:pPr>
      <w:r/>
      <w:r>
        <w:rPr>
          <w:b/>
        </w:rPr>
        <w:t>Information sur la coloration de l'urine</w:t>
      </w:r>
      <w:r>
        <w:t xml:space="preserve"> — inoffensive mais à signaler (rouge-brun, par métabolites phénoliques)</w:t>
      </w:r>
    </w:p>
    <w:p>
      <w:pPr>
        <w:pStyle w:val="ListNumber"/>
      </w:pPr>
      <w:r/>
      <w:r>
        <w:rPr>
          <w:b/>
        </w:rPr>
        <w:t>Surveillance des interactions</w:t>
      </w:r>
      <w:r>
        <w:t xml:space="preserve"> — IMAO non sélectifs (CI absolue), warfarine (variation INR)</w:t>
      </w:r>
    </w:p>
    <w:p>
      <w:pPr>
        <w:pStyle w:val="ListNumber"/>
      </w:pPr>
      <w:r/>
      <w:r>
        <w:rPr>
          <w:b/>
        </w:rPr>
        <w:t>Ne jamais associer à la tolcapone</w:t>
      </w:r>
      <w:r>
        <w:t xml:space="preserve"> (si disponible — interaction PK et toxicité additive)</w:t>
      </w:r>
    </w:p>
    <w:p>
      <w:r>
        <w:t>Le présent chapitre se concentre sur l'</w:t>
      </w:r>
      <w:r>
        <w:rPr>
          <w:b/>
        </w:rPr>
        <w:t>entacapone</w:t>
      </w:r>
      <w:r>
        <w:t>, seul inhibiteur COMT disponible en Algérie.</w:t>
      </w:r>
    </w:p>
    <w:p>
      <w:pPr>
        <w:pStyle w:val="Heading3"/>
      </w:pPr>
      <w:r>
        <w:t>3. DCI : Entacapone (Seule)</w:t>
      </w:r>
    </w:p>
    <w:p>
      <w:r>
        <w:t xml:space="preserve">L'entacapone est un inhibiteur réversible, sélectif et périphérique de la COMT (Catéchol-O-Méthyl-Transférase), commercialisé en Europe depuis 1998 et en Algérie depuis les années 2000. Il s'agit d'une molécule de la famille des </w:t>
      </w:r>
      <w:r>
        <w:rPr>
          <w:b/>
        </w:rPr>
        <w:t>nitro-catéchols</w:t>
      </w:r>
      <w:r>
        <w:t xml:space="preserve"> ((E)-2-cyano-3-(3,4-dihydroxy-5-nitrophenyl)-N,N-diethylprop-2-enamide), qui se distingue des autres inhibiteurs COMT (tolcapone, opicapone) par son profil de tolérance favorable (absence d'hépatotoxicité sévère, contrairement à la tolcapone) et par sa </w:t>
      </w:r>
      <w:r>
        <w:rPr>
          <w:b/>
        </w:rPr>
        <w:t>distribution strictement périphérique</w:t>
      </w:r>
      <w:r>
        <w:t xml:space="preserve"> (ne traverse pas la BHE en quantité significative — n'inhibe donc que la COMT périphérique, présumée responsable de la majorité de la dégradation de la lévodopa). L'entacapone est prescrit en </w:t>
      </w:r>
      <w:r>
        <w:rPr>
          <w:b/>
        </w:rPr>
        <w:t>adjuvant de la lévodopa</w:t>
      </w:r>
      <w:r>
        <w:t xml:space="preserve"> dans les stades avancés de la maladie de Parkinson avec fluctuations motrices de fin de dose (« wearing-off ») — il prolonge la demi-vie plasmatique de la lévodopa de ~60-90 min à ~120-150 min, augmentant ainsi la durée d'action de chaque prise et réduisant le temps « off » quotidien. L'entacapone doit être pris </w:t>
      </w:r>
      <w:r>
        <w:rPr>
          <w:b/>
        </w:rPr>
        <w:t>simultanément avec chaque dose de lévodopa</w:t>
      </w:r>
      <w:r>
        <w:t xml:space="preserve"> (comprimés à libération immédiate), ce qui impose une observance stricte. La spécialité associant lévodopa + carbidopa + entacapone en un seul comprimé (Stalevo) n'est pas disponible en Algérie — le patient doit donc prendre deux comprimés à chaque prise (un de lévodopa/carbidopa + un d'entacapone 200 mg). L'effet indésirable le plus caractéristique (et le plus connu des patients) est la </w:t>
      </w:r>
      <w:r>
        <w:rPr>
          <w:b/>
        </w:rPr>
        <w:t>coloration rouge-brun de l'urine</w:t>
      </w:r>
      <w:r>
        <w:t xml:space="preserve"> — inoffensive mais à signaler pour éviter l'angoisse du patient. La diarrhée est l'effet indésirable limitant le plus souvent le traitement (10-20 %, parfois sévère, imposant l'arrêt dans 5-10 % des cas).</w:t>
      </w:r>
    </w:p>
    <w:p>
      <w:r/>
      <w:r>
        <w:rPr>
          <w:b/>
        </w:rPr>
        <w:t>Liste des Catégories :</w:t>
      </w:r>
      <w:r>
        <w:t xml:space="preserve"> Antiparkinsoniens — Adjuvant de la lévodopa — Inhibiteur de la COMT (Catéchol-O-Méthyl-Transférase) périphérique, réversible.</w:t>
      </w:r>
    </w:p>
    <w:p>
      <w:r/>
      <w:r>
        <w:rPr>
          <w:b/>
        </w:rPr>
        <w:t>Médicaments disponibles en Algérie (Marques, Laboratoires, Formes et Dosages) :</w:t>
      </w:r>
      <w:r/>
    </w:p>
    <w:p>
      <w:r>
        <w:t>Spécialités ACTIVES :</w:t>
      </w:r>
    </w:p>
    <w:p>
      <w:pPr>
        <w:pStyle w:val="ListBullet"/>
      </w:pPr>
      <w:r/>
      <w:r>
        <w:rPr>
          <w:b/>
        </w:rPr>
        <w:t>CANTAPONE</w:t>
      </w:r>
      <w:r>
        <w:t xml:space="preserve"> (EL KENDI INDUSTRIE DU MEDICAMENT)</w:t>
      </w:r>
    </w:p>
    <w:p>
      <w:pPr>
        <w:pStyle w:val="ListBullet"/>
      </w:pPr>
      <w:r>
        <w:t>Formes et Dosages : Comprimé pelliculé 200 mg (pilulier de 30)</w:t>
      </w:r>
    </w:p>
    <w:p>
      <w:pPr>
        <w:pStyle w:val="ListBullet"/>
      </w:pPr>
      <w:r>
        <w:t>Statut : Actif (Liste I)</w:t>
      </w:r>
    </w:p>
    <w:p>
      <w:pPr>
        <w:pStyle w:val="ListBullet"/>
      </w:pPr>
      <w:r>
        <w:t>Remarque : marque générique algérienne, conditionnement en pilulier (pratique pour le comptage des doses)</w:t>
      </w:r>
    </w:p>
    <w:p>
      <w:pPr>
        <w:pStyle w:val="ListBullet"/>
      </w:pPr>
      <w:r/>
      <w:r>
        <w:rPr>
          <w:b/>
        </w:rPr>
        <w:t>COMTAN</w:t>
      </w:r>
      <w:r>
        <w:t xml:space="preserve"> (NOVARTIS PHARMA SCHWEIZ AG)</w:t>
      </w:r>
    </w:p>
    <w:p>
      <w:pPr>
        <w:pStyle w:val="ListBullet"/>
      </w:pPr>
      <w:r>
        <w:t>Formes et Dosages : Comprimé pelliculé 200 mg (B/30)</w:t>
      </w:r>
    </w:p>
    <w:p>
      <w:pPr>
        <w:pStyle w:val="ListBullet"/>
      </w:pPr>
      <w:r>
        <w:t>Statut : Actif (Liste I)</w:t>
      </w:r>
    </w:p>
    <w:p>
      <w:pPr>
        <w:pStyle w:val="ListBullet"/>
      </w:pPr>
      <w:r>
        <w:t>Remarque : marque princeps (Novartis), boîte standard de 30 comprimés</w:t>
      </w:r>
    </w:p>
    <w:p>
      <w:r/>
      <w:r>
        <w:rPr>
          <w:b/>
        </w:rPr>
        <w:t>Commentaire sur la disponibilité algérienne :</w:t>
      </w:r>
      <w:r>
        <w:t xml:space="preserve"> l'entacapone est disponible en Algérie sous deux marques : COMTAN (Novartis — marque princeps) et CANTAPONE (El Kendi — générique algérien). Les deux marques proposent le dosage unique de </w:t>
      </w:r>
      <w:r>
        <w:rPr>
          <w:b/>
        </w:rPr>
        <w:t>200 mg en comprimé pelliculé</w:t>
      </w:r>
      <w:r>
        <w:t xml:space="preserve"> (pas d'autres dosages disponibles). L'association fixe </w:t>
      </w:r>
      <w:r>
        <w:rPr>
          <w:b/>
        </w:rPr>
        <w:t>lévodopa + carbidopa + entacapone</w:t>
      </w:r>
      <w:r>
        <w:t xml:space="preserve"> (Stalevo, Novartis) n'est </w:t>
      </w:r>
      <w:r>
        <w:rPr>
          <w:b/>
        </w:rPr>
        <w:t>pas disponible en Algérie</w:t>
      </w:r>
      <w:r>
        <w:t xml:space="preserve"> — le patient doit donc prendre deux comprimés à chaque prise (un comprimé de lévodopa/carbidopa + un comprimé d'entacapone 200 mg). Le pharmacien doit savoir gérer le </w:t>
      </w:r>
      <w:r>
        <w:rPr>
          <w:b/>
        </w:rPr>
        <w:t>switch entre marques</w:t>
      </w:r>
      <w:r>
        <w:t xml:space="preserve"> en cas d'indisponibilité (équivalence de dose stricte selon le dosage — 200 mg = 200 mg). À noter que la tolcapone (Tasmar — autre inhibiteur COMT) n'est </w:t>
      </w:r>
      <w:r>
        <w:rPr>
          <w:b/>
        </w:rPr>
        <w:t>pas disponible en Algérie</w:t>
      </w:r>
      <w:r>
        <w:t xml:space="preserve"> en raison de son risque d'hépatotoxicité sévère. L'opicapone (Ongentys — inhibiteur COMT récent à prise unique quotidienne) n'est pas non plus disponible en Algérie à ce jour.</w:t>
      </w:r>
    </w:p>
    <w:p>
      <w:r/>
      <w:r>
        <w:rPr>
          <w:b/>
        </w:rPr>
        <w:t>Sous-classe et Mécanisme d'action :</w:t>
      </w:r>
      <w:r/>
    </w:p>
    <w:p>
      <w:pPr>
        <w:pStyle w:val="ListBullet"/>
      </w:pPr>
      <w:r/>
      <w:r>
        <w:rPr>
          <w:b/>
        </w:rPr>
        <w:t>Sous-classe</w:t>
      </w:r>
      <w:r>
        <w:t xml:space="preserve"> : Antiparkinsonien adjuvant — inhibiteur COMT (Catéchol-O-Méthyl-Transférase) périphérique, réversible, de la famille des nitro-catéchols. Utilisé exclusivement en association à la lévodopa pour traiter les fluctuations motrices de fin de dose (« wearing-off ») dans les stades avancés de la maladie de Parkinson.</w:t>
      </w:r>
    </w:p>
    <w:p>
      <w:pPr>
        <w:pStyle w:val="ListBullet"/>
      </w:pPr>
      <w:r/>
      <w:r>
        <w:rPr>
          <w:b/>
        </w:rPr>
        <w:t>Mécanisme d'action</w:t>
      </w:r>
      <w:r>
        <w:t xml:space="preserve"> :</w:t>
      </w:r>
    </w:p>
    <w:p>
      <w:pPr>
        <w:pStyle w:val="ListBullet"/>
      </w:pPr>
      <w:r/>
      <w:r>
        <w:rPr>
          <w:b/>
        </w:rPr>
        <w:t>Inhibition sélective et réversible de la COMT périphérique</w:t>
      </w:r>
      <w:r>
        <w:t xml:space="preserve"> (Ki ≈ 10-20 nM — affinité élevée) — l'entacapone ne traverse pas la barrière hémato-encéphalique en quantité significative (polarité élevée, substrat de la glycoprotéine P efflux), n'inhibe donc que la COMT périphérique (intestin, foie, reins, globules rouges). L'inhibition de la COMT centrale (qui serait susceptible d'agir directement sur la dégradation cérébrale de la dopamine) est présumée négligeable avec l'entacapone — son effet thérapeutique passe entièrement par l'augmentation de la biodisponibilité périphérique de la lévodopa.</w:t>
      </w:r>
    </w:p>
    <w:p>
      <w:pPr>
        <w:pStyle w:val="ListBullet"/>
      </w:pPr>
      <w:r/>
      <w:r>
        <w:rPr>
          <w:b/>
        </w:rPr>
        <w:t>Réduction de la O-méthylation périphérique de la lévodopa</w:t>
      </w:r>
      <w:r>
        <w:t xml:space="preserve"> en </w:t>
      </w:r>
      <w:r>
        <w:rPr>
          <w:b/>
        </w:rPr>
        <w:t>3-O-méthyldopa (3-OMD)</w:t>
      </w:r>
      <w:r>
        <w:t xml:space="preserve"> — un métabolite inactif qui entre en compétition avec la lévodopa au transporteur LAT1 des acides aminés neutres (limitant ainsi la biodisponibilité centrale de la lévodopa). En réduisant la formation de 3-OMD, l'entacapone augmente la fraction de lévodopa disponible pour la traversée de la BHE.</w:t>
      </w:r>
    </w:p>
    <w:p>
      <w:pPr>
        <w:pStyle w:val="ListBullet"/>
      </w:pPr>
      <w:r/>
      <w:r>
        <w:rPr>
          <w:b/>
        </w:rPr>
        <w:t>Augmentation de la biodisponibilité centrale de la lévodopa</w:t>
      </w:r>
      <w:r>
        <w:t xml:space="preserve"> (de 30-50 % avec IDDC seul à 60-75 % avec IDDC + entacapone)</w:t>
      </w:r>
    </w:p>
    <w:p>
      <w:pPr>
        <w:pStyle w:val="ListBullet"/>
      </w:pPr>
      <w:r/>
      <w:r>
        <w:rPr>
          <w:b/>
        </w:rPr>
        <w:t>Prolongation de la demi-vie plasmatique de la lévodopa</w:t>
      </w:r>
      <w:r>
        <w:t xml:space="preserve"> (de ~60-90 min à ~120-150 min) — effet clinique : réduction des fluctuations motrices de fin de dose, augmentation du temps « on » quotidien de 1-2 heures</w:t>
      </w:r>
    </w:p>
    <w:p>
      <w:pPr>
        <w:pStyle w:val="ListBullet"/>
      </w:pPr>
      <w:r/>
      <w:r>
        <w:rPr>
          <w:b/>
        </w:rPr>
        <w:t>Stabilisation des concentrations plasmatiques de lévodopa</w:t>
      </w:r>
      <w:r>
        <w:t xml:space="preserve"> — réduction des pics et des creux, ce qui peut réduire les dyskinésies de pic de dose (par lissage) et améliorer les blocages de fin de dose</w:t>
      </w:r>
    </w:p>
    <w:p>
      <w:pPr>
        <w:pStyle w:val="ListBullet"/>
      </w:pPr>
      <w:r/>
      <w:r>
        <w:rPr>
          <w:b/>
        </w:rPr>
        <w:t>Réduction possible de la dose totale de lévodopa</w:t>
      </w:r>
      <w:r>
        <w:t xml:space="preserve"> (de 20-30 %) à efficacité équivalente — l'introduction de l'entacapone nécessite une adaptation de la dose de lévodopa pour éviter les dyskinésies de surdosage relatif</w:t>
      </w:r>
    </w:p>
    <w:p>
      <w:pPr>
        <w:pStyle w:val="ListBullet"/>
      </w:pPr>
      <w:r/>
      <w:r>
        <w:rPr>
          <w:b/>
        </w:rPr>
        <w:t>Complémentarité avec les autres antiparkinsoniens</w:t>
      </w:r>
      <w:r>
        <w:t xml:space="preserve"> :</w:t>
      </w:r>
    </w:p>
    <w:p>
      <w:pPr>
        <w:pStyle w:val="ListBullet"/>
      </w:pPr>
      <w:r/>
      <w:r>
        <w:rPr>
          <w:b/>
        </w:rPr>
        <w:t>Lévodopa</w:t>
      </w:r>
      <w:r>
        <w:t xml:space="preserve"> : adjuvant obligatoire — l'entacapone n'a aucun effet propre sans lévodopa associée</w:t>
      </w:r>
    </w:p>
    <w:p>
      <w:pPr>
        <w:pStyle w:val="ListBullet"/>
      </w:pPr>
      <w:r/>
      <w:r>
        <w:rPr>
          <w:b/>
        </w:rPr>
        <w:t>Agonistes dopaminergiques</w:t>
      </w:r>
      <w:r>
        <w:t xml:space="preserve"> (ropinirole, pramipexole) : pas d'interaction pharmacocinétique (les agonistes ne sont pas métabolisés par la COMT), association possible dans les stades avancés</w:t>
      </w:r>
    </w:p>
    <w:p>
      <w:pPr>
        <w:pStyle w:val="ListBullet"/>
      </w:pPr>
      <w:r/>
      <w:r>
        <w:rPr>
          <w:b/>
        </w:rPr>
        <w:t>Inhibiteurs MAO-B</w:t>
      </w:r>
      <w:r>
        <w:t xml:space="preserve"> (sélégiline, rasagiline) : association utile — l'inhibition combinée des deux voies de dégradation de la dopamine (COMT périphérique + MAO-B centrale) permet une stabilisation maximale des concentrations cérébrales de dopamine</w:t>
      </w:r>
    </w:p>
    <w:p>
      <w:pPr>
        <w:pStyle w:val="ListBullet"/>
      </w:pPr>
      <w:r/>
      <w:r>
        <w:rPr>
          <w:b/>
        </w:rPr>
        <w:t>Comparaison avec les autres inhibiteurs COMT</w:t>
      </w:r>
      <w:r>
        <w:t xml:space="preserve"> :</w:t>
      </w:r>
    </w:p>
    <w:p>
      <w:pPr>
        <w:pStyle w:val="ListBullet"/>
      </w:pPr>
      <w:r/>
      <w:r>
        <w:rPr>
          <w:b/>
        </w:rPr>
        <w:t>Entacapone</w:t>
      </w:r>
      <w:r>
        <w:t xml:space="preserve"> : périphérique, demi-vie courte (2-3 heures), prise avec chaque dose de lévodopa, profil de tolérance favorable (pas d'hépatotoxicité sévère)</w:t>
      </w:r>
    </w:p>
    <w:p>
      <w:pPr>
        <w:pStyle w:val="ListBullet"/>
      </w:pPr>
      <w:r/>
      <w:r>
        <w:rPr>
          <w:b/>
        </w:rPr>
        <w:t>Tolcapone</w:t>
      </w:r>
      <w:r>
        <w:t xml:space="preserve"> : périphérique et central (traverse la BHE), demi-vie similaire (2-3 heures), prise 3 fois/jour indépendante des repas, mais </w:t>
      </w:r>
      <w:r>
        <w:rPr>
          <w:b/>
        </w:rPr>
        <w:t>risque d'hépatotoxicité sévère</w:t>
      </w:r>
      <w:r>
        <w:t xml:space="preserve"> (hépatite fulminante — incidence 1/10 000 à 1/30 000 — plusieurs décès rapportés) → réservé à l'usage hospitalier spécialisé sous surveillance stricte des transaminases (ALAT, ASAT toutes les 2-4 semaines), non disponible en Algérie</w:t>
      </w:r>
    </w:p>
    <w:p>
      <w:pPr>
        <w:pStyle w:val="ListBullet"/>
      </w:pPr>
      <w:r/>
      <w:r>
        <w:rPr>
          <w:b/>
        </w:rPr>
        <w:t>Opicapone</w:t>
      </w:r>
      <w:r>
        <w:t xml:space="preserve"> : périphérique, demi-vie très longue (liaison à la COMT — phase terminale ~100 heures), prise unique quotidienne, profil de tolérance favorable, mais non disponible en Algérie à ce jour</w:t>
      </w:r>
    </w:p>
    <w:p>
      <w:r/>
      <w:r>
        <w:rPr>
          <w:b/>
        </w:rPr>
        <w:t>Profil Pharmacologique :</w:t>
      </w:r>
      <w:r/>
    </w:p>
    <w:p>
      <w:pPr>
        <w:pStyle w:val="ListBullet"/>
      </w:pPr>
      <w:r/>
      <w:r>
        <w:rPr>
          <w:b/>
        </w:rPr>
        <w:t>Indications</w:t>
      </w:r>
      <w:r>
        <w:t xml:space="preserve"> :</w:t>
      </w:r>
    </w:p>
    <w:p>
      <w:pPr>
        <w:pStyle w:val="ListBullet"/>
      </w:pPr>
      <w:r/>
      <w:r>
        <w:rPr>
          <w:b/>
        </w:rPr>
        <w:t>Maladie de Parkinson avec fluctuations motrices de fin de dose</w:t>
      </w:r>
      <w:r>
        <w:t xml:space="preserve"> (« wearing-off ») sous lévodopa + IDDC : traitement adjuvant pour prolonger la durée d'action de chaque prise de lévodopa et réduire le temps « off » quotidien. Indication princeps et unique AMM.</w:t>
      </w:r>
    </w:p>
    <w:p>
      <w:pPr>
        <w:pStyle w:val="ListBullet"/>
      </w:pPr>
      <w:r/>
      <w:r>
        <w:rPr>
          <w:b/>
        </w:rPr>
        <w:t>Hors AMM</w:t>
      </w:r>
      <w:r>
        <w:t xml:space="preserve"> : association à la lévodopa pour réduire les dyskinésies de pic de dose (par lissage des concentrations plasmatiques — effet controversé, à évaluer individuellement)</w:t>
      </w:r>
    </w:p>
    <w:p>
      <w:pPr>
        <w:pStyle w:val="ListBullet"/>
      </w:pPr>
      <w:r/>
      <w:r>
        <w:rPr>
          <w:b/>
        </w:rPr>
        <w:t>Contre-indications</w:t>
      </w:r>
      <w:r>
        <w:t xml:space="preserve"> :</w:t>
      </w:r>
    </w:p>
    <w:p>
      <w:pPr>
        <w:pStyle w:val="ListBullet"/>
      </w:pPr>
      <w:r/>
      <w:r>
        <w:rPr>
          <w:b/>
        </w:rPr>
        <w:t>Hypersensibilité à l'entacapone ou à l'un des excipients</w:t>
      </w:r>
      <w:r/>
    </w:p>
    <w:p>
      <w:pPr>
        <w:pStyle w:val="ListBullet"/>
      </w:pPr>
      <w:r/>
      <w:r>
        <w:rPr>
          <w:b/>
        </w:rPr>
        <w:t>Phéochromocytome</w:t>
      </w:r>
      <w:r>
        <w:t xml:space="preserve"> : risque d'hypertension paroxystique (l'entacapone inhibe la COMT qui dégrade les catécholamines — risque d'accumulation de noradrénaline chez les patients porteurs d'un phéochromocytome)</w:t>
      </w:r>
    </w:p>
    <w:p>
      <w:pPr>
        <w:pStyle w:val="ListBullet"/>
      </w:pPr>
      <w:r/>
      <w:r>
        <w:rPr>
          <w:b/>
        </w:rPr>
        <w:t>Association aux IMAO non sélectifs</w:t>
      </w:r>
      <w:r>
        <w:t xml:space="preserve"> (iproniazide — Marplan) : </w:t>
      </w:r>
      <w:r>
        <w:rPr>
          <w:b/>
        </w:rPr>
        <w:t>CI absolue</w:t>
      </w:r>
      <w:r>
        <w:t xml:space="preserve"> — risque d'hypertension artérielle paroxystique maligne (l'inhibition combinée de la COMT et de la MAO empêche la dégradation périphérique de la dopamine issue de la décarboxylation périphérique résiduelle de la lévodopa — accumulation massive de dopamine plasmatique). Wash-out de 15 jours minimum avant d'introduire l'entacapone après arrêt d'un IMAO non sélectif.</w:t>
      </w:r>
    </w:p>
    <w:p>
      <w:pPr>
        <w:pStyle w:val="ListBullet"/>
      </w:pPr>
      <w:r/>
      <w:r>
        <w:rPr>
          <w:b/>
        </w:rPr>
        <w:t>Association aux IMAO-A sélectifs</w:t>
      </w:r>
      <w:r>
        <w:t xml:space="preserve"> (moclobémide) : CI relative — risque d'hypertension</w:t>
      </w:r>
    </w:p>
    <w:p>
      <w:pPr>
        <w:pStyle w:val="ListBullet"/>
      </w:pPr>
      <w:r/>
      <w:r>
        <w:rPr>
          <w:b/>
        </w:rPr>
        <w:t>Traitements par lévodopa non associés à un IDDC</w:t>
      </w:r>
      <w:r>
        <w:t xml:space="preserve"> : l'entacapone n'est pas indiqué dans ce cas (la lévodopa seule sans IDDC expose à des effets indésirables périphériques majeurs)</w:t>
      </w:r>
    </w:p>
    <w:p>
      <w:pPr>
        <w:pStyle w:val="ListBullet"/>
      </w:pPr>
      <w:r/>
      <w:r>
        <w:rPr>
          <w:b/>
        </w:rPr>
        <w:t>Antécédent de syndrome neuroleptique malin (SNM)</w:t>
      </w:r>
      <w:r>
        <w:t xml:space="preserve"> ou de rhabdomyolyse non traumatique : prudence</w:t>
      </w:r>
    </w:p>
    <w:p>
      <w:pPr>
        <w:pStyle w:val="ListBullet"/>
      </w:pPr>
      <w:r/>
      <w:r>
        <w:rPr>
          <w:b/>
        </w:rPr>
        <w:t>Insuffisance hépatique sévère</w:t>
      </w:r>
      <w:r>
        <w:t xml:space="preserve"> : CI relative — adaptation posologique (réduction de dose, surveillance clinique et biologique)</w:t>
      </w:r>
    </w:p>
    <w:p>
      <w:pPr>
        <w:pStyle w:val="ListBullet"/>
      </w:pPr>
      <w:r/>
      <w:r>
        <w:rPr>
          <w:b/>
        </w:rPr>
        <w:t>Bilobation biliaire obstructive</w:t>
      </w:r>
      <w:r>
        <w:t xml:space="preserve"> : prudence (l'entacapone est principalement éliminé par voie biliaire)</w:t>
      </w:r>
    </w:p>
    <w:p>
      <w:pPr>
        <w:pStyle w:val="ListBullet"/>
      </w:pPr>
      <w:r/>
      <w:r>
        <w:rPr>
          <w:b/>
        </w:rPr>
        <w:t>Allaitement</w:t>
      </w:r>
      <w:r>
        <w:t xml:space="preserve"> : CI absolue (passage dans le lait maternel, effet sur le nourrisson non évalué)</w:t>
      </w:r>
    </w:p>
    <w:p>
      <w:pPr>
        <w:pStyle w:val="ListBullet"/>
      </w:pPr>
      <w:r/>
      <w:r>
        <w:rPr>
          <w:b/>
        </w:rPr>
        <w:t>Enfant et adolescent &lt; 18 ans</w:t>
      </w:r>
      <w:r>
        <w:t xml:space="preserve"> : pas d'AMM</w:t>
      </w:r>
    </w:p>
    <w:p>
      <w:pPr>
        <w:pStyle w:val="ListBullet"/>
      </w:pPr>
      <w:r/>
      <w:r>
        <w:rPr>
          <w:b/>
        </w:rPr>
        <w:t>Hallucinations sévères ou psychose non contrôlée</w:t>
      </w:r>
      <w:r>
        <w:t xml:space="preserve"> : prudence — l'augmentation de la biodisponibilité de la lévodopa peut aggraver les symptômes psychotiques</w:t>
      </w:r>
    </w:p>
    <w:p>
      <w:pPr>
        <w:pStyle w:val="ListBullet"/>
      </w:pPr>
      <w:r/>
      <w:r>
        <w:rPr>
          <w:b/>
        </w:rPr>
        <w:t>Effets Indésirables</w:t>
      </w:r>
      <w:r>
        <w:t xml:space="preserve"> :</w:t>
      </w:r>
    </w:p>
    <w:p>
      <w:pPr>
        <w:pStyle w:val="ListBullet"/>
      </w:pPr>
      <w:r/>
      <w:r>
        <w:rPr>
          <w:b/>
        </w:rPr>
        <w:t>Neurologiques (liés à l'augmentation de la biodisponibilité de la lévodopa)</w:t>
      </w:r>
      <w:r>
        <w:t xml:space="preserve"> :</w:t>
      </w:r>
    </w:p>
    <w:p>
      <w:pPr>
        <w:pStyle w:val="ListBullet"/>
      </w:pPr>
      <w:r/>
      <w:r>
        <w:rPr>
          <w:b/>
        </w:rPr>
        <w:t>Dyskinésies induites par la lévodopa</w:t>
      </w:r>
      <w:r>
        <w:t xml:space="preserve"> (LID — incidence 30-40 % à l'initiation de l'entacapone) — signe de surdosage relatif en lévodopa → réduction de la dose de lévodopa de 20-30 %</w:t>
      </w:r>
    </w:p>
    <w:p>
      <w:pPr>
        <w:pStyle w:val="ListBullet"/>
      </w:pPr>
      <w:r/>
      <w:r>
        <w:rPr>
          <w:b/>
        </w:rPr>
        <w:t>Hallucinations</w:t>
      </w:r>
      <w:r>
        <w:t xml:space="preserve"> (incidence 5-10 %, surtout sujet âgé ou en cas de démence émergente)</w:t>
      </w:r>
    </w:p>
    <w:p>
      <w:pPr>
        <w:pStyle w:val="ListBullet"/>
      </w:pPr>
      <w:r/>
      <w:r>
        <w:rPr>
          <w:b/>
        </w:rPr>
        <w:t>Confusion mentale</w:t>
      </w:r>
      <w:r>
        <w:t xml:space="preserve"> (surtout sujet âgé)</w:t>
      </w:r>
    </w:p>
    <w:p>
      <w:pPr>
        <w:pStyle w:val="ListBullet"/>
      </w:pPr>
      <w:r/>
      <w:r>
        <w:rPr>
          <w:b/>
        </w:rPr>
        <w:t>Somnolence diurne excessive</w:t>
      </w:r>
      <w:r>
        <w:t xml:space="preserve"> (incidence 5-10 %)</w:t>
      </w:r>
    </w:p>
    <w:p>
      <w:pPr>
        <w:pStyle w:val="ListBullet"/>
      </w:pPr>
      <w:r/>
      <w:r>
        <w:rPr>
          <w:b/>
        </w:rPr>
        <w:t>Vertiges</w:t>
      </w:r>
      <w:r>
        <w:t>, céphalées</w:t>
      </w:r>
    </w:p>
    <w:p>
      <w:pPr>
        <w:pStyle w:val="ListBullet"/>
      </w:pPr>
      <w:r/>
      <w:r>
        <w:rPr>
          <w:b/>
        </w:rPr>
        <w:t>Rêves anxieux</w:t>
      </w:r>
      <w:r>
        <w:t>, troubles du sommeil</w:t>
      </w:r>
    </w:p>
    <w:p>
      <w:pPr>
        <w:pStyle w:val="ListBullet"/>
      </w:pPr>
      <w:r/>
      <w:r>
        <w:rPr>
          <w:b/>
        </w:rPr>
        <w:t>Digestifs (les plus fréquents et limitants)</w:t>
      </w:r>
      <w:r>
        <w:t xml:space="preserve"> :</w:t>
      </w:r>
    </w:p>
    <w:p>
      <w:pPr>
        <w:pStyle w:val="ListBullet"/>
      </w:pPr>
      <w:r/>
      <w:r>
        <w:rPr>
          <w:b/>
        </w:rPr>
        <w:t>Diarrhée</w:t>
      </w:r>
      <w:r>
        <w:t xml:space="preserve"> (incidence 10-20 %, parfois sévère et imposant l'arrêt dans 5-10 % des cas) — mécanisme mal élucidé (effet de la COMT sur la motilité intestinale ?) — généralement après plusieurs semaines de traitement, peut être tardive (jusqu'à plusieurs mois) — à signaler au neurologue</w:t>
      </w:r>
    </w:p>
    <w:p>
      <w:pPr>
        <w:pStyle w:val="ListBullet"/>
      </w:pPr>
      <w:r/>
      <w:r>
        <w:rPr>
          <w:b/>
        </w:rPr>
        <w:t>Nausées</w:t>
      </w:r>
      <w:r>
        <w:t xml:space="preserve"> (incidence 5-10 %, généralement modérées)</w:t>
      </w:r>
    </w:p>
    <w:p>
      <w:pPr>
        <w:pStyle w:val="ListBullet"/>
      </w:pPr>
      <w:r/>
      <w:r>
        <w:rPr>
          <w:b/>
        </w:rPr>
        <w:t>Douleurs abdominales</w:t>
      </w:r>
      <w:r>
        <w:t xml:space="preserve">, </w:t>
      </w:r>
      <w:r>
        <w:rPr>
          <w:b/>
        </w:rPr>
        <w:t>constipation</w:t>
      </w:r>
      <w:r>
        <w:t xml:space="preserve"> (effet paradoxal), </w:t>
      </w:r>
      <w:r>
        <w:rPr>
          <w:b/>
        </w:rPr>
        <w:t>sécheresse buccale</w:t>
      </w:r>
      <w:r>
        <w:t xml:space="preserve">, </w:t>
      </w:r>
      <w:r>
        <w:rPr>
          <w:b/>
        </w:rPr>
        <w:t>dyspepsie</w:t>
      </w:r>
      <w:r/>
    </w:p>
    <w:p>
      <w:pPr>
        <w:pStyle w:val="ListBullet"/>
      </w:pPr>
      <w:r/>
      <w:r>
        <w:rPr>
          <w:b/>
        </w:rPr>
        <w:t>Hypertrophie des glandes salivaires</w:t>
      </w:r>
      <w:r>
        <w:t xml:space="preserve"> (rare)</w:t>
      </w:r>
    </w:p>
    <w:p>
      <w:pPr>
        <w:pStyle w:val="ListBullet"/>
      </w:pPr>
      <w:r/>
      <w:r>
        <w:rPr>
          <w:b/>
        </w:rPr>
        <w:t>Urinaires</w:t>
      </w:r>
      <w:r>
        <w:t xml:space="preserve"> :</w:t>
      </w:r>
    </w:p>
    <w:p>
      <w:pPr>
        <w:pStyle w:val="ListBullet"/>
      </w:pPr>
      <w:r/>
      <w:r>
        <w:rPr>
          <w:b/>
        </w:rPr>
        <w:t>Urine colorée rouge-brun</w:t>
      </w:r>
      <w:r>
        <w:t xml:space="preserve"> (incidence 30-50 %) — inoffensive mais à signaler au patient pour éviter l'angoisse — mécanisme : métabolites phénoliques de l'entacapone excrétés dans l'urine (acide nitrocatéchol-méthyl conjugué) — à distinguer d'une hématurie (le patient peut s'inquiéter d'une « urine sanglante »)</w:t>
      </w:r>
    </w:p>
    <w:p>
      <w:pPr>
        <w:pStyle w:val="ListBullet"/>
      </w:pPr>
      <w:r/>
      <w:r>
        <w:rPr>
          <w:b/>
        </w:rPr>
        <w:t>Cardiovasculaires</w:t>
      </w:r>
      <w:r>
        <w:t xml:space="preserve"> :</w:t>
      </w:r>
    </w:p>
    <w:p>
      <w:pPr>
        <w:pStyle w:val="ListBullet"/>
      </w:pPr>
      <w:r/>
      <w:r>
        <w:rPr>
          <w:b/>
        </w:rPr>
        <w:t>Hypotension orthostatique</w:t>
      </w:r>
      <w:r>
        <w:t xml:space="preserve"> (incidence 5-10 %, liée à l'augmentation de la biodisponibilité de la lévodopa)</w:t>
      </w:r>
    </w:p>
    <w:p>
      <w:pPr>
        <w:pStyle w:val="ListBullet"/>
      </w:pPr>
      <w:r/>
      <w:r>
        <w:rPr>
          <w:b/>
        </w:rPr>
        <w:t>Syncope</w:t>
      </w:r>
      <w:r>
        <w:t xml:space="preserve"> (rare)</w:t>
      </w:r>
    </w:p>
    <w:p>
      <w:pPr>
        <w:pStyle w:val="ListBullet"/>
      </w:pPr>
      <w:r/>
      <w:r>
        <w:rPr>
          <w:b/>
        </w:rPr>
        <w:t>Allongement QTc</w:t>
      </w:r>
      <w:r>
        <w:t xml:space="preserve"> (rare, à surveiller en cas d'association à d'autres allongeurs QT)</w:t>
      </w:r>
    </w:p>
    <w:p>
      <w:pPr>
        <w:pStyle w:val="ListBullet"/>
      </w:pPr>
      <w:r/>
      <w:r>
        <w:rPr>
          <w:b/>
        </w:rPr>
        <w:t>Cutanés</w:t>
      </w:r>
      <w:r>
        <w:t xml:space="preserve"> :</w:t>
      </w:r>
    </w:p>
    <w:p>
      <w:pPr>
        <w:pStyle w:val="ListBullet"/>
      </w:pPr>
      <w:r/>
      <w:r>
        <w:rPr>
          <w:b/>
        </w:rPr>
        <w:t>Rash cutané</w:t>
      </w:r>
      <w:r>
        <w:t xml:space="preserve">, prurit, </w:t>
      </w:r>
      <w:r>
        <w:rPr>
          <w:b/>
        </w:rPr>
        <w:t>sudation excessive</w:t>
      </w:r>
      <w:r/>
    </w:p>
    <w:p>
      <w:pPr>
        <w:pStyle w:val="ListBullet"/>
      </w:pPr>
      <w:r>
        <w:t>Rarement : érythème pigmenté fixe (mélanodermie des zones exposées au soleil — à distinguer d'un mélanome)</w:t>
      </w:r>
    </w:p>
    <w:p>
      <w:pPr>
        <w:pStyle w:val="ListBullet"/>
      </w:pPr>
      <w:r/>
      <w:r>
        <w:rPr>
          <w:b/>
        </w:rPr>
        <w:t>Hépatiques</w:t>
      </w:r>
      <w:r>
        <w:t xml:space="preserve"> :</w:t>
      </w:r>
    </w:p>
    <w:p>
      <w:pPr>
        <w:pStyle w:val="ListBullet"/>
      </w:pPr>
      <w:r/>
      <w:r>
        <w:rPr>
          <w:b/>
        </w:rPr>
        <w:t>Élévation modérée et transitoire des transaminases</w:t>
      </w:r>
      <w:r>
        <w:t xml:space="preserve"> (incidence 5-10 %, sans gravité habituelle)</w:t>
      </w:r>
    </w:p>
    <w:p>
      <w:pPr>
        <w:pStyle w:val="ListBullet"/>
      </w:pPr>
      <w:r/>
      <w:r>
        <w:rPr>
          <w:b/>
        </w:rPr>
        <w:t>Pas d'hépatotoxicité sévère</w:t>
      </w:r>
      <w:r>
        <w:t xml:space="preserve"> avec l'entacapone (contrairement à la tolcapone)</w:t>
      </w:r>
    </w:p>
    <w:p>
      <w:pPr>
        <w:pStyle w:val="ListBullet"/>
      </w:pPr>
      <w:r/>
      <w:r>
        <w:rPr>
          <w:b/>
        </w:rPr>
        <w:t>Biologiques</w:t>
      </w:r>
      <w:r>
        <w:t xml:space="preserve"> :</w:t>
      </w:r>
    </w:p>
    <w:p>
      <w:pPr>
        <w:pStyle w:val="ListBullet"/>
      </w:pPr>
      <w:r>
        <w:t>Pas d'effet hématologique notable</w:t>
      </w:r>
    </w:p>
    <w:p>
      <w:pPr>
        <w:pStyle w:val="ListBullet"/>
      </w:pPr>
      <w:r/>
      <w:r>
        <w:rPr>
          <w:b/>
        </w:rPr>
        <w:t>Métaboliques</w:t>
      </w:r>
      <w:r>
        <w:t xml:space="preserve"> :</w:t>
      </w:r>
    </w:p>
    <w:p>
      <w:pPr>
        <w:pStyle w:val="ListBullet"/>
      </w:pPr>
      <w:r/>
      <w:r>
        <w:rPr>
          <w:b/>
        </w:rPr>
        <w:t>Perte de poids</w:t>
      </w:r>
      <w:r>
        <w:t xml:space="preserve"> (incidence 5-10 %, liée à la diarrhée et à la réduction de la dose de lévodopa)</w:t>
      </w:r>
    </w:p>
    <w:p>
      <w:pPr>
        <w:pStyle w:val="ListBullet"/>
      </w:pPr>
      <w:r/>
      <w:r>
        <w:rPr>
          <w:b/>
        </w:rPr>
        <w:t>Syndrome malin parkinsonien</w:t>
      </w:r>
      <w:r>
        <w:t xml:space="preserve"> : rare, surtout en cas d'arrêt brutal de la lévodopa ou de l'association</w:t>
      </w:r>
    </w:p>
    <w:p>
      <w:pPr>
        <w:pStyle w:val="ListBullet"/>
      </w:pPr>
      <w:r/>
      <w:r>
        <w:rPr>
          <w:b/>
        </w:rPr>
        <w:t>Impatience</w:t>
      </w:r>
      <w:r>
        <w:t xml:space="preserve"> (akathisie-like) : rare</w:t>
      </w:r>
    </w:p>
    <w:p>
      <w:pPr>
        <w:pStyle w:val="ListBullet"/>
      </w:pPr>
      <w:r/>
      <w:r>
        <w:rPr>
          <w:b/>
        </w:rPr>
        <w:t>Effets indésirables spécifiques à signaler au patient</w:t>
      </w:r>
      <w:r>
        <w:t xml:space="preserve"> :</w:t>
      </w:r>
    </w:p>
    <w:p>
      <w:pPr>
        <w:pStyle w:val="ListBullet"/>
      </w:pPr>
      <w:r/>
      <w:r>
        <w:rPr>
          <w:b/>
        </w:rPr>
        <w:t>Coloration rouge-brun de l'urine</w:t>
      </w:r>
      <w:r>
        <w:t xml:space="preserve"> : à signaler systématiquement (« ne vous inquiétez pas, c'est un effet normal et inoffensif du médicament — il colore l'urine en rouge-brun »)</w:t>
      </w:r>
    </w:p>
    <w:p>
      <w:pPr>
        <w:pStyle w:val="ListBullet"/>
      </w:pPr>
      <w:r/>
      <w:r>
        <w:rPr>
          <w:b/>
        </w:rPr>
        <w:t>Diarrhée</w:t>
      </w:r>
      <w:r>
        <w:t xml:space="preserve"> : à signaler (« si vous développez une diarrhée sévère ou persistante, prévenez votre neurologue — il faudra peut-être réduire la dose ou arrêter le traitement »)</w:t>
      </w:r>
    </w:p>
    <w:p>
      <w:pPr>
        <w:pStyle w:val="ListBullet"/>
      </w:pPr>
      <w:r/>
      <w:r>
        <w:rPr>
          <w:b/>
        </w:rPr>
        <w:t>Dyskinésies majorées</w:t>
      </w:r>
      <w:r>
        <w:t xml:space="preserve"> : à signaler (« si vos mouvements anormaux s'aggravent après l'introduction de l'entacapone, prévenez votre neurologue — il faudra réduire la dose de lévodopa »)</w:t>
      </w:r>
    </w:p>
    <w:p>
      <w:r/>
      <w:r>
        <w:rPr>
          <w:b/>
        </w:rPr>
        <w:t>Prévention et Gestion des Effets Indésirables :</w:t>
      </w:r>
      <w:r/>
    </w:p>
    <w:p>
      <w:pPr>
        <w:pStyle w:val="ListBullet"/>
      </w:pPr>
      <w:r/>
      <w:r>
        <w:rPr>
          <w:b/>
        </w:rPr>
        <w:t>Mesures Préventives</w:t>
      </w:r>
      <w:r>
        <w:t xml:space="preserve"> :</w:t>
      </w:r>
    </w:p>
    <w:p>
      <w:pPr>
        <w:pStyle w:val="ListBullet"/>
      </w:pPr>
      <w:r/>
      <w:r>
        <w:rPr>
          <w:b/>
        </w:rPr>
        <w:t>Réduction préventive de la dose de lévodopa</w:t>
      </w:r>
      <w:r>
        <w:t xml:space="preserve"> de 20-30 % à l'introduction de l'entacapone — pour éviter les dyskinésies de surdosage relatif (l'entacapone augmente la biodisponibilité de la lévodopa de ~50 %). La réduction se fait en pratique sur la première prise de lévodopa du jour (souvent la plus dosée), ou sur toutes les prises uniformément.</w:t>
      </w:r>
    </w:p>
    <w:p>
      <w:pPr>
        <w:pStyle w:val="ListBullet"/>
      </w:pPr>
      <w:r/>
      <w:r>
        <w:rPr>
          <w:b/>
        </w:rPr>
        <w:t>Prise simultanée avec chaque dose de lévodopa</w:t>
      </w:r>
      <w:r>
        <w:t xml:space="preserve"> — l'entacapone doit être pris exactement au même moment que la lévodopa (pas d'écart &gt; 1 heure)</w:t>
      </w:r>
    </w:p>
    <w:p>
      <w:pPr>
        <w:pStyle w:val="ListBullet"/>
      </w:pPr>
      <w:r/>
      <w:r>
        <w:rPr>
          <w:b/>
        </w:rPr>
        <w:t>Information patient sur la coloration de l'urine</w:t>
      </w:r>
      <w:r>
        <w:t xml:space="preserve"> — prévenir systématiquement que l'urine peut devenir rouge-brun (« c'est normal et inoffensif, ce n'est pas du sang »)</w:t>
      </w:r>
    </w:p>
    <w:p>
      <w:pPr>
        <w:pStyle w:val="ListBullet"/>
      </w:pPr>
      <w:r/>
      <w:r>
        <w:rPr>
          <w:b/>
        </w:rPr>
        <w:t>Surveillance des dyskinésies</w:t>
      </w:r>
      <w:r>
        <w:t xml:space="preserve"> — interrogation systématique à chaque consultation ; si majoration, réduire la dose de lévodopa</w:t>
      </w:r>
    </w:p>
    <w:p>
      <w:pPr>
        <w:pStyle w:val="ListBullet"/>
      </w:pPr>
      <w:r/>
      <w:r>
        <w:rPr>
          <w:b/>
        </w:rPr>
        <w:t>Surveillance de la diarrhée</w:t>
      </w:r>
      <w:r>
        <w:t xml:space="preserve"> — interrogation systématique ; si sévère ou persistante, envisager réduction de dose ou arrêt</w:t>
      </w:r>
    </w:p>
    <w:p>
      <w:pPr>
        <w:pStyle w:val="ListBullet"/>
      </w:pPr>
      <w:r/>
      <w:r>
        <w:rPr>
          <w:b/>
        </w:rPr>
        <w:t>Surveillance psychiatrique</w:t>
      </w:r>
      <w:r>
        <w:t xml:space="preserve"> — interrogation systématique sur l'apparition d'hallucinations, idées délirantes, confusion (surtout sujet âgé)</w:t>
      </w:r>
    </w:p>
    <w:p>
      <w:pPr>
        <w:pStyle w:val="ListBullet"/>
      </w:pPr>
      <w:r/>
      <w:r>
        <w:rPr>
          <w:b/>
        </w:rPr>
        <w:t>Surveillance de la tension artérielle</w:t>
      </w:r>
      <w:r>
        <w:t xml:space="preserve"> (TA debout et couchée) à l'initiation</w:t>
      </w:r>
    </w:p>
    <w:p>
      <w:pPr>
        <w:pStyle w:val="ListBullet"/>
      </w:pPr>
      <w:r/>
      <w:r>
        <w:rPr>
          <w:b/>
        </w:rPr>
        <w:t>Bilan pré-thérapeutique</w:t>
      </w:r>
      <w:r>
        <w:t xml:space="preserve"> : ECG (sujet âgé ou ATCD cardiaque), transaminases (initiale puis à 3-6 mois), créatininémie</w:t>
      </w:r>
    </w:p>
    <w:p>
      <w:pPr>
        <w:pStyle w:val="ListBullet"/>
      </w:pPr>
      <w:r/>
      <w:r>
        <w:rPr>
          <w:b/>
        </w:rPr>
        <w:t>Conduite à Tenir</w:t>
      </w:r>
      <w:r>
        <w:t xml:space="preserve"> :</w:t>
      </w:r>
    </w:p>
    <w:p>
      <w:pPr>
        <w:pStyle w:val="ListBullet"/>
      </w:pPr>
      <w:r/>
      <w:r>
        <w:rPr>
          <w:b/>
        </w:rPr>
        <w:t>Dyskinésies majorées</w:t>
      </w:r>
      <w:r>
        <w:t xml:space="preserve"> : réduire la dose de lévodopa de 10-25 % (en gardant l'entacapone à 200 mg par prise), surveillance clinique</w:t>
      </w:r>
    </w:p>
    <w:p>
      <w:pPr>
        <w:pStyle w:val="ListBullet"/>
      </w:pPr>
      <w:r/>
      <w:r>
        <w:rPr>
          <w:b/>
        </w:rPr>
        <w:t>Hallucinations</w:t>
      </w:r>
      <w:r>
        <w:t xml:space="preserve"> : réduire la dose de lévodopa (et donc indirectement l'effet de l'entacapone), envisager switch vers clozapine ou quétiapine pour la composante psychotique</w:t>
      </w:r>
    </w:p>
    <w:p>
      <w:pPr>
        <w:pStyle w:val="ListBullet"/>
      </w:pPr>
      <w:r/>
      <w:r>
        <w:rPr>
          <w:b/>
        </w:rPr>
        <w:t>Diarrhée modérée</w:t>
      </w:r>
      <w:r>
        <w:t xml:space="preserve"> : surveillance, mesures hygiéno-diététiques (hydratation, régime antidiarrhéique), si persistante envisager réduction de dose</w:t>
      </w:r>
    </w:p>
    <w:p>
      <w:pPr>
        <w:pStyle w:val="ListBullet"/>
      </w:pPr>
      <w:r/>
      <w:r>
        <w:rPr>
          <w:b/>
        </w:rPr>
        <w:t>Diarrhée sévère</w:t>
      </w:r>
      <w:r>
        <w:t xml:space="preserve"> : arrêt de l'entacapone, prise en charge symptomatique, surveillance de la déshydratation (surtout sujet âgé)</w:t>
      </w:r>
    </w:p>
    <w:p>
      <w:pPr>
        <w:pStyle w:val="ListBullet"/>
      </w:pPr>
      <w:r/>
      <w:r>
        <w:rPr>
          <w:b/>
        </w:rPr>
        <w:t>Hypotension orthostatique symptomatique</w:t>
      </w:r>
      <w:r>
        <w:t xml:space="preserve"> : augmentation de l'apport hydrosodé, bas de contention, lever progressif, réduction de la dose de lévodopa si nécessaire</w:t>
      </w:r>
    </w:p>
    <w:p>
      <w:pPr>
        <w:pStyle w:val="ListBullet"/>
      </w:pPr>
      <w:r/>
      <w:r>
        <w:rPr>
          <w:b/>
        </w:rPr>
        <w:t>Urine colorée</w:t>
      </w:r>
      <w:r>
        <w:t xml:space="preserve"> : pas de conduite à tenir (effet normal, inoffensif) — simplement informer le patient</w:t>
      </w:r>
    </w:p>
    <w:p>
      <w:pPr>
        <w:pStyle w:val="ListBullet"/>
      </w:pPr>
      <w:r/>
      <w:r>
        <w:rPr>
          <w:b/>
        </w:rPr>
        <w:t>Élévation des transaminases</w:t>
      </w:r>
      <w:r>
        <w:t xml:space="preserve"> (ALAT, ASAT &gt; 3× LSN) : surveillance rapprochée, si persistance envisager arrêt</w:t>
      </w:r>
    </w:p>
    <w:p>
      <w:pPr>
        <w:pStyle w:val="ListBullet"/>
      </w:pPr>
      <w:r/>
      <w:r>
        <w:rPr>
          <w:b/>
        </w:rPr>
        <w:t>Syndrome malin parkinsonien</w:t>
      </w:r>
      <w:r>
        <w:t xml:space="preserve"> : urgence vitale — hospitalisation réanimation (comme avec la lévodopa)</w:t>
      </w:r>
    </w:p>
    <w:p>
      <w:r/>
      <w:r>
        <w:rPr>
          <w:b/>
        </w:rPr>
        <w:t>Interactions Importantes :</w:t>
      </w:r>
      <w:r/>
    </w:p>
    <w:p>
      <w:pPr>
        <w:pStyle w:val="ListBullet"/>
      </w:pPr>
      <w:r/>
      <w:r>
        <w:rPr>
          <w:b/>
        </w:rPr>
        <w:t>Entacapone + IMAO non sélectif</w:t>
      </w:r>
      <w:r>
        <w:t xml:space="preserve"> (iproniazide — Marplan) : </w:t>
      </w:r>
      <w:r>
        <w:rPr>
          <w:b/>
        </w:rPr>
        <w:t>CI absolue</w:t>
      </w:r>
      <w:r>
        <w:t xml:space="preserve"> — risque d'hypertension artérielle paroxystique maligne (l'inhibition combinée de la COMT et de la MAO empêche la dégradation périphérique de la dopamine issue de la décarboxylation périphérique résiduelle de la lévodopa — accumulation massive de dopamine plasmatique). Wash-out de 15 jours minimum entre l'arrêt de l'IMAO non sélectif et l'introduction de l'entacapone.</w:t>
      </w:r>
    </w:p>
    <w:p>
      <w:pPr>
        <w:pStyle w:val="ListBullet"/>
      </w:pPr>
      <w:r/>
      <w:r>
        <w:rPr>
          <w:b/>
        </w:rPr>
        <w:t>Entacapone + IMAO-A sélectif</w:t>
      </w:r>
      <w:r>
        <w:t xml:space="preserve"> (moclobémide) : CI relative — risque d'hypertension</w:t>
      </w:r>
    </w:p>
    <w:p>
      <w:pPr>
        <w:pStyle w:val="ListBullet"/>
      </w:pPr>
      <w:r/>
      <w:r>
        <w:rPr>
          <w:b/>
        </w:rPr>
        <w:t>Entacapone + IMAO-B sélectif</w:t>
      </w:r>
      <w:r>
        <w:t xml:space="preserve"> (sélégiline ≤ 10 mg/j, rasagiline ≤ 1 mg/j) : </w:t>
      </w:r>
      <w:r>
        <w:rPr>
          <w:b/>
        </w:rPr>
        <w:t>autorisation</w:t>
      </w:r>
      <w:r>
        <w:t xml:space="preserve"> — l'association est utile (inhibition combinée des deux voies de dégradation de la dopamine), mais avec prudence et surveillance (risque d'hypotension et de dyskinésies majorées)</w:t>
      </w:r>
    </w:p>
    <w:p>
      <w:pPr>
        <w:pStyle w:val="ListBullet"/>
      </w:pPr>
      <w:r/>
      <w:r>
        <w:rPr>
          <w:b/>
        </w:rPr>
        <w:t>Entacapone + lévodopa</w:t>
      </w:r>
      <w:r>
        <w:t xml:space="preserve"> : pas d'interaction pharmacocinétique (l'entacapone prolonge la demi-vie de la lévodopa — effet recherché), mais effet pharmacodynamique additif (potentialisation de l'effet antiparkinsonien et des effets indésirables dopaminergiques — dyskinésies, hallucinations, hypotension). Adapter les doses (réduction de la lévodopa de 20-30 % à l'introduction de l'entacapone).</w:t>
      </w:r>
    </w:p>
    <w:p>
      <w:pPr>
        <w:pStyle w:val="ListBullet"/>
      </w:pPr>
      <w:r/>
      <w:r>
        <w:rPr>
          <w:b/>
        </w:rPr>
        <w:t>Entacapone + agonistes dopaminergiques</w:t>
      </w:r>
      <w:r>
        <w:t xml:space="preserve"> (ropinirole, pramipexole) : pas d'interaction pharmacocinétique (les agonistes ne sont pas métabolisés par la COMT), association possible dans les stades avancés</w:t>
      </w:r>
    </w:p>
    <w:p>
      <w:pPr>
        <w:pStyle w:val="ListBullet"/>
      </w:pPr>
      <w:r/>
      <w:r>
        <w:rPr>
          <w:b/>
        </w:rPr>
        <w:t>Entacapone + warfarine</w:t>
      </w:r>
      <w:r>
        <w:t xml:space="preserve"> : variation de l'INR (l'entacapone se lie à l'albumine et déplace la warfarine de ses sites de fixation — augmentation de l'INR et risque hémorragique). Surveillance INR à l'introduction et à l'arrêt de l'entacapone.</w:t>
      </w:r>
    </w:p>
    <w:p>
      <w:pPr>
        <w:pStyle w:val="ListBullet"/>
      </w:pPr>
      <w:r/>
      <w:r>
        <w:rPr>
          <w:b/>
        </w:rPr>
        <w:t>Entacapone + fer oral</w:t>
      </w:r>
      <w:r>
        <w:t xml:space="preserve"> (sels ferreux) : chélation possible (l'entacapone a un groupement catéchol qui peut chélater les ions ferriques) — espacer les prises d'au moins 2 heures.</w:t>
      </w:r>
    </w:p>
    <w:p>
      <w:pPr>
        <w:pStyle w:val="ListBullet"/>
      </w:pPr>
      <w:r/>
      <w:r>
        <w:rPr>
          <w:b/>
        </w:rPr>
        <w:t>Entacapone + antibiotiques</w:t>
      </w:r>
      <w:r>
        <w:t xml:space="preserve"> (pénicillines, céphalosporines, macrolides, fluoroquinolones) : pas d'interaction majeure</w:t>
      </w:r>
    </w:p>
    <w:p>
      <w:pPr>
        <w:pStyle w:val="ListBullet"/>
      </w:pPr>
      <w:r/>
      <w:r>
        <w:rPr>
          <w:b/>
        </w:rPr>
        <w:t>Entacapone + Métopimazine</w:t>
      </w:r>
      <w:r>
        <w:t xml:space="preserve"> (Vogalène) : antagoniste D2 périphérique — peut réduire l'efficacité de la lévodopa (et donc indirectement de l'entacapone) si usage prolongé ; préférer le dompéridone</w:t>
      </w:r>
    </w:p>
    <w:p>
      <w:pPr>
        <w:pStyle w:val="ListBullet"/>
      </w:pPr>
      <w:r/>
      <w:r>
        <w:rPr>
          <w:b/>
        </w:rPr>
        <w:t>Entacapone + neuroleptiques</w:t>
      </w:r>
      <w:r>
        <w:t xml:space="preserve"> : antagonisme pharmacodynamique complet (CI absolue pour la lévodopa — voir fiche dédiée). L'entacapone n'a pas d'effet direct sur les récepteurs D2 mais potentialise l'effet de la lévodopa, qui est antagonisé par les neuroleptiques. Sauf clozapine et quétiapine.</w:t>
      </w:r>
    </w:p>
    <w:p>
      <w:pPr>
        <w:pStyle w:val="ListBullet"/>
      </w:pPr>
      <w:r/>
      <w:r>
        <w:rPr>
          <w:b/>
        </w:rPr>
        <w:t>Entacapone + antihypertenseurs</w:t>
      </w:r>
      <w:r>
        <w:t xml:space="preserve"> : potentialisation de l'hypotension orthostatique — surveillance TA</w:t>
      </w:r>
    </w:p>
    <w:p>
      <w:pPr>
        <w:pStyle w:val="ListBullet"/>
      </w:pPr>
      <w:r/>
      <w:r>
        <w:rPr>
          <w:b/>
        </w:rPr>
        <w:t>Entacapone + antidépresseurs</w:t>
      </w:r>
      <w:r>
        <w:t xml:space="preserve"> (IRS, IRSN, ATC) : pas d'interaction pharmacocinétique majeure — préférables chez le patient parkinsonien dépressif</w:t>
      </w:r>
    </w:p>
    <w:p>
      <w:pPr>
        <w:pStyle w:val="ListBullet"/>
      </w:pPr>
      <w:r/>
      <w:r>
        <w:rPr>
          <w:b/>
        </w:rPr>
        <w:t>Entacapone + alcool</w:t>
      </w:r>
      <w:r>
        <w:t xml:space="preserve"> : potentialisation modérée de la sédation — déconseillé</w:t>
      </w:r>
    </w:p>
    <w:p>
      <w:pPr>
        <w:pStyle w:val="ListBullet"/>
      </w:pPr>
      <w:r/>
      <w:r>
        <w:rPr>
          <w:b/>
        </w:rPr>
        <w:t>Entacapone + opioïdes</w:t>
      </w:r>
      <w:r>
        <w:t xml:space="preserve"> : potentialisation modérée de la sédation — prudence</w:t>
      </w:r>
    </w:p>
    <w:p>
      <w:pPr>
        <w:pStyle w:val="ListBullet"/>
      </w:pPr>
      <w:r/>
      <w:r>
        <w:rPr>
          <w:b/>
        </w:rPr>
        <w:t>Entacapone + anesthésiques généraux</w:t>
      </w:r>
      <w:r>
        <w:t xml:space="preserve"> : information de l'anesthésiste, surveillance hémodynamique peropératoire</w:t>
      </w:r>
    </w:p>
    <w:p>
      <w:r/>
      <w:r>
        <w:rPr>
          <w:b/>
        </w:rPr>
        <w:t>Grossesse et Allaitement :</w:t>
      </w:r>
      <w:r/>
    </w:p>
    <w:p>
      <w:pPr>
        <w:pStyle w:val="ListBullet"/>
      </w:pPr>
      <w:r/>
      <w:r>
        <w:rPr>
          <w:b/>
        </w:rPr>
        <w:t>Grossesse</w:t>
      </w:r>
      <w:r>
        <w:t xml:space="preserve"> : selon CRAT, l'entacapone est </w:t>
      </w:r>
      <w:r>
        <w:rPr>
          <w:b/>
        </w:rPr>
        <w:t>déconseillé pendant la grossesse</w:t>
      </w:r>
      <w:r>
        <w:t xml:space="preserve"> en raison du manque de données cliniques humaines (la maladie de Parkinson est rare chez la femme en âge de procréer — formes juveniles rares). Les études animales ont montré des effets </w:t>
      </w:r>
      <w:r>
        <w:rPr>
          <w:b/>
        </w:rPr>
        <w:t>tératogènes</w:t>
      </w:r>
      <w:r>
        <w:t xml:space="preserve"> à doses élevées (pas à doses thérapeutiques). Le CRAT conclut à : « </w:t>
      </w:r>
      <w:r>
        <w:rPr>
          <w:b/>
        </w:rPr>
        <w:t>L'utilisation de l'entacapone est déconseillée chez la femme enceinte, par mesure de prudence, en raison du manque de données.</w:t>
      </w:r>
      <w:r>
        <w:t xml:space="preserve"> » En cas de nécessité, le rapport bénéfice/risque doit être évalué individuellement par le neurologue et le gynéco-obstétricien. L'entacapone n'est jamais prescrit en monothérapie, mais toujours en association à la lévodopa — c'est donc l'évaluation globale du traitement antiparkinsonien qui doit être discutée. En cas de grossesse programmée, envisager un switch vers la lévodopa seule (mieux documentée) avant la conception, en acceptant une éventuelle aggravation transitoire des fluctuations motrices.</w:t>
      </w:r>
    </w:p>
    <w:p>
      <w:pPr>
        <w:pStyle w:val="ListBullet"/>
      </w:pPr>
      <w:r/>
      <w:r>
        <w:rPr>
          <w:b/>
        </w:rPr>
        <w:t>Allaitement</w:t>
      </w:r>
      <w:r>
        <w:t xml:space="preserve"> : </w:t>
      </w:r>
      <w:r>
        <w:rPr>
          <w:b/>
        </w:rPr>
        <w:t>CI absolue</w:t>
      </w:r>
      <w:r>
        <w:t xml:space="preserve"> selon CRAT — l'entacapone passe dans le lait maternel (rapport lait/plasma inconnu mais probablement élevé en raison de la liposolubilité de la molécule) et expose le nourrisson à des effets non évalués (le mécanisme d'action de l'entacapone sur le nourrisson, en particulier le blocage de la COMT, n'est pas documenté). Sevrage du lait artificiel obligatoire.</w:t>
      </w:r>
    </w:p>
    <w:p>
      <w:pPr>
        <w:pStyle w:val="ListBullet"/>
      </w:pPr>
      <w:r/>
      <w:r>
        <w:rPr>
          <w:b/>
        </w:rPr>
        <w:t>Précisions</w:t>
      </w:r>
      <w:r>
        <w:t xml:space="preserve"> : la maladie de Parkinson idiopathique est rare chez la femme en âge de procréer (1 % des cas). En cas de grossesse non programmée sous entacapone, ne pas arrêter brutalement (risque de syndrome malin parkinsonien maternel et de détresse motrice per-partum), contacter le neurologue pour évaluation du bénéfice/risque.</w:t>
      </w:r>
    </w:p>
    <w:p>
      <w:r/>
      <w:r>
        <w:rPr>
          <w:b/>
        </w:rPr>
        <w:t>Posologie et Mode d'administration (Standard) :</w:t>
      </w:r>
      <w:r/>
    </w:p>
    <w:p>
      <w:pPr>
        <w:pStyle w:val="ListBullet"/>
      </w:pPr>
      <w:r/>
      <w:r>
        <w:rPr>
          <w:b/>
        </w:rPr>
        <w:t>Adulte</w:t>
      </w:r>
      <w:r>
        <w:t xml:space="preserve"> :</w:t>
      </w:r>
    </w:p>
    <w:p>
      <w:pPr>
        <w:pStyle w:val="ListBullet"/>
      </w:pPr>
      <w:r/>
      <w:r>
        <w:rPr>
          <w:b/>
        </w:rPr>
        <w:t>Dose standard</w:t>
      </w:r>
      <w:r>
        <w:t xml:space="preserve"> : </w:t>
      </w:r>
      <w:r>
        <w:rPr>
          <w:b/>
        </w:rPr>
        <w:t>200 mg avec chaque dose de lévodopa</w:t>
      </w:r>
      <w:r>
        <w:t xml:space="preserve"> (comprimé à libération immédiate)</w:t>
      </w:r>
    </w:p>
    <w:p>
      <w:pPr>
        <w:pStyle w:val="ListBullet"/>
      </w:pPr>
      <w:r/>
      <w:r>
        <w:rPr>
          <w:b/>
        </w:rPr>
        <w:t>Dose maximale</w:t>
      </w:r>
      <w:r>
        <w:t xml:space="preserve"> : 2000 mg/jour (10 comprimés par jour) — soit 10 prises de lévodopa + entacapone par jour maximum</w:t>
      </w:r>
    </w:p>
    <w:p>
      <w:pPr>
        <w:pStyle w:val="ListBullet"/>
      </w:pPr>
      <w:r/>
      <w:r>
        <w:rPr>
          <w:b/>
        </w:rPr>
        <w:t>Dose minimale efficace</w:t>
      </w:r>
      <w:r>
        <w:t xml:space="preserve"> : 400-600 mg/jour (2-3 prises avec lévodopa)</w:t>
      </w:r>
    </w:p>
    <w:p>
      <w:pPr>
        <w:pStyle w:val="ListBullet"/>
      </w:pPr>
      <w:r/>
      <w:r>
        <w:rPr>
          <w:b/>
        </w:rPr>
        <w:t>Adaptation</w:t>
      </w:r>
      <w:r>
        <w:t xml:space="preserve"> : la dose est ajustée en fonction de la réponse motrice (objectif : réduction du temps « off » quotidien) et de la tolérance (dyskinésies, diarrhée, hypotension)</w:t>
      </w:r>
    </w:p>
    <w:p>
      <w:pPr>
        <w:pStyle w:val="ListBullet"/>
      </w:pPr>
      <w:r/>
      <w:r>
        <w:rPr>
          <w:b/>
        </w:rPr>
        <w:t>Réduction de la dose de lévodopa</w:t>
      </w:r>
      <w:r>
        <w:t xml:space="preserve"> à l'introduction de l'entacapone : </w:t>
      </w:r>
      <w:r>
        <w:rPr>
          <w:b/>
        </w:rPr>
        <w:t>réduction de 20-30 %</w:t>
      </w:r>
      <w:r>
        <w:t xml:space="preserve"> de la dose totale de lévodopa pour éviter les dyskinésies de surdosage relatif (l'entacapone augmente la biodisponibilité de la lévodopa de ~50 %). La réduction se fait en pratique sur la première prise de lévodopa du jour (souvent la plus dosée), ou sur toutes les prises uniformément.</w:t>
      </w:r>
    </w:p>
    <w:p>
      <w:pPr>
        <w:pStyle w:val="ListBullet"/>
      </w:pPr>
      <w:r/>
      <w:r>
        <w:rPr>
          <w:b/>
        </w:rPr>
        <w:t>Sujet âgé</w:t>
      </w:r>
      <w:r>
        <w:t xml:space="preserve"> : pas d'adaptation posologique stricte, mais surveillance accrue des effets psychiatriques (hallucinations plus fréquentes) et de la diarrhée (risque de déshydratation)</w:t>
      </w:r>
    </w:p>
    <w:p>
      <w:pPr>
        <w:pStyle w:val="ListBullet"/>
      </w:pPr>
      <w:r/>
      <w:r>
        <w:rPr>
          <w:b/>
        </w:rPr>
        <w:t>Insuffisant rénal</w:t>
      </w:r>
      <w:r>
        <w:t xml:space="preserve"> :</w:t>
      </w:r>
    </w:p>
    <w:p>
      <w:pPr>
        <w:pStyle w:val="ListBullet"/>
      </w:pPr>
      <w:r>
        <w:t>Clairance ≥ 30 mL/min : pas d'adaptation</w:t>
      </w:r>
    </w:p>
    <w:p>
      <w:pPr>
        <w:pStyle w:val="ListBullet"/>
      </w:pPr>
      <w:r>
        <w:t>Clairance &lt; 30 mL/min : prudence, surveillance clinique (peu de données — l'entacapone est principalement métabolisé par le foie, l'adaptation est moins critique que pour le pramipexole)</w:t>
      </w:r>
    </w:p>
    <w:p>
      <w:pPr>
        <w:pStyle w:val="ListBullet"/>
      </w:pPr>
      <w:r/>
      <w:r>
        <w:rPr>
          <w:b/>
        </w:rPr>
        <w:t>Insuffisant hépatique</w:t>
      </w:r>
      <w:r>
        <w:t xml:space="preserve"> :</w:t>
      </w:r>
    </w:p>
    <w:p>
      <w:pPr>
        <w:pStyle w:val="ListBullet"/>
      </w:pPr>
      <w:r>
        <w:t>Légère à modérée : pas d'adaptation stricte, surveillance clinique et biologique (transaminases)</w:t>
      </w:r>
    </w:p>
    <w:p>
      <w:pPr>
        <w:pStyle w:val="ListBullet"/>
      </w:pPr>
      <w:r>
        <w:t>Sévère : CI relative — réduction de dose, surveillance stricte des transaminases</w:t>
      </w:r>
    </w:p>
    <w:p>
      <w:pPr>
        <w:pStyle w:val="ListBullet"/>
      </w:pPr>
      <w:r/>
      <w:r>
        <w:rPr>
          <w:b/>
        </w:rPr>
        <w:t>Durée</w:t>
      </w:r>
      <w:r>
        <w:t xml:space="preserve"> : traitement au long cours, à vie, indéfini. L'arrêt expose à un risque de réapparition des fluctuations motrices de fin de dose. Ne pas arrêter brutalement (risque de syndrome malin parkinsonien par retrait brutal de l'effet de la lévodopa potentialisée).</w:t>
      </w:r>
    </w:p>
    <w:p>
      <w:pPr>
        <w:pStyle w:val="ListBullet"/>
      </w:pPr>
      <w:r/>
      <w:r>
        <w:rPr>
          <w:b/>
        </w:rPr>
        <w:t>Moment de la prise</w:t>
      </w:r>
      <w:r>
        <w:t xml:space="preserve"> :</w:t>
      </w:r>
    </w:p>
    <w:p>
      <w:pPr>
        <w:pStyle w:val="ListBullet"/>
      </w:pPr>
      <w:r/>
      <w:r>
        <w:rPr>
          <w:b/>
        </w:rPr>
        <w:t>Strictement simultané avec chaque dose de lévodopa</w:t>
      </w:r>
      <w:r>
        <w:t xml:space="preserve"> (comprimé à libération immédiate)</w:t>
      </w:r>
    </w:p>
    <w:p>
      <w:pPr>
        <w:pStyle w:val="ListBullet"/>
      </w:pPr>
      <w:r>
        <w:t>À 1 heure près maximum</w:t>
      </w:r>
    </w:p>
    <w:p>
      <w:pPr>
        <w:pStyle w:val="ListBullet"/>
      </w:pPr>
      <w:r>
        <w:t>Ne pas prendre seul (pas d'effet propre)</w:t>
      </w:r>
    </w:p>
    <w:p>
      <w:pPr>
        <w:pStyle w:val="ListBullet"/>
      </w:pPr>
      <w:r/>
      <w:r>
        <w:rPr>
          <w:b/>
        </w:rPr>
        <w:t>Pas d'indication avec les formes LP de lévodopa</w:t>
      </w:r>
      <w:r>
        <w:t xml:space="preserve"> (la forme LP de lévodopa a déjà une demi-vie prolongée — l'entacapone n'a pas d'intérêt dans ce cas, et l'association n'est pas validée)</w:t>
      </w:r>
    </w:p>
    <w:p>
      <w:r/>
      <w:r>
        <w:rPr>
          <w:b/>
        </w:rPr>
        <w:t>Arbitrage et Bénéfices des Formes Galéniques :</w:t>
      </w:r>
      <w:r/>
    </w:p>
    <w:p>
      <w:r>
        <w:t>Le marché algérien dispose des formes suivantes :</w:t>
      </w:r>
    </w:p>
    <w:p>
      <w:pPr>
        <w:pStyle w:val="ListBullet"/>
      </w:pPr>
      <w:r/>
      <w:r>
        <w:rPr>
          <w:b/>
        </w:rPr>
        <w:t>Comprimé pelliculé 200 mg</w:t>
      </w:r>
      <w:r>
        <w:t xml:space="preserve"> (CANTAPONE, COMTAN) : dosage unique disponible, à prendre avec chaque dose de lévodopa. Conditionnement en pilulier (CANTAPONE) ou en boîte (COMTAN) de 30 comprimés.</w:t>
      </w:r>
    </w:p>
    <w:p>
      <w:r/>
      <w:r>
        <w:rPr>
          <w:b/>
        </w:rPr>
        <w:t>Limites du marché algérien :</w:t>
      </w:r>
      <w:r/>
    </w:p>
    <w:p>
      <w:pPr>
        <w:pStyle w:val="ListBullet"/>
      </w:pPr>
      <w:r/>
      <w:r>
        <w:rPr>
          <w:b/>
        </w:rPr>
        <w:t>Pas d'association fixe lévodopa + carbidopa + entacapone</w:t>
      </w:r>
      <w:r>
        <w:t xml:space="preserve"> (Stalevo, Novartis) disponible en Algérie — le patient doit donc prendre deux comprimés à chaque prise (un comprimé de lévodopa/carbidopa + un comprimé d'entacapone 200 mg)</w:t>
      </w:r>
    </w:p>
    <w:p>
      <w:pPr>
        <w:pStyle w:val="ListBullet"/>
      </w:pPr>
      <w:r/>
      <w:r>
        <w:rPr>
          <w:b/>
        </w:rPr>
        <w:t>Pas d'autre inhibiteur COMT</w:t>
      </w:r>
      <w:r>
        <w:t xml:space="preserve"> (tolcapone, opicapone) disponible en Algérie</w:t>
      </w:r>
    </w:p>
    <w:p>
      <w:r/>
      <w:r>
        <w:rPr>
          <w:b/>
        </w:rPr>
        <w:t>Arbitrage galénique pratique au comptoir :</w:t>
      </w:r>
      <w:r/>
    </w:p>
    <w:p>
      <w:pPr>
        <w:pStyle w:val="ListBullet"/>
      </w:pPr>
      <w:r/>
      <w:r>
        <w:rPr>
          <w:b/>
        </w:rPr>
        <w:t>Initiation</w:t>
      </w:r>
      <w:r>
        <w:t xml:space="preserve"> : CANTAPONE 200 mg ou COMTAN 200 mg — 1 comprimé avec chaque dose de lévodopa (en réduisant la dose de lévodopa de 20-30 % simultanément)</w:t>
      </w:r>
    </w:p>
    <w:p>
      <w:pPr>
        <w:pStyle w:val="ListBullet"/>
      </w:pPr>
      <w:r/>
      <w:r>
        <w:rPr>
          <w:b/>
        </w:rPr>
        <w:t>Switch entre marques</w:t>
      </w:r>
      <w:r>
        <w:t xml:space="preserve"> : équivalence de dose stricte (200 mg = 200 mg), surveillance clinique à 2-4 semaines</w:t>
      </w:r>
    </w:p>
    <w:p>
      <w:pPr>
        <w:pStyle w:val="ListBullet"/>
      </w:pPr>
      <w:r/>
      <w:r>
        <w:rPr>
          <w:b/>
        </w:rPr>
        <w:t>Optimisation de l'observance</w:t>
      </w:r>
      <w:r>
        <w:t xml:space="preserve"> : utilisation d'un pilulier (prévoir une case pour la lévodopa et une case pour l'entacapone à chaque prise)</w:t>
      </w:r>
    </w:p>
    <w:p>
      <w:pPr>
        <w:pStyle w:val="ListBullet"/>
      </w:pPr>
      <w:r/>
      <w:r>
        <w:rPr>
          <w:b/>
        </w:rPr>
        <w:t>Information patient sur la nécessité de prendre les deux comprimés simultanément</w:t>
      </w:r>
      <w:r>
        <w:t xml:space="preserve"> : « prenez bien les deux comprimés en même temps, à chaque prise — l'entacapone prolonge l'effet de la lévodopa »</w:t>
      </w:r>
    </w:p>
    <w:p>
      <w:r/>
      <w:r>
        <w:rPr>
          <w:b/>
        </w:rPr>
        <w:t>Instructions et Conseils au Patient :</w:t>
      </w:r>
      <w:r/>
    </w:p>
    <w:p>
      <w:pPr>
        <w:pStyle w:val="ListBullet"/>
      </w:pPr>
      <w:r/>
      <w:r>
        <w:rPr>
          <w:b/>
        </w:rPr>
        <w:t>Communication au comptoir</w:t>
      </w:r>
      <w:r>
        <w:t xml:space="preserve"> :</w:t>
      </w:r>
    </w:p>
    <w:p>
      <w:pPr>
        <w:pStyle w:val="ListBullet"/>
      </w:pPr>
      <w:r>
        <w:t xml:space="preserve">Expliquer la </w:t>
      </w:r>
      <w:r>
        <w:rPr>
          <w:b/>
        </w:rPr>
        <w:t>prise simultanée avec chaque dose de lévodopa</w:t>
      </w:r>
      <w:r>
        <w:t xml:space="preserve"> : « l'entacapone doit être prise en même temps que la lévodopa, à chaque prise. Prenez bien les deux comprimés ensemble. Si vous prenez 4 doses de lévodopa par jour, vous prenez 4 comprimés d'entacapone par jour (un avec chaque dose). »</w:t>
      </w:r>
    </w:p>
    <w:p>
      <w:pPr>
        <w:pStyle w:val="ListBullet"/>
      </w:pPr>
      <w:r>
        <w:t xml:space="preserve">Prévenir de la </w:t>
      </w:r>
      <w:r>
        <w:rPr>
          <w:b/>
        </w:rPr>
        <w:t>coloration de l'urine</w:t>
      </w:r>
      <w:r>
        <w:t xml:space="preserve"> : « ne vous inquiétez pas, votre urine va devenir rouge-brun — c'est normal et inoffensif, ce n'est pas du sang. C'est un effet du médicament. »</w:t>
      </w:r>
    </w:p>
    <w:p>
      <w:pPr>
        <w:pStyle w:val="ListBullet"/>
      </w:pPr>
      <w:r>
        <w:t xml:space="preserve">Prévenir des </w:t>
      </w:r>
      <w:r>
        <w:rPr>
          <w:b/>
        </w:rPr>
        <w:t>dyskinésies majorées</w:t>
      </w:r>
      <w:r>
        <w:t xml:space="preserve"> : « si vos mouvements anormaux s'aggravent après l'introduction de l'entacapone, prévenez votre neurologue — il faudra réduire la dose de lévodopa. »</w:t>
      </w:r>
    </w:p>
    <w:p>
      <w:pPr>
        <w:pStyle w:val="ListBullet"/>
      </w:pPr>
      <w:r>
        <w:t xml:space="preserve">Prévenir de la </w:t>
      </w:r>
      <w:r>
        <w:rPr>
          <w:b/>
        </w:rPr>
        <w:t>diarrhée</w:t>
      </w:r>
      <w:r>
        <w:t xml:space="preserve"> : « si vous développez une diarrhée sévère ou persistante, prévenez votre neurologue — il faudra peut-être réduire la dose ou arrêter le traitement. »</w:t>
      </w:r>
    </w:p>
    <w:p>
      <w:pPr>
        <w:pStyle w:val="ListBullet"/>
      </w:pPr>
      <w:r>
        <w:t xml:space="preserve">Prévenir des </w:t>
      </w:r>
      <w:r>
        <w:rPr>
          <w:b/>
        </w:rPr>
        <w:t>hallucinations</w:t>
      </w:r>
      <w:r>
        <w:t xml:space="preserve"> : « si vous avez des hallucinations (surtout visuelles), prévenez votre médecin. »</w:t>
      </w:r>
    </w:p>
    <w:p>
      <w:pPr>
        <w:pStyle w:val="ListBullet"/>
      </w:pPr>
      <w:r>
        <w:t xml:space="preserve">Prévenir des </w:t>
      </w:r>
      <w:r>
        <w:rPr>
          <w:b/>
        </w:rPr>
        <w:t>hypotensions orthostatiques</w:t>
      </w:r>
      <w:r>
        <w:t xml:space="preserve"> : « levez-vous progressivement (3 temps), surtout en début de traitement. »</w:t>
      </w:r>
    </w:p>
    <w:p>
      <w:pPr>
        <w:pStyle w:val="ListBullet"/>
      </w:pPr>
      <w:r>
        <w:t xml:space="preserve">Prévenir des </w:t>
      </w:r>
      <w:r>
        <w:rPr>
          <w:b/>
        </w:rPr>
        <w:t>interactions</w:t>
      </w:r>
      <w:r>
        <w:t xml:space="preserve"> : « ne prenez pas d'IMAO sans avis médical (risque vital d'hypertension). »</w:t>
      </w:r>
    </w:p>
    <w:p>
      <w:pPr>
        <w:pStyle w:val="ListBullet"/>
      </w:pPr>
      <w:r/>
      <w:r>
        <w:rPr>
          <w:b/>
        </w:rPr>
        <w:t>Mode d'utilisation pratique</w:t>
      </w:r>
      <w:r>
        <w:t xml:space="preserve"> :</w:t>
      </w:r>
    </w:p>
    <w:p>
      <w:pPr>
        <w:pStyle w:val="ListBullet"/>
      </w:pPr>
      <w:r>
        <w:t>En cas d'oubli d'une prise d'entacapone : prendre avec la prochaine dose de lévodopa (ne pas doubler — ne pas prendre d'entacapone sans lévodopa)</w:t>
      </w:r>
    </w:p>
    <w:p>
      <w:pPr>
        <w:pStyle w:val="ListBullet"/>
      </w:pPr>
      <w:r>
        <w:t>Le comprimé peut être pris pendant ou en dehors des repas (mais en même temps que la lévodopa)</w:t>
      </w:r>
    </w:p>
    <w:p>
      <w:pPr>
        <w:pStyle w:val="ListBullet"/>
      </w:pPr>
      <w:r>
        <w:t>Ne pas écraser ni croquer le comprimé pelliculé (le goût est amer)</w:t>
      </w:r>
    </w:p>
    <w:p>
      <w:pPr>
        <w:pStyle w:val="ListBullet"/>
      </w:pPr>
      <w:r>
        <w:t>Conservation : à température ambiante (&lt; 25 °C), à l'abri de la lumière et de l'humidité, dans l'emballage d'origine</w:t>
      </w:r>
    </w:p>
    <w:p>
      <w:pPr>
        <w:pStyle w:val="ListBullet"/>
      </w:pPr>
      <w:r>
        <w:t>Pour les voyages : prévoir une quantité suffisante (l'entacapone est généralement utilisée à 4-6 prises par jour avec la lévodopa)</w:t>
      </w:r>
    </w:p>
    <w:p>
      <w:pPr>
        <w:pStyle w:val="ListBullet"/>
      </w:pPr>
      <w:r>
        <w:t>Pour les hospitalisations : informer systématiquement le personnel médical</w:t>
      </w:r>
    </w:p>
    <w:p>
      <w:r/>
      <w:r>
        <w:rPr>
          <w:b/>
        </w:rPr>
        <w:t>Notes, Règles d'Or &amp; Pièges au Comptoir :</w:t>
      </w:r>
      <w:r/>
    </w:p>
    <w:p>
      <w:pPr>
        <w:pStyle w:val="ListBullet"/>
      </w:pPr>
      <w:r/>
      <w:r>
        <w:rPr>
          <w:b/>
        </w:rPr>
        <w:t>Piège classique #1 — Entacapone pris sans lévodopa</w:t>
      </w:r>
      <w:r>
        <w:t xml:space="preserve"> : un patient prend son comprimé d'entacapone mais oublie sa lévodopa. L'entacapone n'a </w:t>
      </w:r>
      <w:r>
        <w:rPr>
          <w:b/>
        </w:rPr>
        <w:t>aucun effet propre</w:t>
      </w:r>
      <w:r>
        <w:t xml:space="preserve"> sans lévodopa — la prise est inutile. Solution : expliquer au patient de prendre systématiquement les deux comprimés ensemble.</w:t>
      </w:r>
    </w:p>
    <w:p>
      <w:pPr>
        <w:pStyle w:val="ListBullet"/>
      </w:pPr>
      <w:r/>
      <w:r>
        <w:rPr>
          <w:b/>
        </w:rPr>
        <w:t>Piège classique #2 — Entacapone + IMAO non sélectif</w:t>
      </w:r>
      <w:r>
        <w:t xml:space="preserve"> : un patient dépressif parkinsonien sous entacapone est mis sous iproniazide (IMAO non sélectif) par erreur. Le pharmacien doit </w:t>
      </w:r>
      <w:r>
        <w:rPr>
          <w:b/>
        </w:rPr>
        <w:t>réfuter</w:t>
      </w:r>
      <w:r>
        <w:t xml:space="preserve"> et contacter le prescripteur — risque d'hypertension artérielle paroxystique maligne. Wash-out de 15 jours minimum. Pour le traitement antidépresseur du patient parkinsonien dépressif : privilégier les IRS (sértaline, escitalopram) ou la mirtazapine.</w:t>
      </w:r>
    </w:p>
    <w:p>
      <w:pPr>
        <w:pStyle w:val="ListBullet"/>
      </w:pPr>
      <w:r/>
      <w:r>
        <w:rPr>
          <w:b/>
        </w:rPr>
        <w:t>Piège classique #3 — Dyskinésies majorées à l'initiation</w:t>
      </w:r>
      <w:r>
        <w:t xml:space="preserve"> : un patient stable sous lévodopa développe des dyskinésies majeures à l'introduction de l'entacapone. Le médecin augmente par erreur la dose de lévodopa (pensant à une aggravation parkinsonienne). En réalité, ce sont des </w:t>
      </w:r>
      <w:r>
        <w:rPr>
          <w:b/>
        </w:rPr>
        <w:t>dyskinésies induites par la lévodopa</w:t>
      </w:r>
      <w:r>
        <w:t xml:space="preserve"> (LID) — signe de surdosage relatif en lévodopa. Solution : réduire la dose de lévodopa de 10-25 % (en gardant l'entacapone à 200 mg par prise), surveillance clinique.</w:t>
      </w:r>
    </w:p>
    <w:p>
      <w:pPr>
        <w:pStyle w:val="ListBullet"/>
      </w:pPr>
      <w:r/>
      <w:r>
        <w:rPr>
          <w:b/>
        </w:rPr>
        <w:t>Piège classique #4 — Urine colorée inexpliquée</w:t>
      </w:r>
      <w:r>
        <w:t xml:space="preserve"> : un patient s'inquiète d'une « urine sanglante » rouge-brun depuis le début du traitement par entacapone. Il consulte en urgence son médecin ou se présente aux urgences. Le pharmacien doit </w:t>
      </w:r>
      <w:r>
        <w:rPr>
          <w:b/>
        </w:rPr>
        <w:t>informer systématiquement</w:t>
      </w:r>
      <w:r>
        <w:t xml:space="preserve"> le patient de cet effet indésirable inoffensif pour éviter l'angoisse et les consultations inutiles.</w:t>
      </w:r>
    </w:p>
    <w:p>
      <w:pPr>
        <w:pStyle w:val="ListBullet"/>
      </w:pPr>
      <w:r/>
      <w:r>
        <w:rPr>
          <w:b/>
        </w:rPr>
        <w:t>Piège classique #5 — Diarrhée persistante</w:t>
      </w:r>
      <w:r>
        <w:t xml:space="preserve"> : un patient développe une diarrhée après plusieurs semaines ou mois de traitement par entacapone. Le médecin pense à une infection digestive ou à une intolérance alimentaire. Solution : l'entacapone peut causer une diarrhée tardive (parfois après plusieurs mois) — à évoquer systématiquement en cas de diarrhée persistante chez un patient sous entacapone. Si sévère, arrêt du traitement.</w:t>
      </w:r>
    </w:p>
    <w:p>
      <w:pPr>
        <w:pStyle w:val="ListBullet"/>
      </w:pPr>
      <w:r/>
      <w:r>
        <w:rPr>
          <w:b/>
        </w:rPr>
        <w:t>Piège classique #6 — Entacapone avec forme LP de lévodopa</w:t>
      </w:r>
      <w:r>
        <w:t xml:space="preserve"> : un patient sous forme LP de lévodopa est mis sous entacapone. L'association n'est pas validée (la forme LP de lévodopa a déjà une demi-vie prolongée — l'entacapone n'a pas d'intérêt dans ce cas). Solution : ne pas utiliser l'entacapone avec les formes LP de lévodopa (réservé aux formes LI).</w:t>
      </w:r>
    </w:p>
    <w:p>
      <w:pPr>
        <w:pStyle w:val="ListBullet"/>
      </w:pPr>
      <w:r/>
      <w:r>
        <w:rPr>
          <w:b/>
        </w:rPr>
        <w:t>Piège classique #7 — Switch entacapone ↔ tolcapone</w:t>
      </w:r>
      <w:r>
        <w:t xml:space="preserve"> : la tolcapone n'est pas disponible en Algérie (retrait pour hépatotoxicité sévère), mais peut être présente dans le stock de patients ayant voyagé à l'étranger. Le pharmacien doit alerter le patient — la tolcapone nécessite une surveillance stricte des transaminases (ALAT, ASAT toutes les 2-4 semaines) et est contre-indiquée en cas d'insuffisance hépatique.</w:t>
      </w:r>
    </w:p>
    <w:p>
      <w:pPr>
        <w:pStyle w:val="ListBullet"/>
      </w:pPr>
      <w:r/>
      <w:r>
        <w:rPr>
          <w:b/>
        </w:rPr>
        <w:t>Piège classique #8 — Phéochromocytome</w:t>
      </w:r>
      <w:r>
        <w:t xml:space="preserve"> : un patient porteur d'un phéochromocytome (tumeur sécrétant des catécholamines) est mis sous entacapone — risque d'hypertension paroxystique (l'entacapone inhibe la COMT qui dégrade les catécholamines — accumulation de noradrénaline). CI absolue.</w:t>
      </w:r>
    </w:p>
    <w:p>
      <w:pPr>
        <w:pStyle w:val="ListBullet"/>
      </w:pPr>
      <w:r/>
      <w:r>
        <w:rPr>
          <w:b/>
        </w:rPr>
        <w:t>Piège classique #9 — Warfarine et INR</w:t>
      </w:r>
      <w:r>
        <w:t xml:space="preserve"> : un patient sous warfarine (antivitamine K) est mis sous entacapone — l'INR peut augmenter par déplacement de la warfarine de ses sites de fixation à l'albumine. Surveillance INR à l'introduction et à l'arrêt de l'entacapone, adaptation de la dose de warfarine.</w:t>
      </w:r>
    </w:p>
    <w:p>
      <w:pPr>
        <w:pStyle w:val="ListBullet"/>
      </w:pPr>
      <w:r/>
      <w:r>
        <w:rPr>
          <w:b/>
        </w:rPr>
        <w:t>Piège classique #10 — Fer oral</w:t>
      </w:r>
      <w:r>
        <w:t xml:space="preserve"> : un patient sous entacapone prend du fer oral en même temps — chélation possible (l'entacapone a un groupement catéchol qui peut chélater les ions ferriques). Solution : espacer les prises d'au moins 2 heures.</w:t>
      </w:r>
    </w:p>
    <w:p>
      <w:pPr>
        <w:pStyle w:val="ListBullet"/>
      </w:pPr>
      <w:r/>
      <w:r>
        <w:rPr>
          <w:b/>
        </w:rPr>
        <w:t>Règle de prise</w:t>
      </w:r>
      <w:r>
        <w:t xml:space="preserve"> :</w:t>
      </w:r>
    </w:p>
    <w:p>
      <w:pPr>
        <w:pStyle w:val="ListBullet"/>
      </w:pPr>
      <w:r>
        <w:t>Strictement simultanée avec chaque dose de lévodopa</w:t>
      </w:r>
    </w:p>
    <w:p>
      <w:pPr>
        <w:pStyle w:val="ListBullet"/>
      </w:pPr>
      <w:r>
        <w:t>À 1 heure près maximum</w:t>
      </w:r>
    </w:p>
    <w:p>
      <w:pPr>
        <w:pStyle w:val="ListBullet"/>
      </w:pPr>
      <w:r>
        <w:t>Ne pas prendre seul</w:t>
      </w:r>
    </w:p>
    <w:p>
      <w:pPr>
        <w:pStyle w:val="ListBullet"/>
      </w:pPr>
      <w:r>
        <w:t>Ne pas doubler en cas d'oubli (attendre la prochaine prise de lévodopa)</w:t>
      </w:r>
    </w:p>
    <w:p>
      <w:pPr>
        <w:pStyle w:val="ListBullet"/>
      </w:pPr>
      <w:r>
        <w:t>Signaler tout effet indésirable au neurologue (diarrhée, dyskinésies, hallucinations)</w:t>
      </w:r>
    </w:p>
    <w:p>
      <w:pPr>
        <w:pStyle w:val="ListBullet"/>
      </w:pPr>
      <w:r>
        <w:t>Prévenir le médecin de tous les médicaments (interactions IMAO, warfarine, fer)</w:t>
      </w:r>
    </w:p>
    <w:p>
      <w:pPr>
        <w:pStyle w:val="ListBullet"/>
      </w:pPr>
      <w:r/>
      <w:r>
        <w:rPr>
          <w:b/>
        </w:rPr>
        <w:t>Préparation et Conservation</w:t>
      </w:r>
      <w:r>
        <w:t xml:space="preserve"> :</w:t>
      </w:r>
    </w:p>
    <w:p>
      <w:pPr>
        <w:pStyle w:val="ListBullet"/>
      </w:pPr>
      <w:r>
        <w:t>Conservation à &lt; 25 °C, à l'abri de la lumière et de l'humidité</w:t>
      </w:r>
    </w:p>
    <w:p>
      <w:pPr>
        <w:pStyle w:val="ListBullet"/>
      </w:pPr>
      <w:r>
        <w:t>Dans l'emballage d'origine bien fermé</w:t>
      </w:r>
    </w:p>
    <w:p>
      <w:pPr>
        <w:pStyle w:val="ListBullet"/>
      </w:pPr>
      <w:r>
        <w:t>Ne pas écraser ni croquer le comprimé pelliculé</w:t>
      </w:r>
    </w:p>
    <w:p>
      <w:pPr>
        <w:pStyle w:val="ListBullet"/>
      </w:pPr>
      <w:r/>
      <w:r>
        <w:rPr>
          <w:b/>
        </w:rPr>
        <w:t>Piège du surdosage / Substitution</w:t>
      </w:r>
      <w:r>
        <w:t xml:space="preserve"> :</w:t>
      </w:r>
    </w:p>
    <w:p>
      <w:pPr>
        <w:pStyle w:val="ListBullet"/>
      </w:pPr>
      <w:r>
        <w:t>Surdosage aigu : diarrhée sévère, hypotension, dyskinésies, hallucinations, confusion. Traitement symptomatique en milieu spécialisé — pas d'antidote spécifique, arrêt de l'entacapone (et de la lévodopa), surveillance ECG, hydratation.</w:t>
      </w:r>
    </w:p>
    <w:p>
      <w:pPr>
        <w:pStyle w:val="ListBullet"/>
      </w:pPr>
      <w:r>
        <w:t>Substitution entre marques (CANTAPONE ↔ COMTAN) : équivalence de dose stricte (200 mg = 200 mg), surveillance clinique à 2-4 semaines.</w:t>
      </w:r>
    </w:p>
    <w:p>
      <w:pPr>
        <w:pStyle w:val="ListBullet"/>
      </w:pPr>
      <w:r>
        <w:t>Substitution entacapone ↔ tolcapone (si disponible à l'étranger) : pas d'équivalence stricte — la tolcapone a une demi-vie plus longue et une action centrale ; surveillance stricte des transaminases.</w:t>
      </w:r>
    </w:p>
    <w:p>
      <w:pPr>
        <w:pStyle w:val="ListBullet"/>
      </w:pPr>
      <w:r>
        <w:t>Substitution entacapone ↔ opicapone (si disponible à l'étranger) : l'opicapone a une demi-vie très longue, prise unique quotidienne — surveillance clinique à 2-4 semaines.</w:t>
      </w:r>
    </w:p>
    <w:p>
      <w:pPr>
        <w:pStyle w:val="Heading2"/>
      </w:pPr>
      <w:r>
        <w:t>Tableau Comparatif Synthétique des Antiparkinsoniens (3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 principal</w:t>
            </w:r>
          </w:p>
        </w:tc>
        <w:tc>
          <w:tcPr>
            <w:tcW w:type="dxa" w:w="1336"/>
          </w:tcPr>
          <w:p>
            <w:r>
              <w:rPr>
                <w:b/>
                <w:sz w:val="20"/>
              </w:rPr>
              <w:t>Posologie standard adulte</w:t>
            </w:r>
          </w:p>
        </w:tc>
        <w:tc>
          <w:tcPr>
            <w:tcW w:type="dxa" w:w="1336"/>
          </w:tcPr>
          <w:p>
            <w:r>
              <w:rPr>
                <w:b/>
                <w:sz w:val="20"/>
              </w:rPr>
              <w:t>EI majeur spécifique</w:t>
            </w:r>
          </w:p>
        </w:tc>
        <w:tc>
          <w:tcPr>
            <w:tcW w:type="dxa" w:w="1336"/>
          </w:tcPr>
          <w:p>
            <w:r>
              <w:rPr>
                <w:b/>
                <w:sz w:val="20"/>
              </w:rPr>
              <w:t>CI principale</w:t>
            </w:r>
          </w:p>
        </w:tc>
        <w:tc>
          <w:tcPr>
            <w:tcW w:type="dxa" w:w="1336"/>
          </w:tcPr>
          <w:p>
            <w:r>
              <w:rPr>
                <w:b/>
                <w:sz w:val="20"/>
              </w:rPr>
              <w:t>Grossesse (CRAT)</w:t>
            </w:r>
          </w:p>
        </w:tc>
      </w:tr>
      <w:tr>
        <w:tc>
          <w:tcPr>
            <w:tcW w:type="dxa" w:w="1336"/>
          </w:tcPr>
          <w:p>
            <w:r>
              <w:rPr>
                <w:sz w:val="20"/>
              </w:rPr>
              <w:t>**Lévodopa + Carbidopa/Bensérazide**</w:t>
            </w:r>
          </w:p>
        </w:tc>
        <w:tc>
          <w:tcPr>
            <w:tcW w:type="dxa" w:w="1336"/>
          </w:tcPr>
          <w:p>
            <w:r>
              <w:rPr>
                <w:sz w:val="20"/>
              </w:rPr>
              <w:t>Précurseur dopamine + IDDC périphérique</w:t>
            </w:r>
          </w:p>
        </w:tc>
        <w:tc>
          <w:tcPr>
            <w:tcW w:type="dxa" w:w="1336"/>
          </w:tcPr>
          <w:p>
            <w:r>
              <w:rPr>
                <w:sz w:val="20"/>
              </w:rPr>
              <w:t>Précurseur de la dopamine (traverse BHE via LAT1) → conversion en dopamine par DOPA-décarboxylase cérébrale ; IDDC inhibe la DOPA-décarboxylase périphérique → + biodisponibilité centrale</w:t>
            </w:r>
          </w:p>
        </w:tc>
        <w:tc>
          <w:tcPr>
            <w:tcW w:type="dxa" w:w="1336"/>
          </w:tcPr>
          <w:p>
            <w:r>
              <w:rPr>
                <w:sz w:val="20"/>
              </w:rPr>
              <w:t>300-600 mg lévodopa/jour en 3-4 prises (max 1000-1500 mg/j) ; à jeun 30 min avant les repas en entretien</w:t>
            </w:r>
          </w:p>
        </w:tc>
        <w:tc>
          <w:tcPr>
            <w:tcW w:type="dxa" w:w="1336"/>
          </w:tcPr>
          <w:p>
            <w:r>
              <w:rPr>
                <w:sz w:val="20"/>
              </w:rPr>
              <w:t>Nausées, hypotension orthostatique, **dyskinésies (LID)**, **fluctuations (wearing-off, on-off)**, hallucinations (surtout sujet âgé), syndrome malin parkinsonien à l'arrêt brutal</w:t>
            </w:r>
          </w:p>
        </w:tc>
        <w:tc>
          <w:tcPr>
            <w:tcW w:type="dxa" w:w="1336"/>
          </w:tcPr>
          <w:p>
            <w:r>
              <w:rPr>
                <w:sz w:val="20"/>
              </w:rPr>
              <w:t>**Mélanome, psychose non contrôlée, IMAO non sélectif, neuroleptiques (sauf clozapine/quétiapine), glaucome angle fermé, allaitement**</w:t>
            </w:r>
          </w:p>
        </w:tc>
        <w:tc>
          <w:tcPr>
            <w:tcW w:type="dxa" w:w="1336"/>
          </w:tcPr>
          <w:p>
            <w:r>
              <w:rPr>
                <w:sz w:val="20"/>
              </w:rPr>
              <w:t>Possible si nécessaire (CRAT — mieux documentée que les agonistes), CI allaitement absolu</w:t>
            </w:r>
          </w:p>
        </w:tc>
      </w:tr>
      <w:tr>
        <w:tc>
          <w:tcPr>
            <w:tcW w:type="dxa" w:w="1336"/>
          </w:tcPr>
          <w:p>
            <w:r>
              <w:rPr>
                <w:sz w:val="20"/>
              </w:rPr>
              <w:t>**Ropinirole**</w:t>
            </w:r>
          </w:p>
        </w:tc>
        <w:tc>
          <w:tcPr>
            <w:tcW w:type="dxa" w:w="1336"/>
          </w:tcPr>
          <w:p>
            <w:r>
              <w:rPr>
                <w:sz w:val="20"/>
              </w:rPr>
              <w:t>Agoniste dopaminergique non ergoté</w:t>
            </w:r>
          </w:p>
        </w:tc>
        <w:tc>
          <w:tcPr>
            <w:tcW w:type="dxa" w:w="1336"/>
          </w:tcPr>
          <w:p>
            <w:r>
              <w:rPr>
                <w:sz w:val="20"/>
              </w:rPr>
              <w:t>Agoniste direct D2/D3 postsynaptiques (préférence D3 limbique), indépendant des terminaisons pré-synaptiques</w:t>
            </w:r>
          </w:p>
        </w:tc>
        <w:tc>
          <w:tcPr>
            <w:tcW w:type="dxa" w:w="1336"/>
          </w:tcPr>
          <w:p>
            <w:r>
              <w:rPr>
                <w:sz w:val="20"/>
              </w:rPr>
              <w:t>Forme LI : 3-9 mg/jour en 3 prises (titration lente sur 4-8 sem, max 24 mg/j) ; Forme LP : 4-24 mg/jour en 1 prise ; SJSR : 0,25-4 mg en 1 prise avant coucher</w:t>
            </w:r>
          </w:p>
        </w:tc>
        <w:tc>
          <w:tcPr>
            <w:tcW w:type="dxa" w:w="1336"/>
          </w:tcPr>
          <w:p>
            <w:r>
              <w:rPr>
                <w:sz w:val="20"/>
              </w:rPr>
              <w:t>**Somnolence, attaques de sommeil (warning ANSM)**, **troubles du contrôle des impulsions (jeu pathologique, hypersexualité — warning ANSM/FDA)**, hallucinations, hypotension orthostatique, œdèmes des membres inférieurs, DAWS à l'arrêt</w:t>
            </w:r>
          </w:p>
        </w:tc>
        <w:tc>
          <w:tcPr>
            <w:tcW w:type="dxa" w:w="1336"/>
          </w:tcPr>
          <w:p>
            <w:r>
              <w:rPr>
                <w:sz w:val="20"/>
              </w:rPr>
              <w:t>**Insuffisance rénale sévère, psychose non contrôlée, neuroleptiques (sauf clozapine/quétiapine), ATCD troubles impulsions, allaitement**</w:t>
            </w:r>
          </w:p>
        </w:tc>
        <w:tc>
          <w:tcPr>
            <w:tcW w:type="dxa" w:w="1336"/>
          </w:tcPr>
          <w:p>
            <w:r>
              <w:rPr>
                <w:sz w:val="20"/>
              </w:rPr>
              <w:t>Déconseillé (données limitées — préférer lévodopa), CI allaitement absolu</w:t>
            </w:r>
          </w:p>
        </w:tc>
      </w:tr>
      <w:tr>
        <w:tc>
          <w:tcPr>
            <w:tcW w:type="dxa" w:w="1336"/>
          </w:tcPr>
          <w:p>
            <w:r>
              <w:rPr>
                <w:sz w:val="20"/>
              </w:rPr>
              <w:t>**Entacapone**</w:t>
            </w:r>
          </w:p>
        </w:tc>
        <w:tc>
          <w:tcPr>
            <w:tcW w:type="dxa" w:w="1336"/>
          </w:tcPr>
          <w:p>
            <w:r>
              <w:rPr>
                <w:sz w:val="20"/>
              </w:rPr>
              <w:t>Inhibiteur COMT périphérique</w:t>
            </w:r>
          </w:p>
        </w:tc>
        <w:tc>
          <w:tcPr>
            <w:tcW w:type="dxa" w:w="1336"/>
          </w:tcPr>
          <w:p>
            <w:r>
              <w:rPr>
                <w:sz w:val="20"/>
              </w:rPr>
              <w:t>Inhibition réversible et sélective de la COMT périphérique → réduction de la O-méthylation de la lévodopa en 3-OMD → + biodisponibilité et + demi-vie de la lévodopa</w:t>
            </w:r>
          </w:p>
        </w:tc>
        <w:tc>
          <w:tcPr>
            <w:tcW w:type="dxa" w:w="1336"/>
          </w:tcPr>
          <w:p>
            <w:r>
              <w:rPr>
                <w:sz w:val="20"/>
              </w:rPr>
              <w:t>200 mg avec chaque dose de lévodopa (max 2000 mg/jour, soit 10 prises/jour) ; réduction de la dose de lévodopa de 20-30 % à l'introduction</w:t>
            </w:r>
          </w:p>
        </w:tc>
        <w:tc>
          <w:tcPr>
            <w:tcW w:type="dxa" w:w="1336"/>
          </w:tcPr>
          <w:p>
            <w:r>
              <w:rPr>
                <w:sz w:val="20"/>
              </w:rPr>
              <w:t>**Dyskinésies majorées (surdosage relatif en lévodopa)**, **diarrhée (10-20 %, parfois tardive)**, **urine colorée rouge-brun (inoffensive)**, hallucinations, hypotension, élévation transaminases (sans hépatotoxicité sévère)</w:t>
            </w:r>
          </w:p>
        </w:tc>
        <w:tc>
          <w:tcPr>
            <w:tcW w:type="dxa" w:w="1336"/>
          </w:tcPr>
          <w:p>
            <w:r>
              <w:rPr>
                <w:sz w:val="20"/>
              </w:rPr>
              <w:t>**Phéochromocytome, IMAO non sélectif, IMAO-A sélectif, insuffisance hépatique sévère, allaitement, enfant**</w:t>
            </w:r>
          </w:p>
        </w:tc>
        <w:tc>
          <w:tcPr>
            <w:tcW w:type="dxa" w:w="1336"/>
          </w:tcPr>
          <w:p>
            <w:r>
              <w:rPr>
                <w:sz w:val="20"/>
              </w:rPr>
              <w:t>Déconseillé (données limitées), CI allaitement absolu</w:t>
            </w:r>
          </w:p>
        </w:tc>
      </w:tr>
    </w:tbl>
    <w:p/>
    <w:p>
      <w:pPr>
        <w:pStyle w:val="Heading2"/>
      </w:pPr>
      <w:r>
        <w:t>Tableau Récapitulatif des Formes Galéniques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DCI</w:t>
            </w:r>
          </w:p>
        </w:tc>
        <w:tc>
          <w:tcPr>
            <w:tcW w:type="dxa" w:w="1559"/>
          </w:tcPr>
          <w:p>
            <w:r>
              <w:rPr>
                <w:b/>
                <w:sz w:val="20"/>
              </w:rPr>
              <w:t>Formes orales LI</w:t>
            </w:r>
          </w:p>
        </w:tc>
        <w:tc>
          <w:tcPr>
            <w:tcW w:type="dxa" w:w="1559"/>
          </w:tcPr>
          <w:p>
            <w:r>
              <w:rPr>
                <w:b/>
                <w:sz w:val="20"/>
              </w:rPr>
              <w:t>Formes orales LP</w:t>
            </w:r>
          </w:p>
        </w:tc>
        <w:tc>
          <w:tcPr>
            <w:tcW w:type="dxa" w:w="1559"/>
          </w:tcPr>
          <w:p>
            <w:r>
              <w:rPr>
                <w:b/>
                <w:sz w:val="20"/>
              </w:rPr>
              <w:t>Formes orodispersibles</w:t>
            </w:r>
          </w:p>
        </w:tc>
        <w:tc>
          <w:tcPr>
            <w:tcW w:type="dxa" w:w="1559"/>
          </w:tcPr>
          <w:p>
            <w:r>
              <w:rPr>
                <w:b/>
                <w:sz w:val="20"/>
              </w:rPr>
              <w:t>Formes injectables</w:t>
            </w:r>
          </w:p>
        </w:tc>
        <w:tc>
          <w:tcPr>
            <w:tcW w:type="dxa" w:w="1559"/>
          </w:tcPr>
          <w:p>
            <w:r>
              <w:rPr>
                <w:b/>
                <w:sz w:val="20"/>
              </w:rPr>
              <w:t>Statut global</w:t>
            </w:r>
          </w:p>
        </w:tc>
      </w:tr>
      <w:tr>
        <w:tc>
          <w:tcPr>
            <w:tcW w:type="dxa" w:w="1559"/>
          </w:tcPr>
          <w:p>
            <w:r>
              <w:rPr>
                <w:sz w:val="20"/>
              </w:rPr>
              <w:t>**Lévodopa + Carbidopa**</w:t>
            </w:r>
          </w:p>
        </w:tc>
        <w:tc>
          <w:tcPr>
            <w:tcW w:type="dxa" w:w="1559"/>
          </w:tcPr>
          <w:p>
            <w:r>
              <w:rPr>
                <w:sz w:val="20"/>
              </w:rPr>
              <w:t>Cp 100/10 (LEVOCARB, LEVOMED) ; Cp sécable 250/25 (LEVOCARB, LEVOMED, LEVODOZ)</w:t>
            </w:r>
          </w:p>
        </w:tc>
        <w:tc>
          <w:tcPr>
            <w:tcW w:type="dxa" w:w="1559"/>
          </w:tcPr>
          <w:p>
            <w:r>
              <w:rPr>
                <w:sz w:val="20"/>
              </w:rPr>
              <w:t>Non disponible en Algérie</w:t>
            </w:r>
          </w:p>
        </w:tc>
        <w:tc>
          <w:tcPr>
            <w:tcW w:type="dxa" w:w="1559"/>
          </w:tcPr>
          <w:p>
            <w:r>
              <w:rPr>
                <w:sz w:val="20"/>
              </w:rPr>
              <w:t>Non disponible</w:t>
            </w:r>
          </w:p>
        </w:tc>
        <w:tc>
          <w:tcPr>
            <w:tcW w:type="dxa" w:w="1559"/>
          </w:tcPr>
          <w:p>
            <w:r>
              <w:rPr>
                <w:sz w:val="20"/>
              </w:rPr>
              <w:t>Non disponible</w:t>
            </w:r>
          </w:p>
        </w:tc>
        <w:tc>
          <w:tcPr>
            <w:tcW w:type="dxa" w:w="1559"/>
          </w:tcPr>
          <w:p>
            <w:r>
              <w:rPr>
                <w:sz w:val="20"/>
              </w:rPr>
              <w:t>Actif, 3 marques génériques (Sinemet retiré)</w:t>
            </w:r>
          </w:p>
        </w:tc>
      </w:tr>
      <w:tr>
        <w:tc>
          <w:tcPr>
            <w:tcW w:type="dxa" w:w="1559"/>
          </w:tcPr>
          <w:p>
            <w:r>
              <w:rPr>
                <w:sz w:val="20"/>
              </w:rPr>
              <w:t>**Lévodopa + Bensérazide**</w:t>
            </w:r>
          </w:p>
        </w:tc>
        <w:tc>
          <w:tcPr>
            <w:tcW w:type="dxa" w:w="1559"/>
          </w:tcPr>
          <w:p>
            <w:r>
              <w:rPr>
                <w:sz w:val="20"/>
              </w:rPr>
              <w:t>—</w:t>
            </w:r>
          </w:p>
        </w:tc>
        <w:tc>
          <w:tcPr>
            <w:tcW w:type="dxa" w:w="1559"/>
          </w:tcPr>
          <w:p>
            <w:r>
              <w:rPr>
                <w:sz w:val="20"/>
              </w:rPr>
              <w:t>—</w:t>
            </w:r>
          </w:p>
        </w:tc>
        <w:tc>
          <w:tcPr>
            <w:tcW w:type="dxa" w:w="1559"/>
          </w:tcPr>
          <w:p>
            <w:r>
              <w:rPr>
                <w:sz w:val="20"/>
              </w:rPr>
              <w:t>—</w:t>
            </w:r>
          </w:p>
        </w:tc>
        <w:tc>
          <w:tcPr>
            <w:tcW w:type="dxa" w:w="1559"/>
          </w:tcPr>
          <w:p>
            <w:r>
              <w:rPr>
                <w:sz w:val="20"/>
              </w:rPr>
              <w:t>—</w:t>
            </w:r>
          </w:p>
        </w:tc>
        <w:tc>
          <w:tcPr>
            <w:tcW w:type="dxa" w:w="1559"/>
          </w:tcPr>
          <w:p>
            <w:r>
              <w:rPr>
                <w:sz w:val="20"/>
              </w:rPr>
              <w:t>**Retiré (Modopar 125, Madopar 250)** — switch vers lévodopa/carbidopa</w:t>
            </w:r>
          </w:p>
        </w:tc>
      </w:tr>
      <w:tr>
        <w:tc>
          <w:tcPr>
            <w:tcW w:type="dxa" w:w="1559"/>
          </w:tcPr>
          <w:p>
            <w:r>
              <w:rPr>
                <w:sz w:val="20"/>
              </w:rPr>
              <w:t>**Ropinirole**</w:t>
            </w:r>
          </w:p>
        </w:tc>
        <w:tc>
          <w:tcPr>
            <w:tcW w:type="dxa" w:w="1559"/>
          </w:tcPr>
          <w:p>
            <w:r>
              <w:rPr>
                <w:sz w:val="20"/>
              </w:rPr>
              <w:t>Cp 0,25 mg (KEPNIROL, STRICARE) ; Cp 1 mg (KEPNIROL, STRICARE) ; Cp 2 mg (KEPNIROL) ; Cp 5 mg (KEPNIROL)</w:t>
            </w:r>
          </w:p>
        </w:tc>
        <w:tc>
          <w:tcPr>
            <w:tcW w:type="dxa" w:w="1559"/>
          </w:tcPr>
          <w:p>
            <w:r>
              <w:rPr>
                <w:sz w:val="20"/>
              </w:rPr>
              <w:t>Cp LP 4 mg (KEPNIROL) ; Cp LP 8 mg (KEPNIROL)</w:t>
            </w:r>
          </w:p>
        </w:tc>
        <w:tc>
          <w:tcPr>
            <w:tcW w:type="dxa" w:w="1559"/>
          </w:tcPr>
          <w:p>
            <w:r>
              <w:rPr>
                <w:sz w:val="20"/>
              </w:rPr>
              <w:t>Non disponible</w:t>
            </w:r>
          </w:p>
        </w:tc>
        <w:tc>
          <w:tcPr>
            <w:tcW w:type="dxa" w:w="1559"/>
          </w:tcPr>
          <w:p>
            <w:r>
              <w:rPr>
                <w:sz w:val="20"/>
              </w:rPr>
              <w:t>Non disponible</w:t>
            </w:r>
          </w:p>
        </w:tc>
        <w:tc>
          <w:tcPr>
            <w:tcW w:type="dxa" w:w="1559"/>
          </w:tcPr>
          <w:p>
            <w:r>
              <w:rPr>
                <w:sz w:val="20"/>
              </w:rPr>
              <w:t>Actif, 2 marques (KEPNIROL gamme complète, STRICARE limité aux faibles doses)</w:t>
            </w:r>
          </w:p>
        </w:tc>
      </w:tr>
      <w:tr>
        <w:tc>
          <w:tcPr>
            <w:tcW w:type="dxa" w:w="1559"/>
          </w:tcPr>
          <w:p>
            <w:r>
              <w:rPr>
                <w:sz w:val="20"/>
              </w:rPr>
              <w:t>**Entacapone**</w:t>
            </w:r>
          </w:p>
        </w:tc>
        <w:tc>
          <w:tcPr>
            <w:tcW w:type="dxa" w:w="1559"/>
          </w:tcPr>
          <w:p>
            <w:r>
              <w:rPr>
                <w:sz w:val="20"/>
              </w:rPr>
              <w:t>Cp pelliculé 200 mg (CANTAPONE pilulier/30, COMTAN B/30)</w:t>
            </w:r>
          </w:p>
        </w:tc>
        <w:tc>
          <w:tcPr>
            <w:tcW w:type="dxa" w:w="1559"/>
          </w:tcPr>
          <w:p>
            <w:r>
              <w:rPr>
                <w:sz w:val="20"/>
              </w:rPr>
              <w:t>Non disponible</w:t>
            </w:r>
          </w:p>
        </w:tc>
        <w:tc>
          <w:tcPr>
            <w:tcW w:type="dxa" w:w="1559"/>
          </w:tcPr>
          <w:p>
            <w:r>
              <w:rPr>
                <w:sz w:val="20"/>
              </w:rPr>
              <w:t>Non disponible</w:t>
            </w:r>
          </w:p>
        </w:tc>
        <w:tc>
          <w:tcPr>
            <w:tcW w:type="dxa" w:w="1559"/>
          </w:tcPr>
          <w:p>
            <w:r>
              <w:rPr>
                <w:sz w:val="20"/>
              </w:rPr>
              <w:t>Non disponible</w:t>
            </w:r>
          </w:p>
        </w:tc>
        <w:tc>
          <w:tcPr>
            <w:tcW w:type="dxa" w:w="1559"/>
          </w:tcPr>
          <w:p>
            <w:r>
              <w:rPr>
                <w:sz w:val="20"/>
              </w:rPr>
              <w:t>Actif, 2 marques (princeps COMTAN, générique CANTAPONE)</w:t>
            </w:r>
          </w:p>
        </w:tc>
      </w:tr>
    </w:tbl>
    <w:p/>
    <w:p>
      <w:pPr>
        <w:pStyle w:val="Heading2"/>
      </w:pPr>
      <w:r>
        <w:t>Conclusion du Chapitre 87</w:t>
      </w:r>
    </w:p>
    <w:p>
      <w:r>
        <w:t xml:space="preserve">Les antiparkinsoniens traités dans ce chapitre — lévodopa + IDDC, ropinirole, entacapone — constituent les </w:t>
      </w:r>
      <w:r>
        <w:rPr>
          <w:b/>
        </w:rPr>
        <w:t>trois piliers de la stratégie thérapeutique moderne</w:t>
      </w:r>
      <w:r>
        <w:t xml:space="preserve"> de la maladie de Parkinson idiopathique. Ils représentent une approche multimodale visant à restaurer la neurotransmission dopaminergique striatale selon trois mécanismes complémentaires :</w:t>
      </w:r>
    </w:p>
    <w:p>
      <w:pPr>
        <w:pStyle w:val="ListNumber"/>
      </w:pPr>
      <w:r/>
      <w:r>
        <w:rPr>
          <w:b/>
        </w:rPr>
        <w:t>Apport de précurseur de dopamine</w:t>
      </w:r>
      <w:r>
        <w:t xml:space="preserve"> (lévodopa) — stratégie de remplacement, la plus puissante sur les symptômes moteurs sévères, mais exposée à long terme aux complications motrices (dyskinésies, fluctuations)</w:t>
      </w:r>
    </w:p>
    <w:p>
      <w:pPr>
        <w:pStyle w:val="ListNumber"/>
      </w:pPr>
      <w:r/>
      <w:r>
        <w:rPr>
          <w:b/>
        </w:rPr>
        <w:t>Stimulation directe des récepteurs dopaminergiques</w:t>
      </w:r>
      <w:r>
        <w:t xml:space="preserve"> (ropinirole) — stratégie d'agoniste, indépendante des terminaisons pré-synaptiques, utile en première intention chez le sujet jeune pour retarder l'introduction de la lévodopa, mais exposée aux troubles psychiatriques (somnolence, hallucinations, troubles du contrôle des impulsions)</w:t>
      </w:r>
    </w:p>
    <w:p>
      <w:pPr>
        <w:pStyle w:val="ListNumber"/>
      </w:pPr>
      <w:r/>
      <w:r>
        <w:rPr>
          <w:b/>
        </w:rPr>
        <w:t>Inhibition de la dégradation périphérique de la lévodopa</w:t>
      </w:r>
      <w:r>
        <w:t xml:space="preserve"> (entacapone) — stratégie d'optimisation, adjuvant de la lévodopa dans les stades avancés avec fluctuations, prolongeant la demi-vie de la lévodopa</w:t>
      </w:r>
    </w:p>
    <w:p>
      <w:r/>
      <w:r>
        <w:rPr>
          <w:b/>
        </w:rPr>
        <w:t>Choix thérapeutique en fonction de l'âge et du stade :</w:t>
      </w:r>
      <w:r/>
    </w:p>
    <w:p>
      <w:pPr>
        <w:pStyle w:val="ListBullet"/>
      </w:pPr>
      <w:r/>
      <w:r>
        <w:rPr>
          <w:b/>
        </w:rPr>
        <w:t>Sujet &lt; 60 ans (jeune et actif)</w:t>
      </w:r>
      <w:r>
        <w:t xml:space="preserve"> : agoniste dopaminergique non ergoté (ropinirole) en première intention, pour retarder l'introduction de la lévodopa et minimiser le risque de dyskinésies précoces</w:t>
      </w:r>
    </w:p>
    <w:p>
      <w:pPr>
        <w:pStyle w:val="ListBullet"/>
      </w:pPr>
      <w:r/>
      <w:r>
        <w:rPr>
          <w:b/>
        </w:rPr>
        <w:t>Sujet 60-70 ans</w:t>
      </w:r>
      <w:r>
        <w:t xml:space="preserve"> : discussion au cas par cas ; ropinirole ou lévodopa selon le profil moteur, cognitif, psychiatrique, et l'activité professionnelle</w:t>
      </w:r>
    </w:p>
    <w:p>
      <w:pPr>
        <w:pStyle w:val="ListBullet"/>
      </w:pPr>
      <w:r/>
      <w:r>
        <w:rPr>
          <w:b/>
        </w:rPr>
        <w:t>Sujet &gt; 70 ans</w:t>
      </w:r>
      <w:r>
        <w:t xml:space="preserve"> ou avec altération cognitive préexistante : lévodopa + IDDC en première intention (le risque d'hallucinations et de confusion sous agonistes est majeur dans cette population)</w:t>
      </w:r>
    </w:p>
    <w:p>
      <w:pPr>
        <w:pStyle w:val="ListBullet"/>
      </w:pPr>
      <w:r/>
      <w:r>
        <w:rPr>
          <w:b/>
        </w:rPr>
        <w:t>Stades avancés (fluctuations motrices « wearing-off »)</w:t>
      </w:r>
      <w:r>
        <w:t xml:space="preserve"> : ajout d'entacapone à la lévodopa pour prolonger la demi-vie et réduire le temps « off » quotidien</w:t>
      </w:r>
    </w:p>
    <w:p>
      <w:r/>
      <w:r>
        <w:rPr>
          <w:b/>
        </w:rPr>
        <w:t>Surveillance systématique obligatoire pour tous les antiparkinsoniens :</w:t>
      </w:r>
      <w:r/>
    </w:p>
    <w:p>
      <w:pPr>
        <w:pStyle w:val="ListBullet"/>
      </w:pPr>
      <w:r/>
      <w:r>
        <w:rPr>
          <w:b/>
        </w:rPr>
        <w:t>Bilan pré-thérapeutique</w:t>
      </w:r>
      <w:r>
        <w:t xml:space="preserve"> : poids, taille, IMC, TA debout et couchée, ECG (sujet âgé ou ATCD cardiaque), glycémie à jeun, créatininémie, transaminases, NFS, évaluation cognitive (MMSE, MoCA), examen dermatologique (lévodopa — mélanome)</w:t>
      </w:r>
    </w:p>
    <w:p>
      <w:pPr>
        <w:pStyle w:val="ListBullet"/>
      </w:pPr>
      <w:r/>
      <w:r>
        <w:rPr>
          <w:b/>
        </w:rPr>
        <w:t>Surveillance à 1 mois</w:t>
      </w:r>
      <w:r>
        <w:t xml:space="preserve"> : poids, TA, tolérance clinique (nausées, hypotension, somnolence, hallucinations, dyskinésies, troubles du contrôle des impulsions pour ropinirole)</w:t>
      </w:r>
    </w:p>
    <w:p>
      <w:pPr>
        <w:pStyle w:val="ListBullet"/>
      </w:pPr>
      <w:r/>
      <w:r>
        <w:rPr>
          <w:b/>
        </w:rPr>
        <w:t>Surveillance à 3 mois</w:t>
      </w:r>
      <w:r>
        <w:t xml:space="preserve"> : poids, TA, efficacité motrice (UPDRS moteur), tolérance, surveillance psychiatrique</w:t>
      </w:r>
    </w:p>
    <w:p>
      <w:pPr>
        <w:pStyle w:val="ListBullet"/>
      </w:pPr>
      <w:r/>
      <w:r>
        <w:rPr>
          <w:b/>
        </w:rPr>
        <w:t>Surveillance semestrielle à vie</w:t>
      </w:r>
      <w:r>
        <w:t xml:space="preserve"> : poids, TA, efficacité, tolérance, surveillance psychiatrique, examen dermatologique annuel (lévodopa)</w:t>
      </w:r>
    </w:p>
    <w:p>
      <w:r/>
      <w:r>
        <w:rPr>
          <w:b/>
        </w:rPr>
        <w:t>Points clés au comptoir :</w:t>
      </w:r>
      <w:r/>
    </w:p>
    <w:p>
      <w:pPr>
        <w:pStyle w:val="ListBullet"/>
      </w:pPr>
      <w:r/>
      <w:r>
        <w:rPr>
          <w:b/>
        </w:rPr>
        <w:t>Lévodopa + IDDC</w:t>
      </w:r>
      <w:r>
        <w:t xml:space="preserve"> : prise à heure fixe, à jeun en entretien, ne jamais arrêter brutalement (risque de syndrome malin parkinsonien), surveiller hallucinations (surtout sujet âgé), ne jamais associer à un neuroleptique (sauf clozapine, quétiapine)</w:t>
      </w:r>
    </w:p>
    <w:p>
      <w:pPr>
        <w:pStyle w:val="ListBullet"/>
      </w:pPr>
      <w:r/>
      <w:r>
        <w:rPr>
          <w:b/>
        </w:rPr>
        <w:t>Ropinirole</w:t>
      </w:r>
      <w:r>
        <w:t xml:space="preserve"> : titration très lente, surveiller somnolence et attaques de sommeil (ne pas conduire tant que la dose n'est pas stabilisée), surveiller troubles du contrôle des impulsions (information à l'entourage), surveiller hallucinations, prudence avec les inhibiteurs CYP1A2 (fluvoxamine, ciprofloxacine)</w:t>
      </w:r>
    </w:p>
    <w:p>
      <w:pPr>
        <w:pStyle w:val="ListBullet"/>
      </w:pPr>
      <w:r/>
      <w:r>
        <w:rPr>
          <w:b/>
        </w:rPr>
        <w:t>Entacapone</w:t>
      </w:r>
      <w:r>
        <w:t xml:space="preserve"> : prise simultanée avec chaque dose de lévodopa, informer de la coloration de l'urine (inoffensive), surveiller dyskinésies majorées (réduire la dose de lévodopa), surveiller diarrhée (parfois tardive), prudence avec IMAO et warfarine</w:t>
      </w:r>
    </w:p>
    <w:p>
      <w:r/>
      <w:r>
        <w:rPr>
          <w:b/>
        </w:rPr>
        <w:t>Règles d'or pour le pharmacien d'officine algérien :</w:t>
      </w:r>
      <w:r/>
    </w:p>
    <w:p>
      <w:pPr>
        <w:pStyle w:val="ListNumber"/>
      </w:pPr>
      <w:r/>
      <w:r>
        <w:rPr>
          <w:b/>
        </w:rPr>
        <w:t>Ne jamais substituer un antiparkinsonien par un autre sans avis neurologue</w:t>
      </w:r>
      <w:r>
        <w:t xml:space="preserve"> : chaque molécule a un profil propre, le switch doit être programmé</w:t>
      </w:r>
    </w:p>
    <w:p>
      <w:pPr>
        <w:pStyle w:val="ListNumber"/>
      </w:pPr>
      <w:r/>
      <w:r>
        <w:rPr>
          <w:b/>
        </w:rPr>
        <w:t>Toujours vérifier la prescription initiale</w:t>
      </w:r>
      <w:r>
        <w:t xml:space="preserve"> (Liste I, prescription neurologue recommandée)</w:t>
      </w:r>
    </w:p>
    <w:p>
      <w:pPr>
        <w:pStyle w:val="ListNumber"/>
      </w:pPr>
      <w:r/>
      <w:r>
        <w:rPr>
          <w:b/>
        </w:rPr>
        <w:t>Bien expliquer la prise horaire stricte</w:t>
      </w:r>
      <w:r>
        <w:t xml:space="preserve"> (à heure fixe, à 1 heure près) — minimisation des fluctuations</w:t>
      </w:r>
    </w:p>
    <w:p>
      <w:pPr>
        <w:pStyle w:val="ListNumber"/>
      </w:pPr>
      <w:r/>
      <w:r>
        <w:rPr>
          <w:b/>
        </w:rPr>
        <w:t>Bien expliquer la prise par rapport aux repas</w:t>
      </w:r>
      <w:r>
        <w:t xml:space="preserve"> (lévodopa à jeun en entretien, ropinirole pendant les repas en initiation)</w:t>
      </w:r>
    </w:p>
    <w:p>
      <w:pPr>
        <w:pStyle w:val="ListNumber"/>
      </w:pPr>
      <w:r/>
      <w:r>
        <w:rPr>
          <w:b/>
        </w:rPr>
        <w:t>Bien expliquer l'interdiction d'arrêt brutal</w:t>
      </w:r>
      <w:r>
        <w:t xml:space="preserve"> (risque de syndrome malin parkinsonien — urgence vitale)</w:t>
      </w:r>
    </w:p>
    <w:p>
      <w:pPr>
        <w:pStyle w:val="ListNumber"/>
      </w:pPr>
      <w:r/>
      <w:r>
        <w:rPr>
          <w:b/>
        </w:rPr>
        <w:t>Bien expliquer les effets psychiatriques</w:t>
      </w:r>
      <w:r>
        <w:t xml:space="preserve"> (hallucinations, troubles du contrôle des impulsions) — information particulière à l'entourage</w:t>
      </w:r>
    </w:p>
    <w:p>
      <w:pPr>
        <w:pStyle w:val="ListNumber"/>
      </w:pPr>
      <w:r/>
      <w:r>
        <w:rPr>
          <w:b/>
        </w:rPr>
        <w:t>Bien expliquer les interactions médicamenteuses</w:t>
      </w:r>
      <w:r>
        <w:t xml:space="preserve"> (IMAO, neuroleptiques, inhibiteurs/inducteurs CYP1A2 pour ropinirole, warfarine pour entacapone)</w:t>
      </w:r>
    </w:p>
    <w:p>
      <w:pPr>
        <w:pStyle w:val="ListNumber"/>
      </w:pPr>
      <w:r/>
      <w:r>
        <w:rPr>
          <w:b/>
        </w:rPr>
        <w:t>Bien informer sur les statuts</w:t>
      </w:r>
      <w:r>
        <w:t xml:space="preserve"> des spécialités (Modopar, Madopar, Sinemet — retirés du marché algérien — switch vers génériques de lévodopa/carbidopa)</w:t>
      </w:r>
    </w:p>
    <w:p>
      <w:pPr>
        <w:pStyle w:val="ListNumber"/>
      </w:pPr>
      <w:r/>
      <w:r>
        <w:rPr>
          <w:b/>
        </w:rPr>
        <w:t>Bien orienter vers le neurologue</w:t>
      </w:r>
      <w:r>
        <w:t xml:space="preserve"> en cas d'EI : nausées persistantes, hypotension, dyskinésies, fluctuations, hallucinations, troubles du contrôle des impulsions, diarrhée sous entacapone, urine colorée (information préventive)</w:t>
      </w:r>
    </w:p>
    <w:p>
      <w:pPr>
        <w:pStyle w:val="ListNumber"/>
      </w:pPr>
      <w:r/>
      <w:r>
        <w:rPr>
          <w:b/>
        </w:rPr>
        <w:t>Bien connaître les contre-indications absolues</w:t>
      </w:r>
      <w:r>
        <w:t xml:space="preserve"> (mélanome pour lévodopa, psychose non contrôlée pour tous, phéochromocytome pour entacapone, IMAO non sélectif pour tous)</w:t>
      </w:r>
    </w:p>
    <w:p>
      <w:r/>
      <w:r>
        <w:rPr>
          <w:b/>
        </w:rPr>
        <w:t>Perspectives thérapeutiques émergentes (non disponibles en Algérie à ce jour) :</w:t>
      </w:r>
      <w:r/>
    </w:p>
    <w:p>
      <w:pPr>
        <w:pStyle w:val="ListBullet"/>
      </w:pPr>
      <w:r/>
      <w:r>
        <w:rPr>
          <w:b/>
        </w:rPr>
        <w:t>Stimulation cérébrale profonde (SCP)</w:t>
      </w:r>
      <w:r>
        <w:t xml:space="preserve"> : stimulation bilatérale du noyau sous-thalamique (STN) ou du globus pallidus internus (GPi) par électrode implantée — réservée aux formes avancées avec fluctuations sévères résistantes au traitement médicamenteux optimal (critères CAPSIT)</w:t>
      </w:r>
    </w:p>
    <w:p>
      <w:pPr>
        <w:pStyle w:val="ListBullet"/>
      </w:pPr>
      <w:r/>
      <w:r>
        <w:rPr>
          <w:b/>
        </w:rPr>
        <w:t>Pompe à lévodopa-carbidopa intestinale (LCIG — Duodopa)</w:t>
      </w:r>
      <w:r>
        <w:t xml:space="preserve"> : gel de lévodopa-carbidopa administré par sonde jéjunale via une pompe portable — pour les formes avancées avec fluctuations sévères</w:t>
      </w:r>
    </w:p>
    <w:p>
      <w:pPr>
        <w:pStyle w:val="ListBullet"/>
      </w:pPr>
      <w:r/>
      <w:r>
        <w:rPr>
          <w:b/>
        </w:rPr>
        <w:t>Pompe à apomorphine sous-cutanée</w:t>
      </w:r>
      <w:r>
        <w:t xml:space="preserve"> : agoniste dopaminergique injectable continu — pour les formes avancées</w:t>
      </w:r>
    </w:p>
    <w:p>
      <w:pPr>
        <w:pStyle w:val="ListBullet"/>
      </w:pPr>
      <w:r/>
      <w:r>
        <w:rPr>
          <w:b/>
        </w:rPr>
        <w:t>Thérapie génique et cellulaire</w:t>
      </w:r>
      <w:r>
        <w:t xml:space="preserve"> (essais cliniques en cours) : greffe de neurones dopaminergiques dérivés de cellules souches embryonnaires ou iPSC, thérapie génique AAV2-AADC, AAV2-GCH1/TH/AADC</w:t>
      </w:r>
    </w:p>
    <w:p>
      <w:pPr>
        <w:pStyle w:val="ListBullet"/>
      </w:pPr>
      <w:r/>
      <w:r>
        <w:rPr>
          <w:b/>
        </w:rPr>
        <w:t>Nouveaux inhibiteurs COMT</w:t>
      </w:r>
      <w:r>
        <w:t xml:space="preserve"> : opicapone (Ongentys) — prise unique quotidienne, profil de tolérance favorable (commercialisé en Europe depuis 2016)</w:t>
      </w:r>
    </w:p>
    <w:p>
      <w:pPr>
        <w:pStyle w:val="ListBullet"/>
      </w:pPr>
      <w:r/>
      <w:r>
        <w:rPr>
          <w:b/>
        </w:rPr>
        <w:t>Adénosine A2A antagonistes</w:t>
      </w:r>
      <w:r>
        <w:t xml:space="preserve"> : istradéfylline (Nouriast) — commercialisé au Japon, en cours d'évaluation en Europe</w:t>
      </w:r>
    </w:p>
    <w:p>
      <w:pPr>
        <w:pStyle w:val="ListBullet"/>
      </w:pPr>
      <w:r/>
      <w:r>
        <w:rPr>
          <w:b/>
        </w:rPr>
        <w:t>Formes galéniques innovantes de lévodopa</w:t>
      </w:r>
      <w:r>
        <w:t xml:space="preserve"> : lévodopa inhalée (Inbrija — pour les blocages « off » imprévus), lévodopa-carbidopa LP sous-cutanée (ABBV-951)</w:t>
      </w:r>
    </w:p>
    <w:p>
      <w:r>
        <w:t xml:space="preserve">Ce chapitre final du Fascicule X s'achève sur la nécessité d'une </w:t>
      </w:r>
      <w:r>
        <w:rPr>
          <w:b/>
        </w:rPr>
        <w:t>formation continue du pharmacien d'officine algérien aux antiparkinsoniens</w:t>
      </w:r>
      <w:r>
        <w:t>, qui constituent une classe en constante évolution, avec l'arrivée régulière de nouvelles molécules et de nouvelles formulations galéniques. Le pharmacien joue un rôle central dans l'observance (horaires stricts, polymédication), la surveillance des effets indésirables (notamment psychiatriques), et l'éducation thérapeutique des patients parkinsoniens chroniques, dont l'espérance de vie en autonomie dépend largement de la qualité de la prise en charge globale — pharmacologique, motrice, cognitive, psychiatrique et sociale.</w:t>
      </w:r>
    </w:p>
    <w:p>
      <w:pPr>
        <w:pStyle w:val="Heading2"/>
      </w:pPr>
      <w:r>
        <w:t>Références bibliographiques du Chapitre 87</w:t>
      </w:r>
    </w:p>
    <w:p>
      <w:pPr>
        <w:pStyle w:val="ListNumber"/>
      </w:pPr>
      <w:r/>
      <w:r>
        <w:rPr>
          <w:b/>
        </w:rPr>
        <w:t>VIDAL</w:t>
      </w:r>
      <w:r>
        <w:t xml:space="preserve"> — Répertoire des spécialités pharmaceutiques, édition 2025-2026</w:t>
      </w:r>
    </w:p>
    <w:p>
      <w:pPr>
        <w:pStyle w:val="ListNumber"/>
      </w:pPr>
      <w:r/>
      <w:r>
        <w:rPr>
          <w:b/>
        </w:rPr>
        <w:t>ANSM</w:t>
      </w:r>
      <w:r>
        <w:t xml:space="preserve"> — Résumé des caractéristiques du produit (RCP) de la lévodopa/carbidopa, du ropinirole et de l'entacapone</w:t>
      </w:r>
    </w:p>
    <w:p>
      <w:pPr>
        <w:pStyle w:val="ListNumber"/>
      </w:pPr>
      <w:r/>
      <w:r>
        <w:rPr>
          <w:b/>
        </w:rPr>
        <w:t>ANSM</w:t>
      </w:r>
      <w:r>
        <w:t xml:space="preserve"> — Mise en garde sur les attaques de sommeil sous agonistes dopaminergiques (2002, 2007)</w:t>
      </w:r>
    </w:p>
    <w:p>
      <w:pPr>
        <w:pStyle w:val="ListNumber"/>
      </w:pPr>
      <w:r/>
      <w:r>
        <w:rPr>
          <w:b/>
        </w:rPr>
        <w:t>ANSM</w:t>
      </w:r>
      <w:r>
        <w:t xml:space="preserve"> — Mise en garde sur les troubles du contrôle des impulsions sous agonistes dopaminergiques (2009)</w:t>
      </w:r>
    </w:p>
    <w:p>
      <w:pPr>
        <w:pStyle w:val="ListNumber"/>
      </w:pPr>
      <w:r/>
      <w:r>
        <w:rPr>
          <w:b/>
        </w:rPr>
        <w:t>FDA</w:t>
      </w:r>
      <w:r>
        <w:t xml:space="preserve"> — Black Box Warning sur les troubles du contrôle des impulsions sous agonistes dopaminergiques (2012)</w:t>
      </w:r>
    </w:p>
    <w:p>
      <w:pPr>
        <w:pStyle w:val="ListNumber"/>
      </w:pPr>
      <w:r/>
      <w:r>
        <w:rPr>
          <w:b/>
        </w:rPr>
        <w:t>Thériaque</w:t>
      </w:r>
      <w:r>
        <w:t xml:space="preserve"> (CNHIM) — Banque française indépendante de données pharmacologiques</w:t>
      </w:r>
    </w:p>
    <w:p>
      <w:pPr>
        <w:pStyle w:val="ListNumber"/>
      </w:pPr>
      <w:r/>
      <w:r>
        <w:rPr>
          <w:b/>
        </w:rPr>
        <w:t>CRAT</w:t>
      </w:r>
      <w:r>
        <w:t xml:space="preserve"> (Centre de Renseignement sur les Agents Tératogènes) — Données grossesse/allaitement</w:t>
      </w:r>
    </w:p>
    <w:p>
      <w:pPr>
        <w:pStyle w:val="ListNumber"/>
      </w:pPr>
      <w:r/>
      <w:r>
        <w:rPr>
          <w:b/>
        </w:rPr>
        <w:t>HAS</w:t>
      </w:r>
      <w:r>
        <w:t xml:space="preserve"> — Recommandations maladie de Parkinson (2005, révision 2017)</w:t>
      </w:r>
    </w:p>
    <w:p>
      <w:pPr>
        <w:pStyle w:val="ListNumber"/>
      </w:pPr>
      <w:r/>
      <w:r>
        <w:rPr>
          <w:b/>
        </w:rPr>
        <w:t>MDS</w:t>
      </w:r>
      <w:r>
        <w:t xml:space="preserve"> (International Parkinson and Movement Disorder Society) — Clinical Diagnostic Criteria for Parkinson's Disease (Postuma 2015)</w:t>
      </w:r>
    </w:p>
    <w:p>
      <w:pPr>
        <w:pStyle w:val="ListNumber"/>
      </w:pPr>
      <w:r/>
      <w:r>
        <w:rPr>
          <w:b/>
        </w:rPr>
        <w:t>EANM</w:t>
      </w:r>
      <w:r>
        <w:t xml:space="preserve"> (European Academy of Neurology) — Guidelines on Treatment of Parkinson's Disease (2019, mise à jour 2024)</w:t>
      </w:r>
    </w:p>
    <w:p>
      <w:pPr>
        <w:pStyle w:val="ListNumber"/>
      </w:pPr>
      <w:r/>
      <w:r>
        <w:rPr>
          <w:b/>
        </w:rPr>
        <w:t>NICE</w:t>
      </w:r>
      <w:r>
        <w:t xml:space="preserve"> — Guideline NG71 : Parkinson's disease in adults (2017)</w:t>
      </w:r>
    </w:p>
    <w:p>
      <w:pPr>
        <w:pStyle w:val="ListNumber"/>
      </w:pPr>
      <w:r/>
      <w:r>
        <w:rPr>
          <w:b/>
        </w:rPr>
        <w:t>AAN</w:t>
      </w:r>
      <w:r>
        <w:t xml:space="preserve"> (American Academy of Neurology) — Practice Guidelines on Parkinson's Disease</w:t>
      </w:r>
    </w:p>
    <w:p>
      <w:pPr>
        <w:pStyle w:val="ListNumber"/>
      </w:pPr>
      <w:r/>
      <w:r>
        <w:rPr>
          <w:b/>
        </w:rPr>
        <w:t>UpToDate</w:t>
      </w:r>
      <w:r>
        <w:t xml:space="preserve"> — Treatment of Parkinson's Disease</w:t>
      </w:r>
    </w:p>
    <w:p>
      <w:pPr>
        <w:pStyle w:val="ListNumber"/>
      </w:pPr>
      <w:r/>
      <w:r>
        <w:rPr>
          <w:b/>
        </w:rPr>
        <w:t>Micromedex</w:t>
      </w:r>
      <w:r>
        <w:t xml:space="preserve"> — Drug Information Database</w:t>
      </w:r>
    </w:p>
    <w:p>
      <w:pPr>
        <w:pStyle w:val="ListNumber"/>
      </w:pPr>
      <w:r/>
      <w:r>
        <w:rPr>
          <w:b/>
        </w:rPr>
        <w:t>Stahl's Essential Psychopharmacology</w:t>
      </w:r>
      <w:r>
        <w:t xml:space="preserve"> (5e édition, 2021) — Neurosciences de la dopamine et des récepteurs D2/D3</w:t>
      </w:r>
    </w:p>
    <w:p>
      <w:pPr>
        <w:pStyle w:val="ListNumber"/>
      </w:pPr>
      <w:r/>
      <w:r>
        <w:rPr>
          <w:b/>
        </w:rPr>
        <w:t>Goodman &amp; Gilman's The Pharmacological Basis of Therapeutics</w:t>
      </w:r>
      <w:r>
        <w:t xml:space="preserve"> (13e édition, 2018) — Antiparkinsonian drugs</w:t>
      </w:r>
    </w:p>
    <w:p>
      <w:pPr>
        <w:pStyle w:val="ListNumber"/>
      </w:pPr>
      <w:r/>
      <w:r>
        <w:rPr>
          <w:b/>
        </w:rPr>
        <w:t>Katzung Basic &amp; Clinical Pharmacology</w:t>
      </w:r>
      <w:r>
        <w:t xml:space="preserve"> (15e édition, 2020) — Pharmacologie des antiparkinsoniens</w:t>
      </w:r>
    </w:p>
    <w:p>
      <w:pPr>
        <w:pStyle w:val="ListNumber"/>
      </w:pPr>
      <w:r/>
      <w:r>
        <w:rPr>
          <w:b/>
        </w:rPr>
        <w:t>Carlsson A.</w:t>
      </w:r>
      <w:r>
        <w:t xml:space="preserve"> (Nobel Prize 2000) — Découverte de la dopamine comme neurotransmetteur</w:t>
      </w:r>
    </w:p>
    <w:p>
      <w:pPr>
        <w:pStyle w:val="ListNumber"/>
      </w:pPr>
      <w:r/>
      <w:r>
        <w:rPr>
          <w:b/>
        </w:rPr>
        <w:t>Cotzias GC et al.</w:t>
      </w:r>
      <w:r>
        <w:t xml:space="preserve"> (1967) — L-DOPA in Parkinson's disease, NEJM</w:t>
      </w:r>
    </w:p>
    <w:p>
      <w:pPr>
        <w:pStyle w:val="ListNumber"/>
      </w:pPr>
      <w:r/>
      <w:r>
        <w:rPr>
          <w:b/>
        </w:rPr>
        <w:t>Marsden CD, Parkes JD.</w:t>
      </w:r>
      <w:r>
        <w:t xml:space="preserve"> (1976) — "On-off" effects in patients with Parkinson's disease on chronic levodopa therapy</w:t>
      </w:r>
    </w:p>
    <w:p>
      <w:pPr>
        <w:pStyle w:val="ListNumber"/>
      </w:pPr>
      <w:r/>
      <w:r>
        <w:rPr>
          <w:b/>
        </w:rPr>
        <w:t>Fahn S.</w:t>
      </w:r>
      <w:r>
        <w:t xml:space="preserve"> — Levodopa-induced dyskinesias (LID)</w:t>
      </w:r>
    </w:p>
    <w:p>
      <w:pPr>
        <w:pStyle w:val="ListNumber"/>
      </w:pPr>
      <w:r/>
      <w:r>
        <w:rPr>
          <w:b/>
        </w:rPr>
        <w:t>Weintraub D et al.</w:t>
      </w:r>
      <w:r>
        <w:t xml:space="preserve"> (2010) — Impulse control disorders in Parkinson's disease</w:t>
      </w:r>
    </w:p>
    <w:p>
      <w:pPr>
        <w:pStyle w:val="ListNumber"/>
      </w:pPr>
      <w:r/>
      <w:r>
        <w:rPr>
          <w:b/>
        </w:rPr>
        <w:t>Voon V et al.</w:t>
      </w:r>
      <w:r>
        <w:t xml:space="preserve"> (2011) — Impulse control disorders and dopamine agonist therapy</w:t>
      </w:r>
    </w:p>
    <w:p>
      <w:pPr>
        <w:pStyle w:val="ListNumber"/>
      </w:pPr>
      <w:r/>
      <w:r>
        <w:rPr>
          <w:b/>
        </w:rPr>
        <w:t>Schrag A.</w:t>
      </w:r>
      <w:r>
        <w:t xml:space="preserve"> (2018) — Neuropsychiatric symptoms in Parkinson's disease</w:t>
      </w:r>
    </w:p>
    <w:p>
      <w:pPr>
        <w:pStyle w:val="ListNumber"/>
      </w:pPr>
      <w:r/>
      <w:r>
        <w:rPr>
          <w:b/>
        </w:rPr>
        <w:t>Nomenclature algérienne des médicaments Avril 2026</w:t>
      </w:r>
      <w:r>
        <w:t xml:space="preserve"> — COMPLETE LISTE.xlsx</w:t>
      </w:r>
    </w:p>
    <w:p>
      <w:r/>
      <w:r>
        <w:rPr>
          <w:i/>
        </w:rPr>
        <w:t>Règles d'or absolues à retenir (synthèse finale) :</w:t>
      </w:r>
      <w:r/>
    </w:p>
    <w:p>
      <w:pPr>
        <w:pStyle w:val="ListNumber"/>
      </w:pPr>
      <w:r/>
      <w:r>
        <w:rPr>
          <w:b/>
        </w:rPr>
        <w:t>Lévodopa + IDDC</w:t>
      </w:r>
      <w:r>
        <w:t xml:space="preserve"> : ne jamais associer à un neuroleptique (sauf clozapine, quétiapine), ni à un IMAO non sélectif. Surveillance hallucinations (surtout sujet âgé). Ne jamais arrêter brutalement (syndrome malin parkinsonien).</w:t>
      </w:r>
    </w:p>
    <w:p>
      <w:pPr>
        <w:pStyle w:val="ListNumber"/>
      </w:pPr>
      <w:r/>
      <w:r>
        <w:rPr>
          <w:b/>
        </w:rPr>
        <w:t>Ropinirole</w:t>
      </w:r>
      <w:r>
        <w:t xml:space="preserve"> : titration très lente, surveillance somnolence et attaques de sommeil (ne pas conduire), surveillance troubles du contrôle des impulsions (jeu pathologique, hypersexualité — information à l'entourage), prudence avec inhibiteurs CYP1A2 (fluvoxamine, ciprofloxacine, tabac).</w:t>
      </w:r>
    </w:p>
    <w:p>
      <w:pPr>
        <w:pStyle w:val="ListNumber"/>
      </w:pPr>
      <w:r/>
      <w:r>
        <w:rPr>
          <w:b/>
        </w:rPr>
        <w:t>Entacapone</w:t>
      </w:r>
      <w:r>
        <w:t xml:space="preserve"> : prise simultanée avec chaque dose de lévodopa, information sur l'urine colorée (inoffensive), surveillance dyskinésies (réduire lévodopa), surveillance diarrhée (parfois tardive).</w:t>
      </w:r>
    </w:p>
    <w:p>
      <w:pPr>
        <w:pStyle w:val="ListNumber"/>
      </w:pPr>
      <w:r/>
      <w:r>
        <w:rPr>
          <w:b/>
        </w:rPr>
        <w:t>Tous les antiparkinsoniens</w:t>
      </w:r>
      <w:r>
        <w:t xml:space="preserve"> : CI absolue d'association aux neuroleptiques (sauf clozapine, quétiapine) — antagonisme pharmacodynamique complet. CI absolue d'association aux IMAO non sélectifs — risque vital d'hypertension maligne.</w:t>
      </w:r>
    </w:p>
    <w:p>
      <w:pPr>
        <w:pStyle w:val="ListNumber"/>
      </w:pPr>
      <w:r/>
      <w:r>
        <w:rPr>
          <w:b/>
        </w:rPr>
        <w:t>Grossesse et allaitement</w:t>
      </w:r>
      <w:r>
        <w:t xml:space="preserve"> : lévodopa possible en grossesse si nécessaire (CRAT), ropinirole et entacapone déconseillés (données limitées). Allaitement CI absolue pour tous (inhibition de la lactation).</w:t>
      </w:r>
    </w:p>
    <w:p>
      <w:r/>
      <w:r>
        <w:rPr>
          <w:i/>
        </w:rPr>
        <w:t>Fin du Chapitre 87 — Médicaments de la maladie de Parkinson.</w:t>
      </w:r>
      <w:r/>
    </w:p>
    <w:p>
      <w:r/>
      <w:r>
        <w:rPr>
          <w:i/>
        </w:rPr>
        <w:t>Fin du Fascicule X — Psychiatrie / Psychotropes.</w:t>
      </w:r>
      <w:r/>
    </w:p>
    <w:sectPr w:rsidR="00FC693F" w:rsidRPr="0006063C" w:rsidSect="00034616">
      <w:headerReference w:type="default" r:id="rId9"/>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Psychiatrie/Psychotropes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