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4E79"/>
          <w:sz w:val="56"/>
        </w:rPr>
        <w:t>UROLOGIE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Urologie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OMS • CRAT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VIII : Urologie</w:t>
      </w:r>
    </w:p>
    <w:p>
      <w:pPr>
        <w:pStyle w:val="Heading2"/>
      </w:pPr>
      <w:r>
        <w:t>Avant-propos et méthodologie du Fascicule VIII</w:t>
      </w:r>
    </w:p>
    <w:p>
      <w:pPr>
        <w:pStyle w:val="Heading3"/>
      </w:pPr>
      <w:r>
        <w:t>1. Objet du fascicule</w:t>
      </w:r>
    </w:p>
    <w:p>
      <w:r>
        <w:t>Le présent fascicule constitue le huitième volet du traité technique de pharmacologie clinique destiné aux étudiants en pharmacie d'officine et aux praticiens exerçant sur le territoire algérien. Il poursuit la démarche engagée dans les Fascicules I-VII en traitant de manière exhaustive les classes thérapeutiques urologiques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Heading4"/>
      </w:pPr>
      <w:r>
        <w:t>2.1 Hypertrophie Bénigne de Prostate (HBP)</w:t>
      </w:r>
    </w:p>
    <w:p>
      <w:pPr>
        <w:pStyle w:val="ListBullet"/>
      </w:pPr>
      <w:r/>
      <w:r>
        <w:rPr>
          <w:b/>
        </w:rPr>
        <w:t>Prévalence</w:t>
      </w:r>
      <w:r>
        <w:t xml:space="preserve"> : 50 % des hommes &gt; 50 ans, 70-80 % &gt; 70 ans</w:t>
      </w:r>
    </w:p>
    <w:p>
      <w:pPr>
        <w:pStyle w:val="ListBullet"/>
      </w:pPr>
      <w:r/>
      <w:r>
        <w:rPr>
          <w:b/>
        </w:rPr>
        <w:t>Symptômes</w:t>
      </w:r>
      <w:r>
        <w:t xml:space="preserve"> : troubles mictionnels du bas appareil urinaire (TUBA), nycturie, jet faible, vidange incomplète</w:t>
      </w:r>
    </w:p>
    <w:p>
      <w:pPr>
        <w:pStyle w:val="ListBullet"/>
      </w:pPr>
      <w:r/>
      <w:r>
        <w:rPr>
          <w:b/>
        </w:rPr>
        <w:t>Complications</w:t>
      </w:r>
      <w:r>
        <w:t xml:space="preserve"> : rétention aiguë d'urine, infections urinaires récidivantes, lithiase vésicale, insuffisance rénale</w:t>
      </w:r>
    </w:p>
    <w:p>
      <w:pPr>
        <w:pStyle w:val="ListBullet"/>
      </w:pPr>
      <w:r/>
      <w:r>
        <w:rPr>
          <w:b/>
        </w:rPr>
        <w:t>Marché algérien</w:t>
      </w:r>
      <w:r>
        <w:t xml:space="preserve"> : large disponibilité alpha-bloquants (alfuzosine 9+ marques, tamsulosine 16+ marques, doxazosine 10+ marques), finastéride disponible ; dutastéride absent</w:t>
      </w:r>
    </w:p>
    <w:p>
      <w:pPr>
        <w:pStyle w:val="Heading4"/>
      </w:pPr>
      <w:r>
        <w:t>2.2 Dysfonction érectile (DE)</w:t>
      </w:r>
    </w:p>
    <w:p>
      <w:pPr>
        <w:pStyle w:val="ListBullet"/>
      </w:pPr>
      <w:r/>
      <w:r>
        <w:rPr>
          <w:b/>
        </w:rPr>
        <w:t>Prévalence</w:t>
      </w:r>
      <w:r>
        <w:t xml:space="preserve"> : 20-30 % hommes adultes, 50 % &gt; 50 ans</w:t>
      </w:r>
    </w:p>
    <w:p>
      <w:pPr>
        <w:pStyle w:val="ListBullet"/>
      </w:pPr>
      <w:r/>
      <w:r>
        <w:rPr>
          <w:b/>
        </w:rPr>
        <w:t>Étiologies</w:t>
      </w:r>
      <w:r>
        <w:t xml:space="preserve"> : vasculaires (athérosclérose, diabète), neurologiques, psychologiques, iatrogènes (antidépresseurs, antihypertenseurs)</w:t>
      </w:r>
    </w:p>
    <w:p>
      <w:pPr>
        <w:pStyle w:val="ListBullet"/>
      </w:pPr>
      <w:r/>
      <w:r>
        <w:rPr>
          <w:b/>
        </w:rPr>
        <w:t>Marché algérien</w:t>
      </w:r>
      <w:r>
        <w:t xml:space="preserve"> : PDE5 complets (sildénafil 20+ marques, tadalafil 18+ marques, vardénafil 1 marque), alprostadil disponible</w:t>
      </w:r>
    </w:p>
    <w:p>
      <w:pPr>
        <w:pStyle w:val="Heading4"/>
      </w:pPr>
      <w:r>
        <w:t>2.3 Incontinence urinaire</w:t>
      </w:r>
    </w:p>
    <w:p>
      <w:pPr>
        <w:pStyle w:val="ListBullet"/>
      </w:pPr>
      <w:r/>
      <w:r>
        <w:rPr>
          <w:b/>
        </w:rPr>
        <w:t>Prévalence</w:t>
      </w:r>
      <w:r>
        <w:t xml:space="preserve"> : 10-15 % femmes adultes, 5-10 % hommes</w:t>
      </w:r>
    </w:p>
    <w:p>
      <w:pPr>
        <w:pStyle w:val="ListBullet"/>
      </w:pPr>
      <w:r/>
      <w:r>
        <w:rPr>
          <w:b/>
        </w:rPr>
        <w:t>Types</w:t>
      </w:r>
      <w:r>
        <w:t xml:space="preserve"> : incontinence d'effort, hyperactivité vésicale (urge), mixte</w:t>
      </w:r>
    </w:p>
    <w:p>
      <w:pPr>
        <w:pStyle w:val="ListBullet"/>
      </w:pPr>
      <w:r/>
      <w:r>
        <w:rPr>
          <w:b/>
        </w:rPr>
        <w:t>Marché algérien</w:t>
      </w:r>
      <w:r>
        <w:t xml:space="preserve"> : oxybutynine, solifénacine disponibles ; mirabegron, flavoxate, darifénacine, trospium absents</w:t>
      </w:r>
    </w:p>
    <w:p>
      <w:pPr>
        <w:pStyle w:val="Heading3"/>
      </w:pPr>
      <w:r>
        <w:t>3. Sources académiques mobilisées</w:t>
      </w:r>
    </w:p>
    <w:p>
      <w:pPr>
        <w:pStyle w:val="ListBullet"/>
      </w:pPr>
      <w:r/>
      <w:r>
        <w:rPr>
          <w:b/>
        </w:rPr>
        <w:t>VIDAL</w:t>
      </w:r>
      <w:r>
        <w:t xml:space="preserve"> : AMM, RCP, interactions</w:t>
      </w:r>
    </w:p>
    <w:p>
      <w:pPr>
        <w:pStyle w:val="ListBullet"/>
      </w:pPr>
      <w:r/>
      <w:r>
        <w:rPr>
          <w:b/>
        </w:rPr>
        <w:t>ANSM</w:t>
      </w:r>
      <w:r>
        <w:t xml:space="preserve"> : recommandations, mises en garde</w:t>
      </w:r>
    </w:p>
    <w:p>
      <w:pPr>
        <w:pStyle w:val="ListBullet"/>
      </w:pPr>
      <w:r/>
      <w:r>
        <w:rPr>
          <w:b/>
        </w:rPr>
        <w:t>Thériaque</w:t>
      </w:r>
      <w:r>
        <w:t xml:space="preserve"> : banque de données pharmaceutiques (CNHIM)</w:t>
      </w:r>
    </w:p>
    <w:p>
      <w:pPr>
        <w:pStyle w:val="ListBullet"/>
      </w:pPr>
      <w:r/>
      <w:r>
        <w:rPr>
          <w:b/>
        </w:rPr>
        <w:t>CRAT</w:t>
      </w:r>
      <w:r>
        <w:t xml:space="preserve"> : données grossesse et allaitement</w:t>
      </w:r>
    </w:p>
    <w:p>
      <w:pPr>
        <w:pStyle w:val="ListBullet"/>
      </w:pPr>
      <w:r/>
      <w:r>
        <w:rPr>
          <w:b/>
        </w:rPr>
        <w:t>EAU (European Association of Urology)</w:t>
      </w:r>
      <w:r>
        <w:t xml:space="preserve"> : guidelines HBP, DE, incontinence</w:t>
      </w:r>
    </w:p>
    <w:p>
      <w:pPr>
        <w:pStyle w:val="ListBullet"/>
      </w:pPr>
      <w:r/>
      <w:r>
        <w:rPr>
          <w:b/>
        </w:rPr>
        <w:t>AUA (American Urological Association)</w:t>
      </w:r>
      <w:r>
        <w:t xml:space="preserve"> : guidelines</w:t>
      </w:r>
    </w:p>
    <w:p>
      <w:pPr>
        <w:pStyle w:val="ListBullet"/>
      </w:pPr>
      <w:r/>
      <w:r>
        <w:rPr>
          <w:b/>
        </w:rPr>
        <w:t>UpToDate, Micromedex, BMJ Best Practice, HAS</w:t>
      </w:r>
      <w:r>
        <w:t xml:space="preserve"> : référentiels internationaux</w:t>
      </w:r>
    </w:p>
    <w:p>
      <w:pPr>
        <w:pStyle w:val="Heading3"/>
      </w:pPr>
      <w:r>
        <w:t>4. Périmètre de ce fascicule</w:t>
      </w:r>
    </w:p>
    <w:p>
      <w:r>
        <w:t>Ce fascicule couvre les classes urologiques suivantes :</w:t>
      </w:r>
    </w:p>
    <w:p>
      <w:pPr>
        <w:pStyle w:val="Heading4"/>
      </w:pPr>
      <w:r>
        <w:t>HBP (4 DCI)</w:t>
      </w:r>
    </w:p>
    <w:p>
      <w:pPr>
        <w:pStyle w:val="ListNumber"/>
      </w:pPr>
      <w:r>
        <w:t>Alpha-bloquants urosélectifs (2) : alfuzosine, tamsulosine</w:t>
      </w:r>
    </w:p>
    <w:p>
      <w:pPr>
        <w:pStyle w:val="ListNumber"/>
      </w:pPr>
      <w:r>
        <w:t>Alpha-bloquants non sélectifs (1) : doxazosine</w:t>
      </w:r>
    </w:p>
    <w:p>
      <w:pPr>
        <w:pStyle w:val="ListNumber"/>
      </w:pPr>
      <w:r>
        <w:t>Inhibiteurs 5-alpha-réductase (1) : finastéride</w:t>
      </w:r>
    </w:p>
    <w:p>
      <w:pPr>
        <w:pStyle w:val="Heading4"/>
      </w:pPr>
      <w:r>
        <w:t>Dysfonction érectile (5 DCI)</w:t>
      </w:r>
    </w:p>
    <w:p>
      <w:pPr>
        <w:pStyle w:val="ListNumber"/>
      </w:pPr>
      <w:r>
        <w:t>Inhibiteurs PDE5 (3) : sildénafil, tadalafil, vardénafil</w:t>
      </w:r>
    </w:p>
    <w:p>
      <w:pPr>
        <w:pStyle w:val="ListNumber"/>
      </w:pPr>
      <w:r>
        <w:t>Prostaglandines E1 (1) : alprostadil</w:t>
      </w:r>
    </w:p>
    <w:p>
      <w:pPr>
        <w:pStyle w:val="ListNumber"/>
      </w:pPr>
      <w:r>
        <w:t>PDE non sélectifs (1) : papavérine</w:t>
      </w:r>
    </w:p>
    <w:p>
      <w:pPr>
        <w:pStyle w:val="Heading4"/>
      </w:pPr>
      <w:r>
        <w:t>Incontinence urinaire et troubles vésicaux (5 DCI)</w:t>
      </w:r>
    </w:p>
    <w:p>
      <w:pPr>
        <w:pStyle w:val="ListNumber"/>
      </w:pPr>
      <w:r>
        <w:t>Anticholinergiques M3 (2) : oxybutynine, solifénacine</w:t>
      </w:r>
    </w:p>
    <w:p>
      <w:pPr>
        <w:pStyle w:val="ListNumber"/>
      </w:pPr>
      <w:r>
        <w:t>IRSN (1) : duloxétine</w:t>
      </w:r>
    </w:p>
    <w:p>
      <w:pPr>
        <w:pStyle w:val="ListNumber"/>
      </w:pPr>
      <w:r>
        <w:t>Antiseptiques urinaires (1) : nitroxoline</w:t>
      </w:r>
    </w:p>
    <w:p>
      <w:pPr>
        <w:pStyle w:val="ListNumber"/>
      </w:pPr>
      <w:r>
        <w:t>Alcalinisants urinaires (1) : bicarbonate de sodium</w:t>
      </w:r>
    </w:p>
    <w:p>
      <w:r/>
      <w:r>
        <w:rPr>
          <w:b/>
        </w:rPr>
        <w:t>Total : 14 DCI</w:t>
      </w:r>
      <w:r>
        <w:t xml:space="preserve"> traitées individuellement, représentant plus de </w:t>
      </w:r>
      <w:r>
        <w:rPr>
          <w:b/>
        </w:rPr>
        <w:t>200 spécialités commerciales</w:t>
      </w:r>
      <w:r>
        <w:t>.</w:t>
      </w:r>
    </w:p>
    <w:p>
      <w:pPr>
        <w:pStyle w:val="Heading2"/>
      </w:pPr>
      <w:r>
        <w:t>Sommaire général du Fascicule VIII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71</w:t>
            </w:r>
          </w:p>
        </w:tc>
        <w:tc>
          <w:tcPr>
            <w:tcW w:type="dxa" w:w="3118"/>
          </w:tcPr>
          <w:p>
            <w:r>
              <w:rPr>
                <w:sz w:val="20"/>
              </w:rPr>
              <w:t>Hypertrophie Bénigne de Prostate (HBP)</w:t>
            </w:r>
          </w:p>
        </w:tc>
        <w:tc>
          <w:tcPr>
            <w:tcW w:type="dxa" w:w="3118"/>
          </w:tcPr>
          <w:p>
            <w:r>
              <w:rPr>
                <w:sz w:val="20"/>
              </w:rPr>
              <w:t>4</w:t>
            </w:r>
          </w:p>
        </w:tc>
      </w:tr>
      <w:tr>
        <w:tc>
          <w:tcPr>
            <w:tcW w:type="dxa" w:w="3118"/>
          </w:tcPr>
          <w:p>
            <w:r>
              <w:rPr>
                <w:sz w:val="20"/>
              </w:rPr>
              <w:t>72</w:t>
            </w:r>
          </w:p>
        </w:tc>
        <w:tc>
          <w:tcPr>
            <w:tcW w:type="dxa" w:w="3118"/>
          </w:tcPr>
          <w:p>
            <w:r>
              <w:rPr>
                <w:sz w:val="20"/>
              </w:rPr>
              <w:t>Dysfonction érectile</w:t>
            </w:r>
          </w:p>
        </w:tc>
        <w:tc>
          <w:tcPr>
            <w:tcW w:type="dxa" w:w="3118"/>
          </w:tcPr>
          <w:p>
            <w:r>
              <w:rPr>
                <w:sz w:val="20"/>
              </w:rPr>
              <w:t>5</w:t>
            </w:r>
          </w:p>
        </w:tc>
      </w:tr>
      <w:tr>
        <w:tc>
          <w:tcPr>
            <w:tcW w:type="dxa" w:w="3118"/>
          </w:tcPr>
          <w:p>
            <w:r>
              <w:rPr>
                <w:sz w:val="20"/>
              </w:rPr>
              <w:t>73</w:t>
            </w:r>
          </w:p>
        </w:tc>
        <w:tc>
          <w:tcPr>
            <w:tcW w:type="dxa" w:w="3118"/>
          </w:tcPr>
          <w:p>
            <w:r>
              <w:rPr>
                <w:sz w:val="20"/>
              </w:rPr>
              <w:t>Incontinence urinaire et troubles vésicaux</w:t>
            </w:r>
          </w:p>
        </w:tc>
        <w:tc>
          <w:tcPr>
            <w:tcW w:type="dxa" w:w="3118"/>
          </w:tcPr>
          <w:p>
            <w:r>
              <w:rPr>
                <w:sz w:val="20"/>
              </w:rPr>
              <w:t>5</w:t>
            </w:r>
          </w:p>
        </w:tc>
      </w:tr>
      <w:tr>
        <w:tc>
          <w:tcPr>
            <w:tcW w:type="dxa" w:w="3118"/>
          </w:tcPr>
          <w:p>
            <w:r>
              <w:rPr>
                <w:sz w:val="20"/>
              </w:rPr>
              <w:t>**Total**</w:t>
            </w:r>
          </w:p>
        </w:tc>
        <w:tc>
          <w:tcPr>
            <w:tcW w:type="dxa" w:w="3118"/>
          </w:tcPr>
          <w:p>
            <w:r>
              <w:rPr>
                <w:sz w:val="20"/>
              </w:rPr>
            </w:r>
          </w:p>
        </w:tc>
        <w:tc>
          <w:tcPr>
            <w:tcW w:type="dxa" w:w="3118"/>
          </w:tcPr>
          <w:p>
            <w:r>
              <w:rPr>
                <w:sz w:val="20"/>
              </w:rPr>
              <w:t>**14**</w:t>
            </w:r>
          </w:p>
        </w:tc>
      </w:tr>
    </w:tbl>
    <w:p/>
    <w:p>
      <w:pPr>
        <w:pStyle w:val="Heading1"/>
      </w:pPr>
      <w:r>
        <w:t>Chapitre 71 — Hypertrophie Bénigne de la Prostate (HBP) : traitements pharmacologiques</w:t>
      </w:r>
    </w:p>
    <w:p>
      <w:pPr>
        <w:ind w:left="567"/>
      </w:pPr>
      <w:r>
        <w:rPr>
          <w:i/>
          <w:color w:val="606060"/>
        </w:rPr>
        <w:t>**Fascicule VIII — Urologie**</w:t>
      </w:r>
    </w:p>
    <w:p>
      <w:pPr>
        <w:ind w:left="567"/>
      </w:pPr>
      <w:r>
        <w:rPr>
          <w:i/>
          <w:color w:val="606060"/>
        </w:rPr>
        <w:t>*Sous-classes thérapeutiques : HBP — Alpha-bloquants urosélectifs (alfuzosine, tamsulosine) ; HBP — Alpha-bloquants non sélectifs (doxazosine) ; HBP — Inhibiteurs de la 5-alpha-réductase (finastéride, dutastéride)*</w:t>
      </w:r>
    </w:p>
    <w:p>
      <w:pPr>
        <w:ind w:left="567"/>
      </w:pPr>
      <w:r>
        <w:rPr>
          <w:i/>
          <w:color w:val="606060"/>
        </w:rPr>
        <w:t>*Nomenclature algérienne des médicaments — Avril 2026*</w:t>
      </w:r>
    </w:p>
    <w:p>
      <w:pPr>
        <w:pStyle w:val="Heading2"/>
      </w:pPr>
      <w:r>
        <w:t>Sommaire du chapitre</w:t>
      </w:r>
    </w:p>
    <w:p>
      <w:pPr>
        <w:pStyle w:val="ListNumber"/>
      </w:pPr>
      <w:r>
        <w:t>Vue d'ensemble de l'hypertrophie bénigne de la prostate et de sa prise en charge pharmacologique</w:t>
      </w:r>
    </w:p>
    <w:p>
      <w:pPr>
        <w:pStyle w:val="ListNumber"/>
      </w:pPr>
      <w:r>
        <w:t>Introduction à la sous-classe des alpha-bloquants urosélectifs (alfuzosine, tamsulosine)</w:t>
      </w:r>
    </w:p>
    <w:p>
      <w:pPr>
        <w:pStyle w:val="ListNumber"/>
      </w:pPr>
      <w:r>
        <w:t>Fiches DCI — Alpha-bloquants urosélectifs</w:t>
      </w:r>
    </w:p>
    <w:p>
      <w:pPr>
        <w:pStyle w:val="ListBullet"/>
      </w:pPr>
      <w:r>
        <w:t>1. Alfuzosine</w:t>
      </w:r>
    </w:p>
    <w:p>
      <w:pPr>
        <w:pStyle w:val="ListBullet"/>
      </w:pPr>
      <w:r>
        <w:t>2. Tamsulosine</w:t>
      </w:r>
    </w:p>
    <w:p>
      <w:pPr>
        <w:pStyle w:val="ListNumber"/>
      </w:pPr>
      <w:r>
        <w:t>Introduction à la sous-classe des alpha-bloquants non sélectifs (doxazosine)</w:t>
      </w:r>
    </w:p>
    <w:p>
      <w:pPr>
        <w:pStyle w:val="ListNumber"/>
      </w:pPr>
      <w:r>
        <w:t>Fiche DCI — Alpha-bloquant non sélectif</w:t>
      </w:r>
    </w:p>
    <w:p>
      <w:pPr>
        <w:pStyle w:val="ListBullet"/>
      </w:pPr>
      <w:r>
        <w:t>3. Doxazosine</w:t>
      </w:r>
    </w:p>
    <w:p>
      <w:pPr>
        <w:pStyle w:val="ListNumber"/>
      </w:pPr>
      <w:r>
        <w:t>Introduction à la sous-classe des inhibiteurs de la 5-alpha-réductase</w:t>
      </w:r>
    </w:p>
    <w:p>
      <w:pPr>
        <w:pStyle w:val="ListNumber"/>
      </w:pPr>
      <w:r>
        <w:t>Fiche DCI — Inhibiteurs de la 5-alpha-réductase</w:t>
      </w:r>
    </w:p>
    <w:p>
      <w:pPr>
        <w:pStyle w:val="ListBullet"/>
      </w:pPr>
      <w:r>
        <w:t>4. Finastéride (et comparaison avec le dutastéride — non commercialisé en Algérie)</w:t>
      </w:r>
    </w:p>
    <w:p>
      <w:pPr>
        <w:pStyle w:val="ListNumber"/>
      </w:pPr>
      <w:r>
        <w:t>Tableau comparatif synthétique des 4 DCI</w:t>
      </w:r>
    </w:p>
    <w:p>
      <w:pPr>
        <w:pStyle w:val="ListNumber"/>
      </w:pPr>
      <w:r>
        <w:t>Règles d'Or et points-clés au comptoir</w:t>
      </w:r>
    </w:p>
    <w:p>
      <w:pPr>
        <w:pStyle w:val="ListNumber"/>
      </w:pPr>
      <w:r>
        <w:t>Sources documentaires</w:t>
      </w:r>
    </w:p>
    <w:p>
      <w:pPr>
        <w:pStyle w:val="Heading2"/>
      </w:pPr>
      <w:r>
        <w:t>1. Vue d'ensemble de l'hypertrophie bénigne de la prostate et de sa prise en charge pharmacologique</w:t>
      </w:r>
    </w:p>
    <w:p>
      <w:pPr>
        <w:pStyle w:val="Heading3"/>
      </w:pPr>
      <w:r>
        <w:t>Définition et épidémiologie</w:t>
      </w:r>
    </w:p>
    <w:p>
      <w:r>
        <w:t>L'</w:t>
      </w:r>
      <w:r>
        <w:rPr>
          <w:b/>
        </w:rPr>
        <w:t>hypertrophie bénigne de la prostate (HBP)</w:t>
      </w:r>
      <w:r>
        <w:t xml:space="preserve"> — également dénommée </w:t>
      </w:r>
      <w:r>
        <w:rPr>
          <w:b/>
        </w:rPr>
        <w:t>hyperplasie bénigne de la prostate</w:t>
      </w:r>
      <w:r>
        <w:t xml:space="preserve"> ou </w:t>
      </w:r>
      <w:r>
        <w:rPr>
          <w:i/>
        </w:rPr>
        <w:t>adénofibromyomatose prostatique</w:t>
      </w:r>
      <w:r>
        <w:t xml:space="preserve"> — est une prolifération </w:t>
      </w:r>
      <w:r>
        <w:rPr>
          <w:b/>
        </w:rPr>
        <w:t>stromo-épithéliale</w:t>
      </w:r>
      <w:r>
        <w:t xml:space="preserve"> non cancéreuse de la </w:t>
      </w:r>
      <w:r>
        <w:rPr>
          <w:b/>
        </w:rPr>
        <w:t>zone transitionnelle</w:t>
      </w:r>
      <w:r>
        <w:t xml:space="preserve"> et </w:t>
      </w:r>
      <w:r>
        <w:rPr>
          <w:b/>
        </w:rPr>
        <w:t>péri-urétrale</w:t>
      </w:r>
      <w:r>
        <w:t xml:space="preserve"> de la prostate, survenant chez l'homme après 50 ans et responsable d'une </w:t>
      </w:r>
      <w:r>
        <w:rPr>
          <w:b/>
        </w:rPr>
        <w:t>obstruction sous-vésicale</w:t>
      </w:r>
      <w:r>
        <w:t xml:space="preserve"> mécanique (compression de l'urètre prostatique par le nodule adénomateux) et </w:t>
      </w:r>
      <w:r>
        <w:rPr>
          <w:b/>
        </w:rPr>
        <w:t>dynamique</w:t>
      </w:r>
      <w:r>
        <w:t xml:space="preserve"> (hypertonie du muscle lisse prostatique, du col vésical et de la capsule prostatique médiée par les récepteurs α1-adrénergiques). La HBP est la maladie tumorale bénigne la plus fréquente de l'homme âgé : sa prévalence anatomique atteint </w:t>
      </w:r>
      <w:r>
        <w:rPr>
          <w:b/>
        </w:rPr>
        <w:t>50 % à 60 ans</w:t>
      </w:r>
      <w:r>
        <w:t xml:space="preserve"> et </w:t>
      </w:r>
      <w:r>
        <w:rPr>
          <w:b/>
        </w:rPr>
        <w:t>80-90 % à 80 ans</w:t>
      </w:r>
      <w:r>
        <w:t xml:space="preserve"> ; sa traduction </w:t>
      </w:r>
      <w:r>
        <w:rPr>
          <w:b/>
        </w:rPr>
        <w:t>symptomatique</w:t>
      </w:r>
      <w:r>
        <w:t xml:space="preserve"> (troubles mictionnels du bas appareil urinaire — </w:t>
      </w:r>
      <w:r>
        <w:rPr>
          <w:b/>
        </w:rPr>
        <w:t>TUBA</w:t>
      </w:r>
      <w:r>
        <w:t xml:space="preserve"> ou </w:t>
      </w:r>
      <w:r>
        <w:rPr>
          <w:i/>
        </w:rPr>
        <w:t>LUTS</w:t>
      </w:r>
      <w:r>
        <w:t xml:space="preserve"> en anglais, </w:t>
      </w:r>
      <w:r>
        <w:rPr>
          <w:i/>
        </w:rPr>
        <w:t>Lower Urinary Tract Symptoms</w:t>
      </w:r>
      <w:r>
        <w:t>) concerne 25-30 % des hommes de 60 ans et 40-50 % des plus de 75 ans. En Algérie, le vieillissement démographique progressif (espérance de vie masculine passée de 65 ans en 1990 à près de 77 ans en 2024) explique l'augmentation régulière des consultations urologiques pour HBP symptomatique, ainsi que la diversification croissante de l'offre thérapeutique générique disponible en officine (alfuzosine, tamsulosine, doxazosine, finastéride).</w:t>
      </w:r>
    </w:p>
    <w:p>
      <w:pPr>
        <w:pStyle w:val="Heading3"/>
      </w:pPr>
      <w:r>
        <w:t>Physiopathologie — Double composante, double cible pharmacologique</w:t>
      </w:r>
    </w:p>
    <w:p>
      <w:r>
        <w:t>La HBP associe deux composantes pathogéniques distinctes mais intriquées, qui sous-tendent les deux grandes classes pharmacologiques traitées dans ce chapitre :</w:t>
      </w:r>
    </w:p>
    <w:p>
      <w:pPr>
        <w:pStyle w:val="ListNumber"/>
      </w:pPr>
      <w:r/>
      <w:r>
        <w:rPr>
          <w:b/>
        </w:rPr>
        <w:t>Composante statique (mécanique)</w:t>
      </w:r>
      <w:r>
        <w:t xml:space="preserve"> : prolifération </w:t>
      </w:r>
      <w:r>
        <w:rPr>
          <w:b/>
        </w:rPr>
        <w:t>stromale</w:t>
      </w:r>
      <w:r>
        <w:t xml:space="preserve"> (muscle lisse) et </w:t>
      </w:r>
      <w:r>
        <w:rPr>
          <w:b/>
        </w:rPr>
        <w:t>épithéliale</w:t>
      </w:r>
      <w:r>
        <w:t xml:space="preserve"> (glandes) de la zone transitionnelle, sous la dépendance de la </w:t>
      </w:r>
      <w:r>
        <w:rPr>
          <w:b/>
        </w:rPr>
        <w:t>dihydrotestostérone (DHT)</w:t>
      </w:r>
      <w:r>
        <w:t xml:space="preserve"> — métabolite actif de la testostérone produit par l'enzyme </w:t>
      </w:r>
      <w:r>
        <w:rPr>
          <w:b/>
        </w:rPr>
        <w:t>5-alpha-réductase de type II</w:t>
      </w:r>
      <w:r>
        <w:t xml:space="preserve"> (et accessoirement de type I). La DHT active les récepteurs androgéniques nucléaires des cellules stromales et épithéliales, stimulant la transcription de facteurs de croissance (TGF-β, FGF, EGF, IGF) qui entraînent la prolifération tissulaire. La prostate grossit progressivement (volume &gt; 30-40 mL = HBP anatomiquement significative) et comprime l'urètre prostatique : c'est l'</w:t>
      </w:r>
      <w:r>
        <w:rPr>
          <w:b/>
        </w:rPr>
        <w:t>obstruction mécanique</w:t>
      </w:r>
      <w:r>
        <w:t xml:space="preserve">. Cette composante est la cible des </w:t>
      </w:r>
      <w:r>
        <w:rPr>
          <w:b/>
        </w:rPr>
        <w:t>inhibiteurs de la 5-alpha-réductase</w:t>
      </w:r>
      <w:r>
        <w:t xml:space="preserve"> (finastéride, dutastéride), qui réduisent le volume prostatique sur le long cours (6-12 mois) en bloquant la conversion testostérone → DHT.</w:t>
      </w:r>
    </w:p>
    <w:p>
      <w:pPr>
        <w:pStyle w:val="ListNumber"/>
      </w:pPr>
      <w:r/>
      <w:r>
        <w:rPr>
          <w:b/>
        </w:rPr>
        <w:t>Composante dynamique (fonctionnelle)</w:t>
      </w:r>
      <w:r>
        <w:t xml:space="preserve"> : le tonus du </w:t>
      </w:r>
      <w:r>
        <w:rPr>
          <w:b/>
        </w:rPr>
        <w:t>muscle lisse</w:t>
      </w:r>
      <w:r>
        <w:t xml:space="preserve"> de la capsule prostatique, du </w:t>
      </w:r>
      <w:r>
        <w:rPr>
          <w:b/>
        </w:rPr>
        <w:t>col vésical</w:t>
      </w:r>
      <w:r>
        <w:t xml:space="preserve"> et de l'urètre prostatique est sous la dépendance du système nerveux sympathique via les </w:t>
      </w:r>
      <w:r>
        <w:rPr>
          <w:b/>
        </w:rPr>
        <w:t>récepteurs α1-adrénergiques</w:t>
      </w:r>
      <w:r>
        <w:t xml:space="preserve">. Trois sous-types ont été clonés : </w:t>
      </w:r>
      <w:r>
        <w:rPr>
          <w:b/>
        </w:rPr>
        <w:t>α1A</w:t>
      </w:r>
      <w:r>
        <w:t xml:space="preserve"> (prédominant dans la prostate, le col vésical et la capsule prostatique — ~70-80 % des récepteurs prostatiques), </w:t>
      </w:r>
      <w:r>
        <w:rPr>
          <w:b/>
        </w:rPr>
        <w:t>α1B</w:t>
      </w:r>
      <w:r>
        <w:t xml:space="preserve"> (prédominant dans les vaisseaux sanguins systémiques — responsable de la vasodilatation et de l'hypotension), et </w:t>
      </w:r>
      <w:r>
        <w:rPr>
          <w:b/>
        </w:rPr>
        <w:t>α1D</w:t>
      </w:r>
      <w:r>
        <w:t xml:space="preserve"> (prédominant dans le détrusor vésical et la moelle épinière, impliqué dans la contraction vésicale et la symptomatologie irritative). L'hypertonie α1A prostatique entraîne une </w:t>
      </w:r>
      <w:r>
        <w:rPr>
          <w:b/>
        </w:rPr>
        <w:t>compression dynamique</w:t>
      </w:r>
      <w:r>
        <w:t xml:space="preserve"> de l'urètre, majorant l'obstruction. Cette composante est la cible des </w:t>
      </w:r>
      <w:r>
        <w:rPr>
          <w:b/>
        </w:rPr>
        <w:t>alpha-bloquants</w:t>
      </w:r>
      <w:r>
        <w:t xml:space="preserve"> (alfuzosine, tamsulosine, doxazosine) qui, en bloquant les récepteurs α1, relâchent le muscle lisse prostatique et vésical et </w:t>
      </w:r>
      <w:r>
        <w:rPr>
          <w:b/>
        </w:rPr>
        <w:t>réduisent la composante dynamique</w:t>
      </w:r>
      <w:r>
        <w:t xml:space="preserve"> de l'obstruction — d'où un effet </w:t>
      </w:r>
      <w:r>
        <w:rPr>
          <w:b/>
        </w:rPr>
        <w:t>symptomatique rapide</w:t>
      </w:r>
      <w:r>
        <w:t xml:space="preserve"> (en 1-2 semaines) sans modification du volume prostatique.</w:t>
      </w:r>
    </w:p>
    <w:p>
      <w:pPr>
        <w:pStyle w:val="Heading3"/>
      </w:pPr>
      <w:r>
        <w:t>Stratification thérapeutique selon les guidelines EAU (European Association of Urology)</w:t>
      </w:r>
    </w:p>
    <w:p>
      <w:r>
        <w:t xml:space="preserve">Les recommandations </w:t>
      </w:r>
      <w:r>
        <w:rPr>
          <w:b/>
        </w:rPr>
        <w:t>EAU 2024</w:t>
      </w:r>
      <w:r>
        <w:t xml:space="preserve"> sur les TUBA masculins non neurologiques proposent l'algorithme décisionnel suivant :</w:t>
      </w:r>
    </w:p>
    <w:p>
      <w:pPr>
        <w:pStyle w:val="ListBullet"/>
      </w:pPr>
      <w:r/>
      <w:r>
        <w:rPr>
          <w:b/>
        </w:rPr>
        <w:t>TUBA minimes/modérés (IPSS &lt; 8 ou non invalidants)</w:t>
      </w:r>
      <w:r>
        <w:t xml:space="preserve"> : surveillance simple (watchful waiting) + mesures hygiéno-diététiques (réduction des apports hydriques en soirée, évitement de la caféine/alcool, activité physique régulière, traitement de la constipation).</w:t>
      </w:r>
    </w:p>
    <w:p>
      <w:pPr>
        <w:pStyle w:val="ListBullet"/>
      </w:pPr>
      <w:r/>
      <w:r>
        <w:rPr>
          <w:b/>
        </w:rPr>
        <w:t>TUBA modérés à sévères (IPSS ≥ 8) avec prostate &lt; 30-40 mL</w:t>
      </w:r>
      <w:r>
        <w:t xml:space="preserve"> : </w:t>
      </w:r>
      <w:r>
        <w:rPr>
          <w:b/>
        </w:rPr>
        <w:t>alpha-bloquant en monothérapie</w:t>
      </w:r>
      <w:r>
        <w:t xml:space="preserve"> (alfuzosine, tamsulosine, doxazosine, ou silodosine — non disponible en Algérie). Préférence pour un </w:t>
      </w:r>
      <w:r>
        <w:rPr>
          <w:b/>
        </w:rPr>
        <w:t>alpha-bloquant urosélectif</w:t>
      </w:r>
      <w:r>
        <w:t xml:space="preserve"> (alfuzosine, tamsulosine) en raison du meilleur profil de tolérance cardiovasculaire (moins d'hypotension orthostatique).</w:t>
      </w:r>
    </w:p>
    <w:p>
      <w:pPr>
        <w:pStyle w:val="ListBullet"/>
      </w:pPr>
      <w:r/>
      <w:r>
        <w:rPr>
          <w:b/>
        </w:rPr>
        <w:t>TUBA modérés à sévères avec prostate ≥ 30-40 mL et/ou PSA &gt; 1,5 ng/mL</w:t>
      </w:r>
      <w:r>
        <w:t xml:space="preserve"> : </w:t>
      </w:r>
      <w:r>
        <w:rPr>
          <w:b/>
        </w:rPr>
        <w:t>inhibiteur de la 5-alpha-réductase en monothérapie</w:t>
      </w:r>
      <w:r>
        <w:t xml:space="preserve"> (finastéride 5 mg/j, dutastéride 0,5 mg/j non commercialisé en Algérie) pour réduire le volume prostatique — effet retardé (6 mois minimum).</w:t>
      </w:r>
    </w:p>
    <w:p>
      <w:pPr>
        <w:pStyle w:val="ListBullet"/>
      </w:pPr>
      <w:r/>
      <w:r>
        <w:rPr>
          <w:b/>
        </w:rPr>
        <w:t>TUBA modérés à sévères avec prostate ≥ 30-40 mL</w:t>
      </w:r>
      <w:r>
        <w:t xml:space="preserve"> : </w:t>
      </w:r>
      <w:r>
        <w:rPr>
          <w:b/>
        </w:rPr>
        <w:t>bithérapie</w:t>
      </w:r>
      <w:r>
        <w:t xml:space="preserve"> alpha-bloquant + inhibiteur de la 5-alpha-réductase (étude MTOPS,_combAT — réduction de 66 % du risque de rétention aiguë d'urine et de chirurgie prostatique à 4 ans).</w:t>
      </w:r>
    </w:p>
    <w:p>
      <w:pPr>
        <w:pStyle w:val="ListBullet"/>
      </w:pPr>
      <w:r/>
      <w:r>
        <w:rPr>
          <w:b/>
        </w:rPr>
        <w:t>TUBA sévères avec échec pharmacologique</w:t>
      </w:r>
      <w:r>
        <w:t xml:space="preserve"> (rétention récidivante, lithiase vésicale, hématurie récidivante, insuffisance rénale obstructive, diverticule vésical) : </w:t>
      </w:r>
      <w:r>
        <w:rPr>
          <w:b/>
        </w:rPr>
        <w:t>chirurgie</w:t>
      </w:r>
      <w:r>
        <w:t xml:space="preserve"> — résection transurétrale de prostate (RTUP), adénomectomie par laser Holmium (HoLEP), photovaporisation GreenLight, adénomectomie sus-pubienne pour gros adénomes (&gt; 80-100 mL).</w:t>
      </w:r>
    </w:p>
    <w:p>
      <w:pPr>
        <w:pStyle w:val="Heading3"/>
      </w:pPr>
      <w:r>
        <w:t>Place du pharmacien d'officine en Algérie</w:t>
      </w:r>
    </w:p>
    <w:p>
      <w:r>
        <w:t xml:space="preserve">En Algérie, la majorité des spécialités traitées dans ce chapitre sont disponibles en </w:t>
      </w:r>
      <w:r>
        <w:rPr>
          <w:b/>
        </w:rPr>
        <w:t>Liste I</w:t>
      </w:r>
      <w:r>
        <w:t xml:space="preserve"> (délivrance sur ordonnance mais non soumise à prescription restreinte) en officine de ville — à l'exception notable du dutastéride, absent du marché national. Le pharmacien d'officina joue un rôle pivot dans :</w:t>
      </w:r>
    </w:p>
    <w:p>
      <w:pPr>
        <w:pStyle w:val="ListBullet"/>
      </w:pPr>
      <w:r>
        <w:t xml:space="preserve">la </w:t>
      </w:r>
      <w:r>
        <w:rPr>
          <w:b/>
        </w:rPr>
        <w:t>vérification de la prescription</w:t>
      </w:r>
      <w:r>
        <w:t xml:space="preserve"> (dose, durée, interactions avec les antihypertenseurs et les inhibiteurs de la PDE5 utilisés dans le dysfonctionnement érectile — voir Fascicule VIII Chapitre 72) ;</w:t>
      </w:r>
    </w:p>
    <w:p>
      <w:pPr>
        <w:pStyle w:val="ListBullet"/>
      </w:pPr>
      <w:r>
        <w:t xml:space="preserve">le </w:t>
      </w:r>
      <w:r>
        <w:rPr>
          <w:b/>
        </w:rPr>
        <w:t>conseil au patient</w:t>
      </w:r>
      <w:r>
        <w:t xml:space="preserve"> : effet non immédiat du finastéride (prévenir 6 mois pour effet optimal), risque d'hypotension orthostatique de 1re dose pour la doxazosine (première prise au coucher), information du chirurgien ophtalmologiste en cas de chirurgie de la cataracte programmée pour la tamsulosine (risque d'</w:t>
      </w:r>
      <w:r>
        <w:rPr>
          <w:b/>
        </w:rPr>
        <w:t>IFIS</w:t>
      </w:r>
      <w:r>
        <w:t xml:space="preserve"> — *Intraoperative Floppy Iris Syndrome*), adaptation de l'interprétation du PSA sous finastéride (divisé par ~2 après 6 mois — ne pas méconnaître un cancer sous-jacent) ;</w:t>
      </w:r>
    </w:p>
    <w:p>
      <w:pPr>
        <w:pStyle w:val="ListBullet"/>
      </w:pPr>
      <w:r>
        <w:t xml:space="preserve">la </w:t>
      </w:r>
      <w:r>
        <w:rPr>
          <w:b/>
        </w:rPr>
        <w:t>détection des effets indésirables</w:t>
      </w:r>
      <w:r>
        <w:t xml:space="preserve"> : hypotension orthostatique, vertiges, éjaculation rétrograde (alpha-bloquants), baisse de libido et troubles de l'érection (finastéride), gynécomastie (finastéride), exceptionnels syndromes dépressifs et pensées suicidaires (finastéride — signal de pharmacovigilance renforcé post-2017) ;</w:t>
      </w:r>
    </w:p>
    <w:p>
      <w:pPr>
        <w:pStyle w:val="ListBullet"/>
      </w:pPr>
      <w:r>
        <w:t>l'</w:t>
      </w:r>
      <w:r>
        <w:rPr>
          <w:b/>
        </w:rPr>
        <w:t>observance</w:t>
      </w:r>
      <w:r>
        <w:t xml:space="preserve"> : traitements au long cours (à vie) — la mauvaise observance est une cause majeure d'échec thérapeutique ;</w:t>
      </w:r>
    </w:p>
    <w:p>
      <w:pPr>
        <w:pStyle w:val="ListBullet"/>
      </w:pPr>
      <w:r>
        <w:t xml:space="preserve">la </w:t>
      </w:r>
      <w:r>
        <w:rPr>
          <w:b/>
        </w:rPr>
        <w:t>prévention des interactions</w:t>
      </w:r>
      <w:r>
        <w:t xml:space="preserve"> : prescription concomitante de plusieurs alpha-bloquants (CI absolue), association avec les inhibiteurs de la PDE5 (sildénafil, tadalafil) à risque d'hypotension additive, manipulation des comprimés de finastéride par une femme enceinte ou susceptible de l'être (CI absolue — tératogénicité sur les organes génitaux externes masculins du fœtus).</w:t>
      </w:r>
    </w:p>
    <w:p>
      <w:pPr>
        <w:pStyle w:val="Heading3"/>
      </w:pPr>
      <w:r>
        <w:t>Objectifs pédagogiques du chapitre</w:t>
      </w:r>
    </w:p>
    <w:p>
      <w:r>
        <w:t>À l'issue de ce chapitre, l'étudiant en pharmacie sera capable de :</w:t>
      </w:r>
    </w:p>
    <w:p>
      <w:pPr>
        <w:pStyle w:val="ListBullet"/>
      </w:pPr>
      <w:r>
        <w:t xml:space="preserve">Décrire les </w:t>
      </w:r>
      <w:r>
        <w:rPr>
          <w:b/>
        </w:rPr>
        <w:t>mécanismes moléculaires</w:t>
      </w:r>
      <w:r>
        <w:t xml:space="preserve"> des alpha-bloquants (sélectivité α1A/α1B/α1D) et des inhibiteurs de la 5-alpha-réductase (type II principalement) ;</w:t>
      </w:r>
    </w:p>
    <w:p>
      <w:pPr>
        <w:pStyle w:val="ListBullet"/>
      </w:pPr>
      <w:r>
        <w:t xml:space="preserve">Identifier les </w:t>
      </w:r>
      <w:r>
        <w:rPr>
          <w:b/>
        </w:rPr>
        <w:t>indications privilégiées</w:t>
      </w:r>
      <w:r>
        <w:t xml:space="preserve"> selon le volume prostatique et le profil cardiovasculaire du patient ;</w:t>
      </w:r>
    </w:p>
    <w:p>
      <w:pPr>
        <w:pStyle w:val="ListBullet"/>
      </w:pPr>
      <w:r>
        <w:t xml:space="preserve">Reconnaître et </w:t>
      </w:r>
      <w:r>
        <w:rPr>
          <w:b/>
        </w:rPr>
        <w:t>prévenir les effets indésirables majeurs</w:t>
      </w:r>
      <w:r>
        <w:t xml:space="preserve"> : hypotension orthostatique de 1re dose (doxazosine), IFIS (tamsulosine), éjaculation rétrograde (tous alpha-bloquants), tératogénicité féminine (finastéride), baisse du PSA (finastéride), troubles sexuels (finastéride) ;</w:t>
      </w:r>
    </w:p>
    <w:p>
      <w:pPr>
        <w:pStyle w:val="ListBullet"/>
      </w:pPr>
      <w:r>
        <w:t xml:space="preserve">Maîtriser les </w:t>
      </w:r>
      <w:r>
        <w:rPr>
          <w:b/>
        </w:rPr>
        <w:t>interactions médicamenteuses</w:t>
      </w:r>
      <w:r>
        <w:t xml:space="preserve"> : alpha-bloquants + antihypertenseurs + iPDE5, alpha-bloquants entre eux (CI), finastéride + femme enceinte (manipulation CI) ;</w:t>
      </w:r>
    </w:p>
    <w:p>
      <w:pPr>
        <w:pStyle w:val="ListBullet"/>
      </w:pPr>
      <w:r>
        <w:t xml:space="preserve">Conseiller </w:t>
      </w:r>
      <w:r>
        <w:rPr>
          <w:b/>
        </w:rPr>
        <w:t>au comptoir</w:t>
      </w:r>
      <w:r>
        <w:t xml:space="preserve"> le patient sur le mode d'administration, l'observance, la surveillance et le signalement des EI ;</w:t>
      </w:r>
    </w:p>
    <w:p>
      <w:pPr>
        <w:pStyle w:val="ListBullet"/>
      </w:pPr>
      <w:r>
        <w:t xml:space="preserve">Identifier les </w:t>
      </w:r>
      <w:r>
        <w:rPr>
          <w:b/>
        </w:rPr>
        <w:t>spécialités disponibles en Algérie</w:t>
      </w:r>
      <w:r>
        <w:t xml:space="preserve"> (marques, dosages, statuts Actif / Non Renouvelable / Retiré) pour chacune des 4 DCI traitées.</w:t>
      </w:r>
    </w:p>
    <w:p>
      <w:pPr>
        <w:pStyle w:val="Heading2"/>
      </w:pPr>
      <w:r>
        <w:t>2. Introduction à la sous-classe des alpha-bloquants urosélectifs (alfuzosine, tamsulosine)</w:t>
      </w:r>
    </w:p>
    <w:p>
      <w:pPr>
        <w:pStyle w:val="Heading3"/>
      </w:pPr>
      <w:r>
        <w:t>Définition pharmacologique de l'urosélectivité</w:t>
      </w:r>
    </w:p>
    <w:p>
      <w:r>
        <w:t xml:space="preserve">Les </w:t>
      </w:r>
      <w:r>
        <w:rPr>
          <w:b/>
        </w:rPr>
        <w:t>alpha-bloquants urosélectifs</w:t>
      </w:r>
      <w:r>
        <w:t xml:space="preserve"> sont des antagonistes des récepteurs α1-adrénergiques qui présentent une </w:t>
      </w:r>
      <w:r>
        <w:rPr>
          <w:b/>
        </w:rPr>
        <w:t>affinité préférentielle</w:t>
      </w:r>
      <w:r>
        <w:t xml:space="preserve"> pour le sous-type </w:t>
      </w:r>
      <w:r>
        <w:rPr>
          <w:b/>
        </w:rPr>
        <w:t>α1A</w:t>
      </w:r>
      <w:r>
        <w:t xml:space="preserve"> — le sous-type majoritaire dans la prostate, la capsule prostatique et le col vésical — par rapport au sous-type </w:t>
      </w:r>
      <w:r>
        <w:rPr>
          <w:b/>
        </w:rPr>
        <w:t>α1B</w:t>
      </w:r>
      <w:r>
        <w:t xml:space="preserve"> vasculaire systémique. Cette </w:t>
      </w:r>
      <w:r>
        <w:rPr>
          <w:b/>
        </w:rPr>
        <w:t>sélectivité α1A</w:t>
      </w:r>
      <w:r>
        <w:t xml:space="preserve"> (ou </w:t>
      </w:r>
      <w:r>
        <w:rPr>
          <w:b/>
        </w:rPr>
        <w:t>urosélectivité</w:t>
      </w:r>
      <w:r>
        <w:t xml:space="preserve">) explique leur effet thérapeutique sur la composante dynamique de l'obstruction prostatique avec une </w:t>
      </w:r>
      <w:r>
        <w:rPr>
          <w:b/>
        </w:rPr>
        <w:t>moindre incidence d'hypotension orthostatique</w:t>
      </w:r>
      <w:r>
        <w:t xml:space="preserve"> et de </w:t>
      </w:r>
      <w:r>
        <w:rPr>
          <w:b/>
        </w:rPr>
        <w:t>vertiges</w:t>
      </w:r>
      <w:r>
        <w:t xml:space="preserve"> par rapport aux alpha-bloquants non sélectifs (prazosine, doxazosine, térazosine — voir fiche doxazosine).</w:t>
      </w:r>
    </w:p>
    <w:p>
      <w:pPr>
        <w:pStyle w:val="Heading3"/>
      </w:pPr>
      <w:r>
        <w:t>Les trois sous-types de récepteurs α1-adrénergiques</w:t>
      </w:r>
    </w:p>
    <w:p>
      <w:r>
        <w:t xml:space="preserve">Les récepteurs α1-adrénergiques sont des récepteurs couplés aux protéines </w:t>
      </w:r>
      <w:r>
        <w:rPr>
          <w:b/>
        </w:rPr>
        <w:t>Gq/11</w:t>
      </w:r>
      <w:r>
        <w:t xml:space="preserve">, activant la </w:t>
      </w:r>
      <w:r>
        <w:rPr>
          <w:b/>
        </w:rPr>
        <w:t>phospholipase C</w:t>
      </w:r>
      <w:r>
        <w:t xml:space="preserve"> → production d'</w:t>
      </w:r>
      <w:r>
        <w:rPr>
          <w:b/>
        </w:rPr>
        <w:t>IP3</w:t>
      </w:r>
      <w:r>
        <w:t xml:space="preserve"> et de </w:t>
      </w:r>
      <w:r>
        <w:rPr>
          <w:b/>
        </w:rPr>
        <w:t>DAG</w:t>
      </w:r>
      <w:r>
        <w:t xml:space="preserve"> → mobilisation du </w:t>
      </w:r>
      <w:r>
        <w:rPr>
          <w:b/>
        </w:rPr>
        <w:t>Ca²⁺ intracellulaire</w:t>
      </w:r>
      <w:r>
        <w:t xml:space="preserve"> → activation de la </w:t>
      </w:r>
      <w:r>
        <w:rPr>
          <w:b/>
        </w:rPr>
        <w:t>MLCK</w:t>
      </w:r>
      <w:r>
        <w:t xml:space="preserve"> (myosin light-chain kinase) → phosphorylation des chaînes légères de la myosine → </w:t>
      </w:r>
      <w:r>
        <w:rPr>
          <w:b/>
        </w:rPr>
        <w:t>contraction du muscle lisse</w:t>
      </w:r>
      <w:r>
        <w:t>. Trois sous-types ont été clonés et caractérisés pharmacologiquement :</w:t>
      </w:r>
    </w:p>
    <w:p>
      <w:pPr>
        <w:pStyle w:val="ListBullet"/>
      </w:pPr>
      <w:r/>
      <w:r>
        <w:rPr>
          <w:b/>
        </w:rPr>
        <w:t>α1A</w:t>
      </w:r>
      <w:r>
        <w:t xml:space="preserve"> (anciennement α1c) : prédomine dans la </w:t>
      </w:r>
      <w:r>
        <w:rPr>
          <w:b/>
        </w:rPr>
        <w:t>prostate</w:t>
      </w:r>
      <w:r>
        <w:t xml:space="preserve">, le </w:t>
      </w:r>
      <w:r>
        <w:rPr>
          <w:b/>
        </w:rPr>
        <w:t>col vésical</w:t>
      </w:r>
      <w:r>
        <w:t>, la capsule prostatique, et accessoirement le muscle lisse de l'iris dilatateur (à l'origine de l'</w:t>
      </w:r>
      <w:r>
        <w:rPr>
          <w:b/>
        </w:rPr>
        <w:t>IFIS</w:t>
      </w:r>
      <w:r>
        <w:t xml:space="preserve"> sous tamsulosine). Représente ~70-80 % des récepteurs α1 prostatiques.</w:t>
      </w:r>
    </w:p>
    <w:p>
      <w:pPr>
        <w:pStyle w:val="ListBullet"/>
      </w:pPr>
      <w:r/>
      <w:r>
        <w:rPr>
          <w:b/>
        </w:rPr>
        <w:t>α1B</w:t>
      </w:r>
      <w:r>
        <w:t xml:space="preserve"> (anciennement α1b) : prédomine dans les </w:t>
      </w:r>
      <w:r>
        <w:rPr>
          <w:b/>
        </w:rPr>
        <w:t>vaisseaux sanguins systémiques</w:t>
      </w:r>
      <w:r>
        <w:t xml:space="preserve"> (artères et veines), le myocarde, et le muscle lisse vasculaire périphérique. Son blocage entraîne </w:t>
      </w:r>
      <w:r>
        <w:rPr>
          <w:b/>
        </w:rPr>
        <w:t>vasodilatation artérielle et veineuse</w:t>
      </w:r>
      <w:r>
        <w:t xml:space="preserve"> → </w:t>
      </w:r>
      <w:r>
        <w:rPr>
          <w:b/>
        </w:rPr>
        <w:t>hypotension orthostatique</w:t>
      </w:r>
      <w:r>
        <w:t>, surtout marquée à la première dose (effet de 1re dose).</w:t>
      </w:r>
    </w:p>
    <w:p>
      <w:pPr>
        <w:pStyle w:val="ListBullet"/>
      </w:pPr>
      <w:r/>
      <w:r>
        <w:rPr>
          <w:b/>
        </w:rPr>
        <w:t>α1D</w:t>
      </w:r>
      <w:r>
        <w:t xml:space="preserve"> (anciennement α1a/d) : prédomine dans le </w:t>
      </w:r>
      <w:r>
        <w:rPr>
          <w:b/>
        </w:rPr>
        <w:t>détrusor vésical</w:t>
      </w:r>
      <w:r>
        <w:t xml:space="preserve"> (corps vésical), la </w:t>
      </w:r>
      <w:r>
        <w:rPr>
          <w:b/>
        </w:rPr>
        <w:t>moelle épinière sacrée</w:t>
      </w:r>
      <w:r>
        <w:t xml:space="preserve"> (système nerveux central), et certaines artères. Impliqué dans la </w:t>
      </w:r>
      <w:r>
        <w:rPr>
          <w:b/>
        </w:rPr>
        <w:t>symptomatologie irritative</w:t>
      </w:r>
      <w:r>
        <w:t xml:space="preserve"> (pollakiurie, urgenturie) et dans la </w:t>
      </w:r>
      <w:r>
        <w:rPr>
          <w:b/>
        </w:rPr>
        <w:t>contraction vésicale réflexe</w:t>
      </w:r>
      <w:r>
        <w:t>.</w:t>
      </w:r>
    </w:p>
    <w:p>
      <w:pPr>
        <w:pStyle w:val="Heading3"/>
      </w:pPr>
      <w:r>
        <w:t>Pharmacologie comparée de l'alfuzosine et de la tamsulosine</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Caractéristique</w:t>
            </w:r>
          </w:p>
        </w:tc>
        <w:tc>
          <w:tcPr>
            <w:tcW w:type="dxa" w:w="3118"/>
          </w:tcPr>
          <w:p>
            <w:r>
              <w:rPr>
                <w:b/>
                <w:sz w:val="20"/>
              </w:rPr>
              <w:t>Alfuzosine</w:t>
            </w:r>
          </w:p>
        </w:tc>
        <w:tc>
          <w:tcPr>
            <w:tcW w:type="dxa" w:w="3118"/>
          </w:tcPr>
          <w:p>
            <w:r>
              <w:rPr>
                <w:b/>
                <w:sz w:val="20"/>
              </w:rPr>
              <w:t>Tamsulosine</w:t>
            </w:r>
          </w:p>
        </w:tc>
      </w:tr>
      <w:tr>
        <w:tc>
          <w:tcPr>
            <w:tcW w:type="dxa" w:w="3118"/>
          </w:tcPr>
          <w:p>
            <w:r>
              <w:rPr>
                <w:sz w:val="20"/>
              </w:rPr>
              <w:t>Affinité relative α1A:α1B:α1D</w:t>
            </w:r>
          </w:p>
        </w:tc>
        <w:tc>
          <w:tcPr>
            <w:tcW w:type="dxa" w:w="3118"/>
          </w:tcPr>
          <w:p>
            <w:r>
              <w:rPr>
                <w:sz w:val="20"/>
              </w:rPr>
              <w:t>1 : 1 : 1 (peu sélective in vitro, mais urosélectivité fonctionnelle in vivo par pharmacocinétique tissulaire)</w:t>
            </w:r>
          </w:p>
        </w:tc>
        <w:tc>
          <w:tcPr>
            <w:tcW w:type="dxa" w:w="3118"/>
          </w:tcPr>
          <w:p>
            <w:r>
              <w:rPr>
                <w:sz w:val="20"/>
              </w:rPr>
              <w:t>20 : 1 : 3 (haute sélectivité α1A)</w:t>
            </w:r>
          </w:p>
        </w:tc>
      </w:tr>
      <w:tr>
        <w:tc>
          <w:tcPr>
            <w:tcW w:type="dxa" w:w="3118"/>
          </w:tcPr>
          <w:p>
            <w:r>
              <w:rPr>
                <w:sz w:val="20"/>
              </w:rPr>
              <w:t>Urosélectivité</w:t>
            </w:r>
          </w:p>
        </w:tc>
        <w:tc>
          <w:tcPr>
            <w:tcW w:type="dxa" w:w="3118"/>
          </w:tcPr>
          <w:p>
            <w:r>
              <w:rPr>
                <w:sz w:val="20"/>
              </w:rPr>
              <w:t>« Fonctionnelle » (médiée par distribution tissulaire prostatique)</w:t>
            </w:r>
          </w:p>
        </w:tc>
        <w:tc>
          <w:tcPr>
            <w:tcW w:type="dxa" w:w="3118"/>
          </w:tcPr>
          <w:p>
            <w:r>
              <w:rPr>
                <w:sz w:val="20"/>
              </w:rPr>
              <w:t>« Pharmacologique » (affinité α1A)</w:t>
            </w:r>
          </w:p>
        </w:tc>
      </w:tr>
      <w:tr>
        <w:tc>
          <w:tcPr>
            <w:tcW w:type="dxa" w:w="3118"/>
          </w:tcPr>
          <w:p>
            <w:r>
              <w:rPr>
                <w:sz w:val="20"/>
              </w:rPr>
              <w:t>Demi-vie d'élimination</w:t>
            </w:r>
          </w:p>
        </w:tc>
        <w:tc>
          <w:tcPr>
            <w:tcW w:type="dxa" w:w="3118"/>
          </w:tcPr>
          <w:p>
            <w:r>
              <w:rPr>
                <w:sz w:val="20"/>
              </w:rPr>
              <w:t>~9-12 h (forme LP)</w:t>
            </w:r>
          </w:p>
        </w:tc>
        <w:tc>
          <w:tcPr>
            <w:tcW w:type="dxa" w:w="3118"/>
          </w:tcPr>
          <w:p>
            <w:r>
              <w:rPr>
                <w:sz w:val="20"/>
              </w:rPr>
              <w:t>~14-15 h (forme LP)</w:t>
            </w:r>
          </w:p>
        </w:tc>
      </w:tr>
      <w:tr>
        <w:tc>
          <w:tcPr>
            <w:tcW w:type="dxa" w:w="3118"/>
          </w:tcPr>
          <w:p>
            <w:r>
              <w:rPr>
                <w:sz w:val="20"/>
              </w:rPr>
              <w:t>Métabolisme hépatique</w:t>
            </w:r>
          </w:p>
        </w:tc>
        <w:tc>
          <w:tcPr>
            <w:tcW w:type="dxa" w:w="3118"/>
          </w:tcPr>
          <w:p>
            <w:r>
              <w:rPr>
                <w:sz w:val="20"/>
              </w:rPr>
              <w:t>CYP3A4, CYP2D6, CYP1A2 (partiellement)</w:t>
            </w:r>
          </w:p>
        </w:tc>
        <w:tc>
          <w:tcPr>
            <w:tcW w:type="dxa" w:w="3118"/>
          </w:tcPr>
          <w:p>
            <w:r>
              <w:rPr>
                <w:sz w:val="20"/>
              </w:rPr>
              <w:t>CYP3A4, CYP2D6</w:t>
            </w:r>
          </w:p>
        </w:tc>
      </w:tr>
      <w:tr>
        <w:tc>
          <w:tcPr>
            <w:tcW w:type="dxa" w:w="3118"/>
          </w:tcPr>
          <w:p>
            <w:r>
              <w:rPr>
                <w:sz w:val="20"/>
              </w:rPr>
              <w:t>Posologie standard</w:t>
            </w:r>
          </w:p>
        </w:tc>
        <w:tc>
          <w:tcPr>
            <w:tcW w:type="dxa" w:w="3118"/>
          </w:tcPr>
          <w:p>
            <w:r>
              <w:rPr>
                <w:sz w:val="20"/>
              </w:rPr>
              <w:t>10 mg LP / j en 1 prise</w:t>
            </w:r>
          </w:p>
        </w:tc>
        <w:tc>
          <w:tcPr>
            <w:tcW w:type="dxa" w:w="3118"/>
          </w:tcPr>
          <w:p>
            <w:r>
              <w:rPr>
                <w:sz w:val="20"/>
              </w:rPr>
              <w:t>0,4 mg LP / j en 1 prise</w:t>
            </w:r>
          </w:p>
        </w:tc>
      </w:tr>
      <w:tr>
        <w:tc>
          <w:tcPr>
            <w:tcW w:type="dxa" w:w="3118"/>
          </w:tcPr>
          <w:p>
            <w:r>
              <w:rPr>
                <w:sz w:val="20"/>
              </w:rPr>
              <w:t>Adaptation insuffisance hépatique sévère</w:t>
            </w:r>
          </w:p>
        </w:tc>
        <w:tc>
          <w:tcPr>
            <w:tcW w:type="dxa" w:w="3118"/>
          </w:tcPr>
          <w:p>
            <w:r>
              <w:rPr>
                <w:sz w:val="20"/>
              </w:rPr>
              <w:t>CI</w:t>
            </w:r>
          </w:p>
        </w:tc>
        <w:tc>
          <w:tcPr>
            <w:tcW w:type="dxa" w:w="3118"/>
          </w:tcPr>
          <w:p>
            <w:r>
              <w:rPr>
                <w:sz w:val="20"/>
              </w:rPr>
              <w:t>CI</w:t>
            </w:r>
          </w:p>
        </w:tc>
      </w:tr>
      <w:tr>
        <w:tc>
          <w:tcPr>
            <w:tcW w:type="dxa" w:w="3118"/>
          </w:tcPr>
          <w:p>
            <w:r>
              <w:rPr>
                <w:sz w:val="20"/>
              </w:rPr>
              <w:t>Adaptation insuffisance rénale</w:t>
            </w:r>
          </w:p>
        </w:tc>
        <w:tc>
          <w:tcPr>
            <w:tcW w:type="dxa" w:w="3118"/>
          </w:tcPr>
          <w:p>
            <w:r>
              <w:rPr>
                <w:sz w:val="20"/>
              </w:rPr>
              <w:t>Sans objet (peu d'élimination rénale)</w:t>
            </w:r>
          </w:p>
        </w:tc>
        <w:tc>
          <w:tcPr>
            <w:tcW w:type="dxa" w:w="3118"/>
          </w:tcPr>
          <w:p>
            <w:r>
              <w:rPr>
                <w:sz w:val="20"/>
              </w:rPr>
              <w:t>Pas d'adaptation ; prudence IR terminale</w:t>
            </w:r>
          </w:p>
        </w:tc>
      </w:tr>
      <w:tr>
        <w:tc>
          <w:tcPr>
            <w:tcW w:type="dxa" w:w="3118"/>
          </w:tcPr>
          <w:p>
            <w:r>
              <w:rPr>
                <w:sz w:val="20"/>
              </w:rPr>
              <w:t>IFIS (chir cataracte)</w:t>
            </w:r>
          </w:p>
        </w:tc>
        <w:tc>
          <w:tcPr>
            <w:tcW w:type="dxa" w:w="3118"/>
          </w:tcPr>
          <w:p>
            <w:r>
              <w:rPr>
                <w:sz w:val="20"/>
              </w:rPr>
              <w:t>Oui (moindre incidence)</w:t>
            </w:r>
          </w:p>
        </w:tc>
        <w:tc>
          <w:tcPr>
            <w:tcW w:type="dxa" w:w="3118"/>
          </w:tcPr>
          <w:p>
            <w:r>
              <w:rPr>
                <w:sz w:val="20"/>
              </w:rPr>
              <w:t>Oui (incidence élevée, dose-dépendante)</w:t>
            </w:r>
          </w:p>
        </w:tc>
      </w:tr>
      <w:tr>
        <w:tc>
          <w:tcPr>
            <w:tcW w:type="dxa" w:w="3118"/>
          </w:tcPr>
          <w:p>
            <w:r>
              <w:rPr>
                <w:sz w:val="20"/>
              </w:rPr>
              <w:t>Éjaculation rétrograde</w:t>
            </w:r>
          </w:p>
        </w:tc>
        <w:tc>
          <w:tcPr>
            <w:tcW w:type="dxa" w:w="3118"/>
          </w:tcPr>
          <w:p>
            <w:r>
              <w:rPr>
                <w:sz w:val="20"/>
              </w:rPr>
              <w:t>Faible incidence (~2-4 %)</w:t>
            </w:r>
          </w:p>
        </w:tc>
        <w:tc>
          <w:tcPr>
            <w:tcW w:type="dxa" w:w="3118"/>
          </w:tcPr>
          <w:p>
            <w:r>
              <w:rPr>
                <w:sz w:val="20"/>
              </w:rPr>
              <w:t>Incidence élevée (~8-18 %)</w:t>
            </w:r>
          </w:p>
        </w:tc>
      </w:tr>
      <w:tr>
        <w:tc>
          <w:tcPr>
            <w:tcW w:type="dxa" w:w="3118"/>
          </w:tcPr>
          <w:p>
            <w:r>
              <w:rPr>
                <w:sz w:val="20"/>
              </w:rPr>
              <w:t>Hypotension orthostatique</w:t>
            </w:r>
          </w:p>
        </w:tc>
        <w:tc>
          <w:tcPr>
            <w:tcW w:type="dxa" w:w="3118"/>
          </w:tcPr>
          <w:p>
            <w:r>
              <w:rPr>
                <w:sz w:val="20"/>
              </w:rPr>
              <w:t>Faible (urosélectivité + LP)</w:t>
            </w:r>
          </w:p>
        </w:tc>
        <w:tc>
          <w:tcPr>
            <w:tcW w:type="dxa" w:w="3118"/>
          </w:tcPr>
          <w:p>
            <w:r>
              <w:rPr>
                <w:sz w:val="20"/>
              </w:rPr>
              <w:t>Très faible (haute urosélectivité α1A)</w:t>
            </w:r>
          </w:p>
        </w:tc>
      </w:tr>
      <w:tr>
        <w:tc>
          <w:tcPr>
            <w:tcW w:type="dxa" w:w="3118"/>
          </w:tcPr>
          <w:p>
            <w:r>
              <w:rPr>
                <w:sz w:val="20"/>
              </w:rPr>
              <w:t>Prise alimentaire</w:t>
            </w:r>
          </w:p>
        </w:tc>
        <w:tc>
          <w:tcPr>
            <w:tcW w:type="dxa" w:w="3118"/>
          </w:tcPr>
          <w:p>
            <w:r>
              <w:rPr>
                <w:sz w:val="20"/>
              </w:rPr>
              <w:t>Au cours d'un repas (sécurise l'absorption LP)</w:t>
            </w:r>
          </w:p>
        </w:tc>
        <w:tc>
          <w:tcPr>
            <w:tcW w:type="dxa" w:w="3118"/>
          </w:tcPr>
          <w:p>
            <w:r>
              <w:rPr>
                <w:sz w:val="20"/>
              </w:rPr>
              <w:t>Après le repas du matin (sécurise l'absorption)</w:t>
            </w:r>
          </w:p>
        </w:tc>
      </w:tr>
    </w:tbl>
    <w:p/>
    <w:p>
      <w:pPr>
        <w:pStyle w:val="Heading3"/>
      </w:pPr>
      <w:r>
        <w:t>Particularités algériennes</w:t>
      </w:r>
    </w:p>
    <w:p>
      <w:r>
        <w:t>En Algérie, l'</w:t>
      </w:r>
      <w:r>
        <w:rPr>
          <w:b/>
        </w:rPr>
        <w:t>alfuzosine</w:t>
      </w:r>
      <w:r>
        <w:t xml:space="preserve"> est commercialisée sous forme de comprimés à </w:t>
      </w:r>
      <w:r>
        <w:rPr>
          <w:b/>
        </w:rPr>
        <w:t>libération prolongée (LP)</w:t>
      </w:r>
      <w:r>
        <w:t xml:space="preserve"> aux dosages </w:t>
      </w:r>
      <w:r>
        <w:rPr>
          <w:b/>
        </w:rPr>
        <w:t>5 mg</w:t>
      </w:r>
      <w:r>
        <w:t xml:space="preserve"> (FRAXAL LP, XATRAL LP 5 mg, ZAPRAL) et </w:t>
      </w:r>
      <w:r>
        <w:rPr>
          <w:b/>
        </w:rPr>
        <w:t>10 mg</w:t>
      </w:r>
      <w:r>
        <w:t xml:space="preserve"> (ALFUZOX LP, FRAXAL, FRAXAL LP, PROSTAX LP, PROSTAZINE, XAPROST LP, ZAPRAL LP) ; la spécialité princeps </w:t>
      </w:r>
      <w:r>
        <w:rPr>
          <w:b/>
        </w:rPr>
        <w:t>XATRAL LP 10 mg</w:t>
      </w:r>
      <w:r>
        <w:t xml:space="preserve"> de Sanofi-Aventis a été </w:t>
      </w:r>
      <w:r>
        <w:rPr>
          <w:b/>
        </w:rPr>
        <w:t>retirée</w:t>
      </w:r>
      <w:r>
        <w:t xml:space="preserve"> du marché algérien (probablement pour des raisons commerciales ou de mise à disposition générique). La </w:t>
      </w:r>
      <w:r>
        <w:rPr>
          <w:b/>
        </w:rPr>
        <w:t>tamsulosine</w:t>
      </w:r>
      <w:r>
        <w:t xml:space="preserve"> est disponible sous forme de </w:t>
      </w:r>
      <w:r>
        <w:rPr>
          <w:b/>
        </w:rPr>
        <w:t>microgranules en gélule à libération prolongée</w:t>
      </w:r>
      <w:r>
        <w:t xml:space="preserve"> (et accessoirement comprimé pelliculé LP pour GAMCET) à </w:t>
      </w:r>
      <w:r>
        <w:rPr>
          <w:b/>
        </w:rPr>
        <w:t>0,4 mg</w:t>
      </w:r>
      <w:r>
        <w:t xml:space="preserve"> uniquement, sous 12 marques actives (génériques de Josir LP / Omexel LP, princeps retirés), reflétant une </w:t>
      </w:r>
      <w:r>
        <w:rPr>
          <w:b/>
        </w:rPr>
        <w:t>maturité générique élevée</w:t>
      </w:r>
      <w:r>
        <w:t xml:space="preserve"> de cette molécule.</w:t>
      </w:r>
    </w:p>
    <w:p>
      <w:pPr>
        <w:pStyle w:val="Heading2"/>
      </w:pPr>
      <w:r>
        <w:t>3. Fiches DCI — Alpha-bloquants urosélectifs</w:t>
      </w:r>
    </w:p>
    <w:p>
      <w:pPr>
        <w:pStyle w:val="Heading3"/>
      </w:pPr>
      <w:r>
        <w:t>1. DCI : Alfuzosine (Seule)</w:t>
      </w:r>
    </w:p>
    <w:p>
      <w:r/>
      <w:r>
        <w:rPr>
          <w:b/>
        </w:rPr>
        <w:t>Liste des Catégories :</w:t>
      </w:r>
      <w:r>
        <w:t xml:space="preserve"> Alpha-bloquant urosélectif — Antagoniste des récepteurs α1-adrénergiques — Traitement des symptômes du bas appareil urinaire (SBAU) liés à l'HBP — Liste I — Forme à libération prolongée — Délivrance sur ordonnance.</w:t>
      </w:r>
    </w:p>
    <w:p>
      <w:r>
        <w:t>L'</w:t>
      </w:r>
      <w:r>
        <w:rPr>
          <w:b/>
        </w:rPr>
        <w:t>alfuzosine</w:t>
      </w:r>
      <w:r>
        <w:t xml:space="preserve"> est un dérivé </w:t>
      </w:r>
      <w:r>
        <w:rPr>
          <w:b/>
        </w:rPr>
        <w:t>quinazolinique</w:t>
      </w:r>
      <w:r>
        <w:t xml:space="preserve"> (famille structurale commune avec la prazosine, la térazosine et la doxazosine), commercialisée initialement sous le nom de </w:t>
      </w:r>
      <w:r>
        <w:rPr>
          <w:b/>
        </w:rPr>
        <w:t>Xatral®</w:t>
      </w:r>
      <w:r>
        <w:t xml:space="preserve"> par Sanofi-Synthélabo (devenu Sanofi-Aventis) dans les années 1980, puis tombée dans le domaine générique à partir des années 2000. L'alfuzosine présente la particularité d'être, </w:t>
      </w:r>
      <w:r>
        <w:rPr>
          <w:b/>
        </w:rPr>
        <w:t>in vitro</w:t>
      </w:r>
      <w:r>
        <w:t xml:space="preserve">, un antagoniste </w:t>
      </w:r>
      <w:r>
        <w:rPr>
          <w:b/>
        </w:rPr>
        <w:t>non sélectif</w:t>
      </w:r>
      <w:r>
        <w:t xml:space="preserve"> des trois sous-types α1A, α1B et α1D (rapports d'affinité proches de 1:1:1). Néanmoins, </w:t>
      </w:r>
      <w:r>
        <w:rPr>
          <w:b/>
        </w:rPr>
        <w:t>in vivo</w:t>
      </w:r>
      <w:r>
        <w:t xml:space="preserve">, elle exerce une </w:t>
      </w:r>
      <w:r>
        <w:rPr>
          <w:b/>
        </w:rPr>
        <w:t>urosélectivité fonctionnelle</w:t>
      </w:r>
      <w:r>
        <w:t xml:space="preserve"> par deux mécanismes complémentaires : (i) une </w:t>
      </w:r>
      <w:r>
        <w:rPr>
          <w:b/>
        </w:rPr>
        <w:t>distribution tissulaire préférentielle</w:t>
      </w:r>
      <w:r>
        <w:t xml:space="preserve"> vers la prostate (concentration prostatique supérieure à la concentration plasmatique), et (ii) une </w:t>
      </w:r>
      <w:r>
        <w:rPr>
          <w:b/>
        </w:rPr>
        <w:t>formulation à libération prolongée</w:t>
      </w:r>
      <w:r>
        <w:t xml:space="preserve"> (comprimé LP) qui maintient des concentrations plasmatiques stables et évite les pics responsables de l'hypotension de 1re dose observée avec les formes immédiates. Cette urosélectivité « pharmacocinétique » explique le profil cardiovasculaire favorable de l'alfuzosine, avec une </w:t>
      </w:r>
      <w:r>
        <w:rPr>
          <w:b/>
        </w:rPr>
        <w:t>incidence d'hypotension orthostatique similaire au placebo</w:t>
      </w:r>
      <w:r>
        <w:t xml:space="preserve"> dans les études cliniques pivot et </w:t>
      </w:r>
      <w:r>
        <w:rPr>
          <w:b/>
        </w:rPr>
        <w:t>l'absence d'effet de 1re dose</w:t>
      </w:r>
      <w:r>
        <w:t xml:space="preserve"> nécessitant une titration (contrairement à la doxazosine, qui impose un schéma de titration sur 1-2 semaines).</w:t>
      </w:r>
    </w:p>
    <w:p>
      <w:r/>
      <w:r>
        <w:rPr>
          <w:b/>
        </w:rPr>
        <w:t>Médicaments disponibles en Algérie (Marques, Laboratoires, Formes et Dosages) :</w:t>
      </w:r>
      <w:r/>
    </w:p>
    <w:p>
      <w:pPr>
        <w:pStyle w:val="ListBullet"/>
      </w:pPr>
      <w:r/>
      <w:r>
        <w:rPr>
          <w:b/>
        </w:rPr>
        <w:t>FRAXAL LP</w:t>
      </w:r>
      <w:r>
        <w:t xml:space="preserve"> (FRATER-RAZES FORME SECHE)</w:t>
      </w:r>
    </w:p>
    <w:p>
      <w:pPr>
        <w:pStyle w:val="ListBullet"/>
      </w:pPr>
      <w:r>
        <w:t>Formes et Dosages : Comprimé pelliculé à libération prolongée 5 mg — Boîte de 60.</w:t>
      </w:r>
    </w:p>
    <w:p>
      <w:pPr>
        <w:pStyle w:val="ListBullet"/>
      </w:pPr>
      <w:r>
        <w:t>Statut : Actif (LISTE I).</w:t>
      </w:r>
    </w:p>
    <w:p>
      <w:pPr>
        <w:pStyle w:val="ListBullet"/>
      </w:pPr>
      <w:r/>
      <w:r>
        <w:rPr>
          <w:b/>
        </w:rPr>
        <w:t>XATRAL LP</w:t>
      </w:r>
      <w:r>
        <w:t xml:space="preserve"> (SANOFI AVENTIS FRANCE)</w:t>
      </w:r>
    </w:p>
    <w:p>
      <w:pPr>
        <w:pStyle w:val="ListBullet"/>
      </w:pPr>
      <w:r>
        <w:t>Formes et Dosages : Comprimé pelliculé à libération prolongée 5 mg — Boîte de 56.</w:t>
      </w:r>
    </w:p>
    <w:p>
      <w:pPr>
        <w:pStyle w:val="ListBullet"/>
      </w:pPr>
      <w:r>
        <w:t>Statut : Actif (LISTE I).</w:t>
      </w:r>
    </w:p>
    <w:p>
      <w:pPr>
        <w:pStyle w:val="ListBullet"/>
      </w:pPr>
      <w:r/>
      <w:r>
        <w:rPr>
          <w:b/>
        </w:rPr>
        <w:t>ZAPRAL</w:t>
      </w:r>
      <w:r>
        <w:t xml:space="preserve"> (LABORATOIRE MOBEN)</w:t>
      </w:r>
    </w:p>
    <w:p>
      <w:pPr>
        <w:pStyle w:val="ListBullet"/>
      </w:pPr>
      <w:r>
        <w:t>Formes et Dosages : Comprimé pelliculé à libération prolongée 5 mg — Boîte de 56.</w:t>
      </w:r>
    </w:p>
    <w:p>
      <w:pPr>
        <w:pStyle w:val="ListBullet"/>
      </w:pPr>
      <w:r>
        <w:t>Statut : Actif (LISTE I).</w:t>
      </w:r>
    </w:p>
    <w:p>
      <w:pPr>
        <w:pStyle w:val="ListBullet"/>
      </w:pPr>
      <w:r/>
      <w:r>
        <w:rPr>
          <w:b/>
        </w:rPr>
        <w:t>ALFUZOX LP</w:t>
      </w:r>
      <w:r>
        <w:t xml:space="preserve"> (SPA UNION PHARMACEUTIQUE CONSTANTINOISE PRODUCTION)</w:t>
      </w:r>
    </w:p>
    <w:p>
      <w:pPr>
        <w:pStyle w:val="ListBullet"/>
      </w:pPr>
      <w:r>
        <w:t>Formes et Dosages : Comprimé pelliculé à libération prolongée 10 mg — Boîte de 30.</w:t>
      </w:r>
    </w:p>
    <w:p>
      <w:pPr>
        <w:pStyle w:val="ListBullet"/>
      </w:pPr>
      <w:r>
        <w:t>Statut : Actif (LISTE I).</w:t>
      </w:r>
    </w:p>
    <w:p>
      <w:pPr>
        <w:pStyle w:val="ListBullet"/>
      </w:pPr>
      <w:r/>
      <w:r>
        <w:rPr>
          <w:b/>
        </w:rPr>
        <w:t>FRAXAL</w:t>
      </w:r>
      <w:r>
        <w:t xml:space="preserve"> (LES LABORATOIRES FRATER RAZES)</w:t>
      </w:r>
    </w:p>
    <w:p>
      <w:pPr>
        <w:pStyle w:val="ListBullet"/>
      </w:pPr>
      <w:r>
        <w:t>Formes et Dosages : Comprimé pelliculé à libération prolongée 10 mg — Boîte de 30.</w:t>
      </w:r>
    </w:p>
    <w:p>
      <w:pPr>
        <w:pStyle w:val="ListBullet"/>
      </w:pPr>
      <w:r>
        <w:t>Statut : Actif (LISTE I).</w:t>
      </w:r>
    </w:p>
    <w:p>
      <w:pPr>
        <w:pStyle w:val="ListBullet"/>
      </w:pPr>
      <w:r/>
      <w:r>
        <w:rPr>
          <w:b/>
        </w:rPr>
        <w:t>FRAXAL LP</w:t>
      </w:r>
      <w:r>
        <w:t xml:space="preserve"> (FRATER-RAZES FORME SECHE)</w:t>
      </w:r>
    </w:p>
    <w:p>
      <w:pPr>
        <w:pStyle w:val="ListBullet"/>
      </w:pPr>
      <w:r>
        <w:t>Formes et Dosages : Comprimé pelliculé à libération prolongée 10 mg — Boîte de 30.</w:t>
      </w:r>
    </w:p>
    <w:p>
      <w:pPr>
        <w:pStyle w:val="ListBullet"/>
      </w:pPr>
      <w:r>
        <w:t>Statut : Actif (LISTE I).</w:t>
      </w:r>
    </w:p>
    <w:p>
      <w:pPr>
        <w:pStyle w:val="ListBullet"/>
      </w:pPr>
      <w:r/>
      <w:r>
        <w:rPr>
          <w:b/>
        </w:rPr>
        <w:t>PROSTAX LP</w:t>
      </w:r>
      <w:r>
        <w:t xml:space="preserve"> (EL KENDI INDUSTRIE DU MEDICAMENT)</w:t>
      </w:r>
    </w:p>
    <w:p>
      <w:pPr>
        <w:pStyle w:val="ListBullet"/>
      </w:pPr>
      <w:r>
        <w:t>Formes et Dosages : Comprimé pelliculé à libération prolongée 10 mg — Boîte de 30.</w:t>
      </w:r>
    </w:p>
    <w:p>
      <w:pPr>
        <w:pStyle w:val="ListBullet"/>
      </w:pPr>
      <w:r>
        <w:t>Statut : Actif (LISTE I).</w:t>
      </w:r>
    </w:p>
    <w:p>
      <w:pPr>
        <w:pStyle w:val="ListBullet"/>
      </w:pPr>
      <w:r/>
      <w:r>
        <w:rPr>
          <w:b/>
        </w:rPr>
        <w:t>PROSTAZINE</w:t>
      </w:r>
      <w:r>
        <w:t xml:space="preserve"> (BIOGALENIC)</w:t>
      </w:r>
    </w:p>
    <w:p>
      <w:pPr>
        <w:pStyle w:val="ListBullet"/>
      </w:pPr>
      <w:r>
        <w:t>Formes et Dosages : Comprimé pelliculé à libération prolongée 10 mg — Boîte de 30.</w:t>
      </w:r>
    </w:p>
    <w:p>
      <w:pPr>
        <w:pStyle w:val="ListBullet"/>
      </w:pPr>
      <w:r>
        <w:t>Statut : Actif (LISTE I).</w:t>
      </w:r>
    </w:p>
    <w:p>
      <w:pPr>
        <w:pStyle w:val="ListBullet"/>
      </w:pPr>
      <w:r/>
      <w:r>
        <w:rPr>
          <w:b/>
        </w:rPr>
        <w:t>XAPROST LP</w:t>
      </w:r>
      <w:r>
        <w:t xml:space="preserve"> (HUPP PHARMA)</w:t>
      </w:r>
    </w:p>
    <w:p>
      <w:pPr>
        <w:pStyle w:val="ListBullet"/>
      </w:pPr>
      <w:r>
        <w:t>Formes et Dosages : Comprimé pelliculé à libération prolongée 10 mg — Boîte de 30 (note : libellé « 1OMG » dans la nomenclature, vraisemblablement coquille pour « 10 mg »).</w:t>
      </w:r>
    </w:p>
    <w:p>
      <w:pPr>
        <w:pStyle w:val="ListBullet"/>
      </w:pPr>
      <w:r>
        <w:t>Statut : Actif (LISTE I).</w:t>
      </w:r>
    </w:p>
    <w:p>
      <w:pPr>
        <w:pStyle w:val="ListBullet"/>
      </w:pPr>
      <w:r/>
      <w:r>
        <w:rPr>
          <w:b/>
        </w:rPr>
        <w:t>ZAPRAL LP</w:t>
      </w:r>
      <w:r>
        <w:t xml:space="preserve"> (LABORATOIRE MOBEN)</w:t>
      </w:r>
    </w:p>
    <w:p>
      <w:pPr>
        <w:pStyle w:val="ListBullet"/>
      </w:pPr>
      <w:r>
        <w:t>Formes et Dosages : Comprimé pelliculé à libération prolongée 10 mg — Boîte de 30.</w:t>
      </w:r>
    </w:p>
    <w:p>
      <w:pPr>
        <w:pStyle w:val="ListBullet"/>
      </w:pPr>
      <w:r>
        <w:t>Statut : Actif (LISTE I).</w:t>
      </w:r>
    </w:p>
    <w:p>
      <w:pPr>
        <w:pStyle w:val="ListBullet"/>
      </w:pPr>
      <w:r/>
      <w:r>
        <w:rPr>
          <w:b/>
        </w:rPr>
        <w:t>XATRAL LP</w:t>
      </w:r>
      <w:r>
        <w:t xml:space="preserve"> (SANOFI AVENTIS)</w:t>
      </w:r>
    </w:p>
    <w:p>
      <w:pPr>
        <w:pStyle w:val="ListBullet"/>
      </w:pPr>
      <w:r>
        <w:t>Formes et Dosages : Comprimé à libération prolongée 10 mg — Boîte de 30.</w:t>
      </w:r>
    </w:p>
    <w:p>
      <w:pPr>
        <w:pStyle w:val="ListBullet"/>
      </w:pPr>
      <w:r>
        <w:t>Statut : Retiré (R) — spécialité princeps historique, supplantée par les génériques.</w:t>
      </w:r>
    </w:p>
    <w:p>
      <w:r/>
      <w:r>
        <w:rPr>
          <w:b/>
        </w:rPr>
        <w:t>Sous-classe et Mécanisme d'action :</w:t>
      </w:r>
      <w:r/>
    </w:p>
    <w:p>
      <w:pPr>
        <w:pStyle w:val="ListBullet"/>
      </w:pPr>
      <w:r>
        <w:t xml:space="preserve">Sous-classe : </w:t>
      </w:r>
      <w:r>
        <w:rPr>
          <w:b/>
        </w:rPr>
        <w:t>Alpha-bloquant urosélectif</w:t>
      </w:r>
      <w:r>
        <w:t xml:space="preserve"> de la famille des quinazolines, positionné en première intention des SBAU modérés à sévères liés à la HBP, notamment chez le patient âgé ou avec comorbidités cardiovasculaires (HTA équilibrée, traitement antihypertenseur concomitant), où l'absence d'effet de 1re dose et la bonne tolérance orthostatique sont des atouts majeurs.</w:t>
      </w:r>
    </w:p>
    <w:p>
      <w:pPr>
        <w:pStyle w:val="ListBullet"/>
      </w:pPr>
      <w:r>
        <w:t xml:space="preserve">Mécanisme d'action : l'alfuzosine est un </w:t>
      </w:r>
      <w:r>
        <w:rPr>
          <w:b/>
        </w:rPr>
        <w:t>antagoniste compétitif</w:t>
      </w:r>
      <w:r>
        <w:t xml:space="preserve"> des récepteurs α1-adrénergiques (α1A, α1B, α1D). Le blocage des récepteurs </w:t>
      </w:r>
      <w:r>
        <w:rPr>
          <w:b/>
        </w:rPr>
        <w:t>α1A prostatiques et du col vésical</w:t>
      </w:r>
      <w:r>
        <w:t xml:space="preserve"> provoque la </w:t>
      </w:r>
      <w:r>
        <w:rPr>
          <w:b/>
        </w:rPr>
        <w:t>relaxation du muscle lisse</w:t>
      </w:r>
      <w:r>
        <w:t xml:space="preserve"> de la capsule prostatique, du col vésical et de l'urètre prostatique, ce qui </w:t>
      </w:r>
      <w:r>
        <w:rPr>
          <w:b/>
        </w:rPr>
        <w:t>réduit la composante dynamique de l'obstruction sous-vésicale</w:t>
      </w:r>
      <w:r>
        <w:t xml:space="preserve"> et améliore les paramètres urodynamiques (augmentation du débit urinaire maximal Qmax de 2-3 mL/s, diminution du score IPSS de 4-6 points en 4-8 semaines). Le blocage des récepteurs </w:t>
      </w:r>
      <w:r>
        <w:rPr>
          <w:b/>
        </w:rPr>
        <w:t>α1B vasculaires systémiques</w:t>
      </w:r>
      <w:r>
        <w:t xml:space="preserve"> (à l'origine de l'hypotension orthostatique des alpha-bloquants non sélectifs) est </w:t>
      </w:r>
      <w:r>
        <w:rPr>
          <w:b/>
        </w:rPr>
        <w:t>atténué in vivo</w:t>
      </w:r>
      <w:r>
        <w:t xml:space="preserve"> par la distribution tissulaire préférentielle prostatique de l'alfuzosine et par sa formulation LP. Le blocage des récepteurs </w:t>
      </w:r>
      <w:r>
        <w:rPr>
          <w:b/>
        </w:rPr>
        <w:t>α1D vésicaux et médullaires</w:t>
      </w:r>
      <w:r>
        <w:t xml:space="preserve"> contribue à l'amélioration de la symptomatologie </w:t>
      </w:r>
      <w:r>
        <w:rPr>
          <w:b/>
        </w:rPr>
        <w:t>irritative</w:t>
      </w:r>
      <w:r>
        <w:t xml:space="preserve"> (pollakiurie, urgenturie). L'alfuzosine </w:t>
      </w:r>
      <w:r>
        <w:rPr>
          <w:b/>
        </w:rPr>
        <w:t>ne réduit pas le volume prostatique</w:t>
      </w:r>
      <w:r>
        <w:t xml:space="preserve"> (contrairement aux inhibiteurs de la 5-alpha-réductase) — effet purement symptomatique. Le délai d'action est court : amélioration ressentie dès la 1re semaine, effet maximal à 4-8 semaines.</w:t>
      </w:r>
    </w:p>
    <w:p>
      <w:r/>
      <w:r>
        <w:rPr>
          <w:b/>
        </w:rPr>
        <w:t>Profil Pharmacologique :</w:t>
      </w:r>
      <w:r/>
    </w:p>
    <w:p>
      <w:pPr>
        <w:pStyle w:val="ListBullet"/>
      </w:pPr>
      <w:r>
        <w:t xml:space="preserve">Indications : </w:t>
      </w:r>
      <w:r>
        <w:rPr>
          <w:b/>
        </w:rPr>
        <w:t>Traitement des symptômes fonctionnels modérés à sévères</w:t>
      </w:r>
      <w:r>
        <w:t xml:space="preserve"> de l'hypertrophie bénigne de la prostate (HBP) chez l'homme adulte — score IPSS ≥ 8. Indication en monothérapie pour prostate &lt; 30-40 mL ; possible en association avec le finastéride (bithérapie) pour les prostates volumineuses selon le protocole MTOPS/ALFIN. Hors AMM : aide à l'</w:t>
      </w:r>
      <w:r>
        <w:rPr>
          <w:b/>
        </w:rPr>
        <w:t>expulsion des calculs urétéraux distaux</w:t>
      </w:r>
      <w:r>
        <w:t xml:space="preserve"> (méta-analyse de l'alfuzosine dans la colique néphrétique avec calcul &lt; 10 mm — *medical expulsive therapy*, MET).</w:t>
      </w:r>
    </w:p>
    <w:p>
      <w:pPr>
        <w:pStyle w:val="ListBullet"/>
      </w:pPr>
      <w:r>
        <w:t xml:space="preserve">Contre-indications : (i) </w:t>
      </w:r>
      <w:r>
        <w:rPr>
          <w:b/>
        </w:rPr>
        <w:t>hypersensibilité à l'alfuzosine</w:t>
      </w:r>
      <w:r>
        <w:t xml:space="preserve"> ou à l'un des excipients ; (ii) </w:t>
      </w:r>
      <w:r>
        <w:rPr>
          <w:b/>
        </w:rPr>
        <w:t>insuffisance hépatique sévère</w:t>
      </w:r>
      <w:r>
        <w:t xml:space="preserve"> (Child-Pugh C) — métabolisme hépatique dominant, risque d'accumulation ; (iii) </w:t>
      </w:r>
      <w:r>
        <w:rPr>
          <w:b/>
        </w:rPr>
        <w:t>insuffisance rénale sévère</w:t>
      </w:r>
      <w:r>
        <w:t xml:space="preserve"> (clairance créatinine &lt; 30 mL/min) — par prudence (certaines formes LP sont CI selon le RCP) ; (iv) </w:t>
      </w:r>
      <w:r>
        <w:rPr>
          <w:b/>
        </w:rPr>
        <w:t>hypotension orthostatique</w:t>
      </w:r>
      <w:r>
        <w:t xml:space="preserve"> documentée ; (v) antécédents d'</w:t>
      </w:r>
      <w:r>
        <w:rPr>
          <w:b/>
        </w:rPr>
        <w:t>hypotension sévère</w:t>
      </w:r>
      <w:r>
        <w:t xml:space="preserve"> à l'initiation d'un autre alpha-bloquant ; (vi) </w:t>
      </w:r>
      <w:r>
        <w:rPr>
          <w:b/>
        </w:rPr>
        <w:t>association avec un autre alpha-bloquant</w:t>
      </w:r>
      <w:r>
        <w:t xml:space="preserve"> (risque d'hypotension additive et de malaise) ; (vii) </w:t>
      </w:r>
      <w:r>
        <w:rPr>
          <w:b/>
        </w:rPr>
        <w:t>insuffisance coronaire sévère</w:t>
      </w:r>
      <w:r>
        <w:t xml:space="preserve"> non contrôlée, angor instable.</w:t>
      </w:r>
    </w:p>
    <w:p>
      <w:pPr>
        <w:pStyle w:val="ListBullet"/>
      </w:pPr>
      <w:r>
        <w:t>Effets Indésirables :</w:t>
      </w:r>
    </w:p>
    <w:p>
      <w:pPr>
        <w:pStyle w:val="ListBullet"/>
      </w:pPr>
      <w:r/>
      <w:r>
        <w:rPr>
          <w:b/>
        </w:rPr>
        <w:t>Frequents (≥ 1/100 à &lt; 1/10)</w:t>
      </w:r>
      <w:r>
        <w:t xml:space="preserve"> : vertiges (5-8 %), </w:t>
      </w:r>
      <w:r>
        <w:rPr>
          <w:b/>
        </w:rPr>
        <w:t>éjaculation rétrograde</w:t>
      </w:r>
      <w:r>
        <w:t xml:space="preserve"> (~2-4 %, liée au relâchement du col vésical pendant l'éjaculation — non douloureuse, transitoire à l'arrêt), maux de tête, asthénie, sécheresse buccale.</w:t>
      </w:r>
    </w:p>
    <w:p>
      <w:pPr>
        <w:pStyle w:val="ListBullet"/>
      </w:pPr>
      <w:r/>
      <w:r>
        <w:rPr>
          <w:b/>
        </w:rPr>
        <w:t>Peu fréquents (≥ 1/1000 à &lt; 1/100)</w:t>
      </w:r>
      <w:r>
        <w:t xml:space="preserve"> : </w:t>
      </w:r>
      <w:r>
        <w:rPr>
          <w:b/>
        </w:rPr>
        <w:t>hypotension orthostatique</w:t>
      </w:r>
      <w:r>
        <w:t xml:space="preserve"> avec ou sans malaise/syncope (incidence plus faible que la doxazosine grâce à la forme LP), tachycardie, palpitations, rhinite, troubles digestifs (nausées, douleurs abdominales), prurit, éruptions cutanées.</w:t>
      </w:r>
    </w:p>
    <w:p>
      <w:pPr>
        <w:pStyle w:val="ListBullet"/>
      </w:pPr>
      <w:r/>
      <w:r>
        <w:rPr>
          <w:b/>
        </w:rPr>
        <w:t>Rares (≥ 1/10000 à &lt; 1/1000)</w:t>
      </w:r>
      <w:r>
        <w:t xml:space="preserve"> : </w:t>
      </w:r>
      <w:r>
        <w:rPr>
          <w:b/>
        </w:rPr>
        <w:t>priapisme</w:t>
      </w:r>
      <w:r>
        <w:t xml:space="preserve"> (urgence urologique — arrêt immédiat), </w:t>
      </w:r>
      <w:r>
        <w:rPr>
          <w:b/>
        </w:rPr>
        <w:t>IFIS</w:t>
      </w:r>
      <w:r>
        <w:t xml:space="preserve"> (*Intraoperative Floppy Iris Syndrome*) lors de la chirurgie de la cataracte (incidence moindre qu'avec la tamsulosine mais documentée), réactions d'hypersensibilité (urticaire, angio-œdème), atteintes hépatiques (cytolyse, cholestase).</w:t>
      </w:r>
    </w:p>
    <w:p>
      <w:pPr>
        <w:pStyle w:val="ListBullet"/>
      </w:pPr>
      <w:r/>
      <w:r>
        <w:rPr>
          <w:b/>
        </w:rPr>
        <w:t>Très rares</w:t>
      </w:r>
      <w:r>
        <w:t xml:space="preserve"> : syndrome de Stevens-Johnson, érythrodermie.</w:t>
      </w:r>
    </w:p>
    <w:p>
      <w:r/>
      <w:r>
        <w:rPr>
          <w:b/>
        </w:rPr>
        <w:t>Prévention et Gestion des Effets Indésirables :</w:t>
      </w:r>
      <w:r/>
    </w:p>
    <w:p>
      <w:pPr>
        <w:pStyle w:val="ListBullet"/>
      </w:pPr>
      <w:r>
        <w:t xml:space="preserve">Mesures Préventives : (i) </w:t>
      </w:r>
      <w:r>
        <w:rPr>
          <w:b/>
        </w:rPr>
        <w:t>pas de titration nécessaire</w:t>
      </w:r>
      <w:r>
        <w:t xml:space="preserve"> avec la forme LP 10 mg (à la différence de la doxazosine) — l'alfuzosine LP 10 mg peut être débutée d'emblée à dose pleine ; (ii) </w:t>
      </w:r>
      <w:r>
        <w:rPr>
          <w:b/>
        </w:rPr>
        <w:t>prise au cours d'un repas</w:t>
      </w:r>
      <w:r>
        <w:t xml:space="preserve"> (idéal le repas du soir) pour sécuriser l'absorption et minimiser la variabilité pharmacocinétique ; (iii) </w:t>
      </w:r>
      <w:r>
        <w:rPr>
          <w:b/>
        </w:rPr>
        <w:t>éviter l'association avec un autre alpha-bloquant</w:t>
      </w:r>
      <w:r>
        <w:t xml:space="preserve"> (CI absolue) ; (iv) </w:t>
      </w:r>
      <w:r>
        <w:rPr>
          <w:b/>
        </w:rPr>
        <w:t>prudence chez le patient âgé fragile</w:t>
      </w:r>
      <w:r>
        <w:t xml:space="preserve"> ou sous antihypertenseurs multiples (utiliser la dose initiale de 5 mg LP si disponible, ou 10 mg LP avec surveillance) ; (v) </w:t>
      </w:r>
      <w:r>
        <w:rPr>
          <w:b/>
        </w:rPr>
        <w:t>prévenir le chirurgien ophtalmologiste</w:t>
      </w:r>
      <w:r>
        <w:t xml:space="preserve"> en cas de chirurgie de la cataracte programmée — bien que l'IFIS soit moins fréquent qu'avec la tamsulosine, il reste possible ; l'arrêt pré-opératoire n'est pas obligatoirement recommandé (l'IFIS peut survenir même après arrêt prolongé), mais l'information est cruciale pour adapter la technique chirurgicale (use of iris retractors, viscoélastiques).</w:t>
      </w:r>
    </w:p>
    <w:p>
      <w:pPr>
        <w:pStyle w:val="ListBullet"/>
      </w:pPr>
      <w:r>
        <w:t xml:space="preserve">Conduite à Tenir : (i) en cas de </w:t>
      </w:r>
      <w:r>
        <w:rPr>
          <w:b/>
        </w:rPr>
        <w:t>malaise ou hypotension orthostatique</w:t>
      </w:r>
      <w:r>
        <w:t xml:space="preserve">, demander au patient de s'allonger, de surélever les jambes, de réévaluer le traitement antihypertenseur concomitant (avec l'avis du médecin traitant), envisager une réduction de dose ; (ii) en cas de </w:t>
      </w:r>
      <w:r>
        <w:rPr>
          <w:b/>
        </w:rPr>
        <w:t>syncope</w:t>
      </w:r>
      <w:r>
        <w:t xml:space="preserve">, arrêter l'alfuzosine et réévaluer le patient (éliminer une cause cardiaque — Holter ECG, tilt-test) ; (iii) en cas de </w:t>
      </w:r>
      <w:r>
        <w:rPr>
          <w:b/>
        </w:rPr>
        <w:t>priapisme</w:t>
      </w:r>
      <w:r>
        <w:t xml:space="preserve"> (érection &gt; 4 h sans stimulation), arrêt immédiat de l'alfuzosine et orientation en urgence vers les urgences urologiques (ponction-évacuation des corps caverneux, injection d'étiléfrine) ; (iv) en cas d'</w:t>
      </w:r>
      <w:r>
        <w:rPr>
          <w:b/>
        </w:rPr>
        <w:t>éjaculation rétrograde</w:t>
      </w:r>
      <w:r>
        <w:t>, réassurance (effet bénin, réversible à l'arrêt) — proposer une alternative thérapeutique (inhibiteur de la 5-alpha-réductase) si gêne majeure ; (v) en cas d'</w:t>
      </w:r>
      <w:r>
        <w:rPr>
          <w:b/>
        </w:rPr>
        <w:t>aggravation des SBAU</w:t>
      </w:r>
      <w:r>
        <w:t xml:space="preserve"> ou de </w:t>
      </w:r>
      <w:r>
        <w:rPr>
          <w:b/>
        </w:rPr>
        <w:t>rétention aiguë d'urine</w:t>
      </w:r>
      <w:r>
        <w:t xml:space="preserve"> sous traitement, adresser en urgence à l'urologue (échec pharmacologique, indication chirurgicale).</w:t>
      </w:r>
    </w:p>
    <w:p>
      <w:r/>
      <w:r>
        <w:rPr>
          <w:b/>
        </w:rPr>
        <w:t>Interactions Importantes :</w:t>
      </w:r>
      <w:r/>
    </w:p>
    <w:p>
      <w:pPr>
        <w:pStyle w:val="ListBullet"/>
      </w:pPr>
      <w:r/>
      <w:r>
        <w:rPr>
          <w:b/>
        </w:rPr>
        <w:t>Alfuzosine + autres alpha-bloquants</w:t>
      </w:r>
      <w:r>
        <w:t xml:space="preserve"> (doxazosine, tamsulosine, prazosine, térazosine, silodosine) : </w:t>
      </w:r>
      <w:r>
        <w:rPr>
          <w:b/>
        </w:rPr>
        <w:t>contre-indication absolue</w:t>
      </w:r>
      <w:r>
        <w:t xml:space="preserve"> — risque d'hypotension additive sévère, malaise, syncope.</w:t>
      </w:r>
    </w:p>
    <w:p>
      <w:pPr>
        <w:pStyle w:val="ListBullet"/>
      </w:pPr>
      <w:r/>
      <w:r>
        <w:rPr>
          <w:b/>
        </w:rPr>
        <w:t>Alfuzosine + antihypertenseurs</w:t>
      </w:r>
      <w:r>
        <w:t xml:space="preserve"> (IEC, ARA2, diurétiques, bêta-bloquants, inhibiteurs calciques) : </w:t>
      </w:r>
      <w:r>
        <w:rPr>
          <w:b/>
        </w:rPr>
        <w:t>prudence</w:t>
      </w:r>
      <w:r>
        <w:t>, risque d'hypotension orthostatique additive ; surveiller la PA dans les premières semaines, adapter les posologies si nécessaire.</w:t>
      </w:r>
    </w:p>
    <w:p>
      <w:pPr>
        <w:pStyle w:val="ListBullet"/>
      </w:pPr>
      <w:r/>
      <w:r>
        <w:rPr>
          <w:b/>
        </w:rPr>
        <w:t>Alfuzosine + inhibiteurs de la PDE5</w:t>
      </w:r>
      <w:r>
        <w:t xml:space="preserve"> (sildénafil, tadalafil, vardénafil — traités au Chapitre 72) : risque d'</w:t>
      </w:r>
      <w:r>
        <w:rPr>
          <w:b/>
        </w:rPr>
        <w:t>hypotension orthostatique symptomatique</w:t>
      </w:r>
      <w:r>
        <w:t>, surtout en début de traitement par iPDE5. Préférer l'alfuzosine (mieux tolérée que la doxazosine dans cette association) ; débuter l'iPDE5 à dose minimale et espacer les prises de 4-6 h ; surveiller la PA.</w:t>
      </w:r>
    </w:p>
    <w:p>
      <w:pPr>
        <w:pStyle w:val="ListBullet"/>
      </w:pPr>
      <w:r/>
      <w:r>
        <w:rPr>
          <w:b/>
        </w:rPr>
        <w:t>Alfuzosine + inhibiteurs puissants du CYP3A4</w:t>
      </w:r>
      <w:r>
        <w:t xml:space="preserve"> (kétoconazole, itraconazole, ritonavir, clarithromycine, érythromycine) : augmentation de l'ASC de l'alfuzosine (métabolisme CYP3A4), risque de majoration des effets indésirables (hypotension, vertiges) — éviter l'association ou réduire la dose d'alfuzosine.</w:t>
      </w:r>
    </w:p>
    <w:p>
      <w:pPr>
        <w:pStyle w:val="ListBullet"/>
      </w:pPr>
      <w:r/>
      <w:r>
        <w:rPr>
          <w:b/>
        </w:rPr>
        <w:t>Alfuzosine + anesthésiques généraux</w:t>
      </w:r>
      <w:r>
        <w:t xml:space="preserve"> : risque d'hypotension peropératoire sévère — informer l'anesthésiste, arrêter l'alfuzosine 24-48 h avant une chirurgie programmée sous anesthésie générale.</w:t>
      </w:r>
    </w:p>
    <w:p>
      <w:pPr>
        <w:pStyle w:val="ListBullet"/>
      </w:pPr>
      <w:r/>
      <w:r>
        <w:rPr>
          <w:b/>
        </w:rPr>
        <w:t>Alfuzosine + dérivés nitrés</w:t>
      </w:r>
      <w:r>
        <w:t xml:space="preserve"> : risque d'hypotension majeure — éviter.</w:t>
      </w:r>
    </w:p>
    <w:p>
      <w:pPr>
        <w:pStyle w:val="ListBullet"/>
      </w:pPr>
      <w:r/>
      <w:r>
        <w:rPr>
          <w:b/>
        </w:rPr>
        <w:t>Alfuzosine + alcool</w:t>
      </w:r>
      <w:r>
        <w:t xml:space="preserve"> : potentialisation de l'hypotension orthostatique — prudence.</w:t>
      </w:r>
    </w:p>
    <w:p>
      <w:r/>
      <w:r>
        <w:rPr>
          <w:b/>
        </w:rPr>
        <w:t>Grossesse et Allaitement :</w:t>
      </w:r>
      <w:r/>
    </w:p>
    <w:p>
      <w:pPr>
        <w:pStyle w:val="ListBullet"/>
      </w:pPr>
      <w:r>
        <w:t xml:space="preserve">Grossesse : </w:t>
      </w:r>
      <w:r>
        <w:rPr>
          <w:b/>
        </w:rPr>
        <w:t>non applicable</w:t>
      </w:r>
      <w:r>
        <w:t xml:space="preserve"> (traitement masculin d'une pathologie prostatique de l'homme âgé). L'alfuzosine n'est pas tératogène chez l'animal mais n'a pas d'indication chez la femme enceinte. Des précautions de manipulation sont recommandées chez la femme enceinte ou susceptible de l'être manipulant des comprimés (par mesure de prudence, surtout en cas de cassation d'un comprimé — bien que le risque soit moindre qu'avec le finastéride).</w:t>
      </w:r>
    </w:p>
    <w:p>
      <w:pPr>
        <w:pStyle w:val="ListBullet"/>
      </w:pPr>
      <w:r>
        <w:t xml:space="preserve">Allaitement : </w:t>
      </w:r>
      <w:r>
        <w:rPr>
          <w:b/>
        </w:rPr>
        <w:t>non applicable</w:t>
      </w:r>
      <w:r>
        <w:t xml:space="preserve"> (homme).</w:t>
      </w:r>
    </w:p>
    <w:p>
      <w:pPr>
        <w:pStyle w:val="ListBullet"/>
      </w:pPr>
      <w:r>
        <w:t>Précisions : selon le CRAT (Centre Renseignements sur les Agents Tératogènes), l'alfuzosine ne pose aucun problème chez l'homme partenaire de femme enceinte — aucun passage significatif dans le sperme ; la femme enceinte peut avoir des rapports sexuels avec un homme traité par alfuzosine.</w:t>
      </w:r>
    </w:p>
    <w:p>
      <w:r/>
      <w:r>
        <w:rPr>
          <w:b/>
        </w:rPr>
        <w:t>Posologie et Mode d'administration (Standard) :</w:t>
      </w:r>
      <w:r/>
    </w:p>
    <w:p>
      <w:pPr>
        <w:pStyle w:val="ListBullet"/>
      </w:pPr>
      <w:r>
        <w:t xml:space="preserve">Adulte : </w:t>
      </w:r>
      <w:r>
        <w:rPr>
          <w:b/>
        </w:rPr>
        <w:t>alfuzosine LP 10 mg, 1 comprimé par jour</w:t>
      </w:r>
      <w:r>
        <w:t xml:space="preserve">, immédiatement après le repas du soir (ou après un repas principal régulier). La forme LP 5 mg (un comprimé matin et soir, ou 2 comprimés le soir) est une alternative historique conservée pour les patients déjà équilibrés sous cette posologie. La forme </w:t>
      </w:r>
      <w:r>
        <w:rPr>
          <w:b/>
        </w:rPr>
        <w:t>LP 10 mg en 1 prise par jour</w:t>
      </w:r>
      <w:r>
        <w:t xml:space="preserve"> est aujourd'hui la posologie standard privilégiée pour l'observance.</w:t>
      </w:r>
    </w:p>
    <w:p>
      <w:pPr>
        <w:pStyle w:val="ListBullet"/>
      </w:pPr>
      <w:r>
        <w:t>Sujet âgé (&gt; 65 ans) : pas d'adaptation posologique en routine avec la forme LP 10 mg ; débuter éventuellement par la forme LP 5 mg (2 prises par jour) chez le sujet âgé fragile, polypathologique ou sous traitement antihypertenseur multiple, puis relais par LP 10 mg si bonne tolérance.</w:t>
      </w:r>
    </w:p>
    <w:p>
      <w:pPr>
        <w:pStyle w:val="ListBullet"/>
      </w:pPr>
      <w:r>
        <w:t xml:space="preserve">Insuffisant rénal : pas d'adaptation pour clairance créatinine &gt; 30 mL/min ; </w:t>
      </w:r>
      <w:r>
        <w:rPr>
          <w:b/>
        </w:rPr>
        <w:t>CI en cas d'IR sévère</w:t>
      </w:r>
      <w:r>
        <w:t xml:space="preserve"> (ClCr &lt; 30 mL/min) selon le RCP (ou prudence extrême selon les formes).</w:t>
      </w:r>
    </w:p>
    <w:p>
      <w:pPr>
        <w:pStyle w:val="ListBullet"/>
      </w:pPr>
      <w:r>
        <w:t xml:space="preserve">Insuffisant hépatique léger à modéré (Child-Pugh A-B) : prudence, envisager dose réduite (5 mg LP) ; </w:t>
      </w:r>
      <w:r>
        <w:rPr>
          <w:b/>
        </w:rPr>
        <w:t>CI en cas d'insuffisance hépatique sévère</w:t>
      </w:r>
      <w:r>
        <w:t xml:space="preserve"> (Child-Pugh C).</w:t>
      </w:r>
    </w:p>
    <w:p>
      <w:pPr>
        <w:pStyle w:val="ListBullet"/>
      </w:pPr>
      <w:r>
        <w:t xml:space="preserve">Durée : </w:t>
      </w:r>
      <w:r>
        <w:rPr>
          <w:b/>
        </w:rPr>
        <w:t>au long cours</w:t>
      </w:r>
      <w:r>
        <w:t xml:space="preserve"> — traitement chronique de la HBP symptomatique, à poursuivre tant que les symptômes persistent et que la tolérance est bonne. Aucun arrêt programmé (sauf chirurgie, effet indésirable grave, ou switch thérapeutique). La réévaluation urologique annuelle (IPSS, débitmétrie, échographie vésico-prostatique avec résidu post-mictionnel, PSA) est indispensable.</w:t>
      </w:r>
    </w:p>
    <w:p>
      <w:pPr>
        <w:pStyle w:val="ListBullet"/>
      </w:pPr>
      <w:r>
        <w:t xml:space="preserve">Moment de la prise : </w:t>
      </w:r>
      <w:r>
        <w:rPr>
          <w:b/>
        </w:rPr>
        <w:t>après le repas du soir</w:t>
      </w:r>
      <w:r>
        <w:t xml:space="preserve"> (ou après un repas principal du jour) — la prise alimentaire conditionne l'absorption de la forme LP et permet une diffusion régulière sur 24 h.</w:t>
      </w:r>
    </w:p>
    <w:p>
      <w:r/>
      <w:r>
        <w:rPr>
          <w:b/>
        </w:rPr>
        <w:t>Arbitrage et Bénéfices des Formes Galéniques :</w:t>
      </w:r>
      <w:r/>
    </w:p>
    <w:p>
      <w:r>
        <w:t xml:space="preserve">La formulation </w:t>
      </w:r>
      <w:r>
        <w:rPr>
          <w:b/>
        </w:rPr>
        <w:t>comprimé pelliculé à libération prolongée (LP)</w:t>
      </w:r>
      <w:r>
        <w:t xml:space="preserve"> est la pierre angulaire de la tolérance cardiovasculaire de l'alfuzosine. La matrice hydrophile du comprimé LP permet une </w:t>
      </w:r>
      <w:r>
        <w:rPr>
          <w:b/>
        </w:rPr>
        <w:t>libération lente</w:t>
      </w:r>
      <w:r>
        <w:t xml:space="preserve"> du principe actif sur 24 h, évitant les pics de concentration plasmatique responsables de l'</w:t>
      </w:r>
      <w:r>
        <w:rPr>
          <w:b/>
        </w:rPr>
        <w:t>hypotension de 1re dose</w:t>
      </w:r>
      <w:r>
        <w:t xml:space="preserve"> classique des formes immédiates (Xatral 2,5 mg comprimé secable historique — aujourd'hui abandonné). Cette formulation autorise : (i) une </w:t>
      </w:r>
      <w:r>
        <w:rPr>
          <w:b/>
        </w:rPr>
        <w:t>dose unique quotidienne</w:t>
      </w:r>
      <w:r>
        <w:t xml:space="preserve"> (10 mg LP en 1 prise), facilitant l'observance chez le sujet âgé ; (ii) une </w:t>
      </w:r>
      <w:r>
        <w:rPr>
          <w:b/>
        </w:rPr>
        <w:t>absence de titration</w:t>
      </w:r>
      <w:r>
        <w:t xml:space="preserve"> à l'initiation (à la différence de la doxazosine qui impose 1 mg puis 2 mg puis 4 mg puis 8 mg par paliers de 1-2 semaines) ; (iii) un profil d'EI cardiovasculaire comparable au placebo dans les études pivot. Le comprimé LP </w:t>
      </w:r>
      <w:r>
        <w:rPr>
          <w:b/>
        </w:rPr>
        <w:t>ne doit pas être croqué, écrasé ou divisé</w:t>
      </w:r>
      <w:r>
        <w:t xml:space="preserve"> (la destruction de la matrice LP entraîne un </w:t>
      </w:r>
      <w:r>
        <w:rPr>
          <w:i/>
        </w:rPr>
        <w:t>dose dumping</w:t>
      </w:r>
      <w:r>
        <w:t xml:space="preserve"> avec libération massive et risque d'hypotension aiguë). Pour les patients incapables de swallowing entier (dysphagie du sujet âgé), proposer une alternative (tamsulosine gélule LP dont le contenu en microgranules peut être administré sur aliment semi-liquide).</w:t>
      </w:r>
    </w:p>
    <w:p>
      <w:r/>
      <w:r>
        <w:rPr>
          <w:b/>
        </w:rPr>
        <w:t>Instructions et Conseils au Patient :</w:t>
      </w:r>
      <w:r/>
    </w:p>
    <w:p>
      <w:pPr>
        <w:pStyle w:val="ListBullet"/>
      </w:pPr>
      <w:r>
        <w:t xml:space="preserve">Communication au comptoir : « Ce médicament traite les troubles urinaires liés à une grossesse bénigne de la prostate qui survient chez l'homme après 50 ans. Il agit en relâchant les muscles de la prostate et de la vessie pour faciliter l'émission d'urine. </w:t>
      </w:r>
      <w:r>
        <w:rPr>
          <w:b/>
        </w:rPr>
        <w:t>L'effet n'est pas immédiat</w:t>
      </w:r>
      <w:r>
        <w:t xml:space="preserve"> : il faut plusieurs jours à semaines pour ressentir une amélioration. Prenez-le </w:t>
      </w:r>
      <w:r>
        <w:rPr>
          <w:b/>
        </w:rPr>
        <w:t>tous les jours, à la même heure, après le repas du soir</w:t>
      </w:r>
      <w:r>
        <w:t xml:space="preserve">. Ne le cassez pas et ne le croquez pas. </w:t>
      </w:r>
      <w:r>
        <w:rPr>
          <w:b/>
        </w:rPr>
        <w:t>Signalez les vertiges</w:t>
      </w:r>
      <w:r>
        <w:t xml:space="preserve"> surtout en se levant brusquement — levez-vous progressivement. </w:t>
      </w:r>
      <w:r>
        <w:rPr>
          <w:b/>
        </w:rPr>
        <w:t>Prévenez votre médecin et le chirurgien</w:t>
      </w:r>
      <w:r>
        <w:t xml:space="preserve"> si vous devez avoir une opération de la cataracte. </w:t>
      </w:r>
      <w:r>
        <w:rPr>
          <w:b/>
        </w:rPr>
        <w:t>Avertissez votre médecin si vous prenez d'autres médicaments</w:t>
      </w:r>
      <w:r>
        <w:t xml:space="preserve"> pour la tension ou des problèmes d'érection. Si vous oubliez une prise, ne doublez pas la dose. »</w:t>
      </w:r>
    </w:p>
    <w:p>
      <w:pPr>
        <w:pStyle w:val="ListBullet"/>
      </w:pPr>
      <w:r>
        <w:t xml:space="preserve">Mode d'utilisation pratique : (i) avaler le comprimé entier avec un grand verre d'eau, </w:t>
      </w:r>
      <w:r>
        <w:rPr>
          <w:b/>
        </w:rPr>
        <w:t>au cours ou après le repas du soir</w:t>
      </w:r>
      <w:r>
        <w:t xml:space="preserve"> ; (ii) prise quotidienne à heure fixe pour optimiser l'observance ; (iii) en cas d'oubli d'une prise, ne pas doubler la dose suivante — prendre la dose suivante à l'heure habituelle ; (iv) ne pas arrêter brutalement le traitement sans avis médical (risque de récidive des symptômes) ; (v) consultation de contrôle à 1 mois (tolérance), 3 mois (efficacité — IPSS, débitmétrie), puis annuelle (réévaluation urologique).</w:t>
      </w:r>
    </w:p>
    <w:p>
      <w:r/>
      <w:r>
        <w:rPr>
          <w:b/>
        </w:rPr>
        <w:t>Notes, Règles d'Or &amp; Pièges au Comptoir :</w:t>
      </w:r>
      <w:r/>
    </w:p>
    <w:p>
      <w:pPr>
        <w:pStyle w:val="ListBullet"/>
      </w:pPr>
      <w:r>
        <w:t xml:space="preserve">Piège classique : (i) </w:t>
      </w:r>
      <w:r>
        <w:rPr>
          <w:b/>
        </w:rPr>
        <w:t>oubli de signaler le risque d'IFIS en cas de chirurgie de la cataracte</w:t>
      </w:r>
      <w:r>
        <w:t xml:space="preserve"> — bien que l'alfuzosine soit moins pourvoyeuse d'IFIS que la tamsulosine, le patient doit informer son ophtalmologiste ; (ii) </w:t>
      </w:r>
      <w:r>
        <w:rPr>
          <w:b/>
        </w:rPr>
        <w:t>co-prescription avec un autre alpha-bloquant</w:t>
      </w:r>
      <w:r>
        <w:t xml:space="preserve"> (par exemple doxazosine pour HTA + alfuzosine pour HBP) — CI absolue à détecter ; (iii) </w:t>
      </w:r>
      <w:r>
        <w:rPr>
          <w:b/>
        </w:rPr>
        <w:t>interprétation du PSA non modifiée</w:t>
      </w:r>
      <w:r>
        <w:t xml:space="preserve"> sous alfuzosine (à la différence du finastéride qui le divise par 2) — mais à vérifier annuellement (l'alfuzosine ne protégeant pas contre le cancer prostatique, la surveillance PSA reste essentielle) ; (iv) </w:t>
      </w:r>
      <w:r>
        <w:rPr>
          <w:b/>
        </w:rPr>
        <w:t>oubli de l'information sur l'éjaculation rétrograde</w:t>
      </w:r>
      <w:r>
        <w:t xml:space="preserve"> — effet bénin mais pouvant inquiéter le patient non prévenu ; (v) </w:t>
      </w:r>
      <w:r>
        <w:rPr>
          <w:b/>
        </w:rPr>
        <w:t>patient sous antihypertenseurs multiples</w:t>
      </w:r>
      <w:r>
        <w:t xml:space="preserve"> — débuter la forme LP 5 mg plutôt que 10 mg en cas d'HTA difficile à équilibrer.</w:t>
      </w:r>
    </w:p>
    <w:p>
      <w:pPr>
        <w:pStyle w:val="ListBullet"/>
      </w:pPr>
      <w:r>
        <w:t xml:space="preserve">Règle de prise : </w:t>
      </w:r>
      <w:r>
        <w:rPr>
          <w:b/>
        </w:rPr>
        <w:t>1 comprimé LP 10 mg/jour, après le repas du soir, sans casse ni écrasement, à heure fixe, au long cours</w:t>
      </w:r>
      <w:r>
        <w:t>.</w:t>
      </w:r>
    </w:p>
    <w:p>
      <w:pPr>
        <w:pStyle w:val="ListBullet"/>
      </w:pPr>
      <w:r>
        <w:t>Préparation et Conservation : conserver à température inférieure à 25°C, à l'abri de l'humidité et de la lumière, dans l'emballage d'origine. Durée de validité après délivrance : selon la date de péremption indiquée sur l'emballage (généralement 24-36 mois). Tenir hors de portée des enfants.</w:t>
      </w:r>
    </w:p>
    <w:p>
      <w:pPr>
        <w:pStyle w:val="ListBullet"/>
      </w:pPr>
      <w:r>
        <w:t xml:space="preserve">Piège du surdosage / Substitution : (i) </w:t>
      </w:r>
      <w:r>
        <w:rPr>
          <w:b/>
        </w:rPr>
        <w:t>surdosage</w:t>
      </w:r>
      <w:r>
        <w:t xml:space="preserve"> : hypotension sévère — traitement symptomatique (remplissage volémique, vasopresseurs en cas d'hypotension réfractaire — privilégier la noradrénaline, </w:t>
      </w:r>
      <w:r>
        <w:rPr>
          <w:b/>
        </w:rPr>
        <w:t>éviter l'épinéphrine</w:t>
      </w:r>
      <w:r>
        <w:t xml:space="preserve"> qui peut aggraver l'hypotension par effet β2 vasodilatateur en présence d'un blocage α1) ; (ii) </w:t>
      </w:r>
      <w:r>
        <w:rPr>
          <w:b/>
        </w:rPr>
        <w:t>substitution</w:t>
      </w:r>
      <w:r>
        <w:t xml:space="preserve"> : possible entre génériques (par exemple passage de FRAXAL LP 10 mg à PROSTAX LP 10 mg ou ALFUZOX LP 10 mg) sous réserve de respecter la forme LP (jamais substituer par une forme immédiate qui n'existe plus commercialement) — informer le patient de l'équivalence et de l'absence d'impact sur l'efficacité/tolérance ; (iii) </w:t>
      </w:r>
      <w:r>
        <w:rPr>
          <w:b/>
        </w:rPr>
        <w:t>substitution alfuzosine ↔ tamsulosine</w:t>
      </w:r>
      <w:r>
        <w:t xml:space="preserve"> possible à dose équivalente (alfuzosine 10 mg LP ≈ tamsulosine 0,4 mg LP), en respectant un </w:t>
      </w:r>
      <w:r>
        <w:rPr>
          <w:b/>
        </w:rPr>
        <w:t>blanc thérapeutique de 24 h</w:t>
      </w:r>
      <w:r>
        <w:t xml:space="preserve"> pour éviter une potentialisation ; (iv) ne jamais substituer par la </w:t>
      </w:r>
      <w:r>
        <w:rPr>
          <w:b/>
        </w:rPr>
        <w:t>doxazosine</w:t>
      </w:r>
      <w:r>
        <w:t xml:space="preserve"> sans titration préalable (risque d'hypotension de 1re dose).</w:t>
      </w:r>
    </w:p>
    <w:p>
      <w:pPr>
        <w:pStyle w:val="Heading3"/>
      </w:pPr>
      <w:r>
        <w:t>2. DCI : Tamsulosine (Seule)</w:t>
      </w:r>
    </w:p>
    <w:p>
      <w:r/>
      <w:r>
        <w:rPr>
          <w:b/>
        </w:rPr>
        <w:t>Liste des Catégories :</w:t>
      </w:r>
      <w:r>
        <w:t xml:space="preserve"> Alpha-bloquant urosélectif hautement sélectif α1A — Antagoniste des récepteurs α1-adrénergiques prostatiques — Traitement des SBAU liés à l'HBP — Liste I — Forme microgranules en gélule à libération prolongée — Délivrance sur ordonnance.</w:t>
      </w:r>
    </w:p>
    <w:p>
      <w:r>
        <w:t xml:space="preserve">La </w:t>
      </w:r>
      <w:r>
        <w:rPr>
          <w:b/>
        </w:rPr>
        <w:t>tamsulosine</w:t>
      </w:r>
      <w:r>
        <w:t xml:space="preserve"> est un dérivé </w:t>
      </w:r>
      <w:r>
        <w:rPr>
          <w:b/>
        </w:rPr>
        <w:t>sulfonamide</w:t>
      </w:r>
      <w:r>
        <w:t xml:space="preserve"> (et non quinazolinique comme l'alfuzosine, la doxazosine ou la prazosine), commercialisée initialement sous le nom d'</w:t>
      </w:r>
      <w:r>
        <w:rPr>
          <w:b/>
        </w:rPr>
        <w:t>Omexel®</w:t>
      </w:r>
      <w:r>
        <w:t xml:space="preserve"> / </w:t>
      </w:r>
      <w:r>
        <w:rPr>
          <w:b/>
        </w:rPr>
        <w:t>Harnal®</w:t>
      </w:r>
      <w:r>
        <w:t xml:space="preserve"> / </w:t>
      </w:r>
      <w:r>
        <w:rPr>
          <w:b/>
        </w:rPr>
        <w:t>Josir®</w:t>
      </w:r>
      <w:r>
        <w:t xml:space="preserve"> par Astellas / Boehringer Ingelheim / Sanofi-Winthrop (princeps aujourd'hui retirés du marché algérien et remplacés par 12 génériques actifs). La tamsulosine se distingue de l'alfuzosine par une </w:t>
      </w:r>
      <w:r>
        <w:rPr>
          <w:b/>
        </w:rPr>
        <w:t>haute sélectivité pharmacologique pour le sous-type α1A</w:t>
      </w:r>
      <w:r>
        <w:t xml:space="preserve"> (rapport d'affinité α1A:α1B:α1D ≈ 20:1:3), ce qui en fait l'alpha-bloquant le plus </w:t>
      </w:r>
      <w:r>
        <w:rPr>
          <w:b/>
        </w:rPr>
        <w:t>urosélectif</w:t>
      </w:r>
      <w:r>
        <w:t xml:space="preserve"> sur le plan moléculaire. Cette urosélectivité pharmacologique explique : (i) l'</w:t>
      </w:r>
      <w:r>
        <w:rPr>
          <w:b/>
        </w:rPr>
        <w:t>exceptionnelle tolérance cardiovasculaire</w:t>
      </w:r>
      <w:r>
        <w:t xml:space="preserve"> de la tamsulosine (incidence d'hypotension orthostatique comparable au placebo, </w:t>
      </w:r>
      <w:r>
        <w:rPr>
          <w:b/>
        </w:rPr>
        <w:t>absence d'effet de 1re dose</w:t>
      </w:r>
      <w:r>
        <w:t>, pas de titration nécessaire), (ii) l'</w:t>
      </w:r>
      <w:r>
        <w:rPr>
          <w:b/>
        </w:rPr>
        <w:t>absence d'interaction significative avec les antihypertenseurs</w:t>
      </w:r>
      <w:r>
        <w:t xml:space="preserve"> aux doses thérapeutiques (sauf prudence chez le patient multi-traité), (iii) en revanche, une </w:t>
      </w:r>
      <w:r>
        <w:rPr>
          <w:b/>
        </w:rPr>
        <w:t>incidence plus élevée d'EI liés au blocage α1A</w:t>
      </w:r>
      <w:r>
        <w:t xml:space="preserve"> : </w:t>
      </w:r>
      <w:r>
        <w:rPr>
          <w:b/>
        </w:rPr>
        <w:t>éjaculation rétrograde</w:t>
      </w:r>
      <w:r>
        <w:t xml:space="preserve"> (~8-18 % des patients vs 2-4 % sous alfuzosine) et surtout </w:t>
      </w:r>
      <w:r>
        <w:rPr>
          <w:b/>
        </w:rPr>
        <w:t>IFIS</w:t>
      </w:r>
      <w:r>
        <w:t xml:space="preserve"> (</w:t>
      </w:r>
      <w:r>
        <w:rPr>
          <w:i/>
        </w:rPr>
        <w:t>Intraoperative Floppy Iris Syndrome</w:t>
      </w:r>
      <w:r>
        <w:t xml:space="preserve">) lors de la chirurgie de la cataracte — syndrome caractérisé par une </w:t>
      </w:r>
      <w:r>
        <w:rPr>
          <w:b/>
        </w:rPr>
        <w:t>ptose du diaphragme irien</w:t>
      </w:r>
      <w:r>
        <w:t xml:space="preserve">, une </w:t>
      </w:r>
      <w:r>
        <w:rPr>
          <w:b/>
        </w:rPr>
        <w:t>dilatation pupolaire insuffisante</w:t>
      </w:r>
      <w:r>
        <w:t xml:space="preserve"> et un </w:t>
      </w:r>
      <w:r>
        <w:rPr>
          <w:b/>
        </w:rPr>
        <w:t>prolapsse irien</w:t>
      </w:r>
      <w:r>
        <w:t xml:space="preserve"> peropératoire pouvant compliquer la phako-émulsification. L'IFIS est </w:t>
      </w:r>
      <w:r>
        <w:rPr>
          <w:b/>
        </w:rPr>
        <w:t>dose-dépendante</w:t>
      </w:r>
      <w:r>
        <w:t xml:space="preserve"> et </w:t>
      </w:r>
      <w:r>
        <w:rPr>
          <w:b/>
        </w:rPr>
        <w:t>réversible incomplètement à l'arrêt</w:t>
      </w:r>
      <w:r>
        <w:t xml:space="preserve"> (peut survenir même après arrêt prolongé de plusieurs mois) — justifiant l'</w:t>
      </w:r>
      <w:r>
        <w:rPr>
          <w:b/>
        </w:rPr>
        <w:t>information systématique du chirurgien ophtalmologiste</w:t>
      </w:r>
      <w:r>
        <w:t xml:space="preserve"> avant toute chirurgie de la cataracte chez un patient traité ou ayant été traité par tamsulosine.</w:t>
      </w:r>
    </w:p>
    <w:p>
      <w:r/>
      <w:r>
        <w:rPr>
          <w:b/>
        </w:rPr>
        <w:t>Médicaments disponibles en Algérie (Marques, Laboratoires, Formes et Dosages) :</w:t>
      </w:r>
      <w:r/>
    </w:p>
    <w:p>
      <w:pPr>
        <w:pStyle w:val="ListBullet"/>
      </w:pPr>
      <w:r/>
      <w:r>
        <w:rPr>
          <w:b/>
        </w:rPr>
        <w:t>GAMCET</w:t>
      </w:r>
      <w:r>
        <w:t xml:space="preserve"> (DAR AL DAWA)</w:t>
      </w:r>
    </w:p>
    <w:p>
      <w:pPr>
        <w:pStyle w:val="ListBullet"/>
      </w:pPr>
      <w:r>
        <w:t>Formes et Dosages : Comprimé pelliculé à libération prolongée 0,4 mg — Boîte de 30.</w:t>
      </w:r>
    </w:p>
    <w:p>
      <w:pPr>
        <w:pStyle w:val="ListBullet"/>
      </w:pPr>
      <w:r>
        <w:t>Statut : Actif (LISTE I).</w:t>
      </w:r>
    </w:p>
    <w:p>
      <w:pPr>
        <w:pStyle w:val="ListBullet"/>
      </w:pPr>
      <w:r/>
      <w:r>
        <w:rPr>
          <w:b/>
        </w:rPr>
        <w:t>OLSERAZ</w:t>
      </w:r>
      <w:r>
        <w:t xml:space="preserve"> (CHIMIE PHARMACIE COMMERCE MULTIPLE — CPCM)</w:t>
      </w:r>
    </w:p>
    <w:p>
      <w:pPr>
        <w:pStyle w:val="ListBullet"/>
      </w:pPr>
      <w:r>
        <w:t>Formes et Dosages : Microgranules en gélule à libération prolongée 0,4 mg — Boîte de 30.</w:t>
      </w:r>
    </w:p>
    <w:p>
      <w:pPr>
        <w:pStyle w:val="ListBullet"/>
      </w:pPr>
      <w:r>
        <w:t>Statut : Actif (LISTE I).</w:t>
      </w:r>
    </w:p>
    <w:p>
      <w:pPr>
        <w:pStyle w:val="ListBullet"/>
      </w:pPr>
      <w:r/>
      <w:r>
        <w:rPr>
          <w:b/>
        </w:rPr>
        <w:t>PROSTALOZINE LP</w:t>
      </w:r>
      <w:r>
        <w:t xml:space="preserve"> (ALGERIAN GENERICS DEVELOPMENT PHARMA — AGD PHARMA)</w:t>
      </w:r>
    </w:p>
    <w:p>
      <w:pPr>
        <w:pStyle w:val="ListBullet"/>
      </w:pPr>
      <w:r>
        <w:t>Formes et Dosages : Microgranules en gélule à libération prolongée 0,4 mg — Boîte de 30.</w:t>
      </w:r>
    </w:p>
    <w:p>
      <w:pPr>
        <w:pStyle w:val="ListBullet"/>
      </w:pPr>
      <w:r>
        <w:t>Statut : Actif (LISTE I).</w:t>
      </w:r>
    </w:p>
    <w:p>
      <w:pPr>
        <w:pStyle w:val="ListBullet"/>
      </w:pPr>
      <w:r/>
      <w:r>
        <w:rPr>
          <w:b/>
        </w:rPr>
        <w:t>PROSTAM LP</w:t>
      </w:r>
      <w:r>
        <w:t xml:space="preserve"> (LABORATOIRES PHARMAGHREB)</w:t>
      </w:r>
    </w:p>
    <w:p>
      <w:pPr>
        <w:pStyle w:val="ListBullet"/>
      </w:pPr>
      <w:r>
        <w:t>Formes et Dosages : Microgranules en gélule à libération prolongée 0,4 mg — Boîte de 30.</w:t>
      </w:r>
    </w:p>
    <w:p>
      <w:pPr>
        <w:pStyle w:val="ListBullet"/>
      </w:pPr>
      <w:r>
        <w:t>Statut : Actif (LISTE I).</w:t>
      </w:r>
    </w:p>
    <w:p>
      <w:pPr>
        <w:pStyle w:val="ListBullet"/>
      </w:pPr>
      <w:r/>
      <w:r>
        <w:rPr>
          <w:b/>
        </w:rPr>
        <w:t>PROSTASIR LP</w:t>
      </w:r>
      <w:r>
        <w:t xml:space="preserve"> (FRATER-RAZES FORME SECHE)</w:t>
      </w:r>
    </w:p>
    <w:p>
      <w:pPr>
        <w:pStyle w:val="ListBullet"/>
      </w:pPr>
      <w:r>
        <w:t>Formes et Dosages : Microgranules en gélule à libération prolongée 0,4 mg — Boîte de 30.</w:t>
      </w:r>
    </w:p>
    <w:p>
      <w:pPr>
        <w:pStyle w:val="ListBullet"/>
      </w:pPr>
      <w:r>
        <w:t>Statut : Actif (LISTE I).</w:t>
      </w:r>
    </w:p>
    <w:p>
      <w:pPr>
        <w:pStyle w:val="ListBullet"/>
      </w:pPr>
      <w:r/>
      <w:r>
        <w:rPr>
          <w:b/>
        </w:rPr>
        <w:t>SULOZIR LP</w:t>
      </w:r>
      <w:r>
        <w:t xml:space="preserve"> (PHARMALLIANCE)</w:t>
      </w:r>
    </w:p>
    <w:p>
      <w:pPr>
        <w:pStyle w:val="ListBullet"/>
      </w:pPr>
      <w:r>
        <w:t>Formes et Dosages : Gélule à libération prolongée 0,4 mg — Boîte de 30.</w:t>
      </w:r>
    </w:p>
    <w:p>
      <w:pPr>
        <w:pStyle w:val="ListBullet"/>
      </w:pPr>
      <w:r>
        <w:t>Statut : Actif (LISTE I).</w:t>
      </w:r>
    </w:p>
    <w:p>
      <w:pPr>
        <w:pStyle w:val="ListBullet"/>
      </w:pPr>
      <w:r/>
      <w:r>
        <w:rPr>
          <w:b/>
        </w:rPr>
        <w:t>TAMSIR LP</w:t>
      </w:r>
      <w:r>
        <w:t xml:space="preserve"> (EL KENDI INDUSTRIE DU MEDICAMENT)</w:t>
      </w:r>
    </w:p>
    <w:p>
      <w:pPr>
        <w:pStyle w:val="ListBullet"/>
      </w:pPr>
      <w:r>
        <w:t>Formes et Dosages : Gélule à libération prolongée 0,4 mg — Boîte de 30.</w:t>
      </w:r>
    </w:p>
    <w:p>
      <w:pPr>
        <w:pStyle w:val="ListBullet"/>
      </w:pPr>
      <w:r>
        <w:t>Statut : Actif (LISTE I).</w:t>
      </w:r>
    </w:p>
    <w:p>
      <w:pPr>
        <w:pStyle w:val="ListBullet"/>
      </w:pPr>
      <w:r/>
      <w:r>
        <w:rPr>
          <w:b/>
        </w:rPr>
        <w:t>TAMSULIX LP</w:t>
      </w:r>
      <w:r>
        <w:t xml:space="preserve"> (NOVAPHARM TRADING)</w:t>
      </w:r>
    </w:p>
    <w:p>
      <w:pPr>
        <w:pStyle w:val="ListBullet"/>
      </w:pPr>
      <w:r>
        <w:t>Formes et Dosages : Microgranules en gélule à libération prolongée 0,4 mg — Boîte de 30.</w:t>
      </w:r>
    </w:p>
    <w:p>
      <w:pPr>
        <w:pStyle w:val="ListBullet"/>
      </w:pPr>
      <w:r>
        <w:t>Statut : Actif (LISTE I).</w:t>
      </w:r>
    </w:p>
    <w:p>
      <w:pPr>
        <w:pStyle w:val="ListBullet"/>
      </w:pPr>
      <w:r/>
      <w:r>
        <w:rPr>
          <w:b/>
        </w:rPr>
        <w:t>TAMSULOSINE BEKER LP</w:t>
      </w:r>
      <w:r>
        <w:t xml:space="preserve"> (LABORATOIRES BEKER)</w:t>
      </w:r>
    </w:p>
    <w:p>
      <w:pPr>
        <w:pStyle w:val="ListBullet"/>
      </w:pPr>
      <w:r>
        <w:t>Formes et Dosages : Microgranules en gélule à libération prolongée 0,4 mg — Boîtes de 30 ou 90.</w:t>
      </w:r>
    </w:p>
    <w:p>
      <w:pPr>
        <w:pStyle w:val="ListBullet"/>
      </w:pPr>
      <w:r>
        <w:t>Statut : Actif (LISTE I).</w:t>
      </w:r>
    </w:p>
    <w:p>
      <w:pPr>
        <w:pStyle w:val="ListBullet"/>
      </w:pPr>
      <w:r/>
      <w:r>
        <w:rPr>
          <w:b/>
        </w:rPr>
        <w:t>TAMSULOSINE MM LP</w:t>
      </w:r>
      <w:r>
        <w:t xml:space="preserve"> (LABORATOIRES MM)</w:t>
      </w:r>
    </w:p>
    <w:p>
      <w:pPr>
        <w:pStyle w:val="ListBullet"/>
      </w:pPr>
      <w:r>
        <w:t>Formes et Dosages : Microgranules en gélule à libération prolongée 0,4 mg — Boîte de 30.</w:t>
      </w:r>
    </w:p>
    <w:p>
      <w:pPr>
        <w:pStyle w:val="ListBullet"/>
      </w:pPr>
      <w:r>
        <w:t>Statut : Actif (LISTE I).</w:t>
      </w:r>
    </w:p>
    <w:p>
      <w:pPr>
        <w:pStyle w:val="ListBullet"/>
      </w:pPr>
      <w:r/>
      <w:r>
        <w:rPr>
          <w:b/>
        </w:rPr>
        <w:t>TAMSUMED LP</w:t>
      </w:r>
      <w:r>
        <w:t xml:space="preserve"> (ABDI IBRAHIM REMEDE PHARMA)</w:t>
      </w:r>
    </w:p>
    <w:p>
      <w:pPr>
        <w:pStyle w:val="ListBullet"/>
      </w:pPr>
      <w:r>
        <w:t>Formes et Dosages : Microgranules en gélule à libération prolongée 0,4 mg — Boîte de 30.</w:t>
      </w:r>
    </w:p>
    <w:p>
      <w:pPr>
        <w:pStyle w:val="ListBullet"/>
      </w:pPr>
      <w:r>
        <w:t>Statut : Actif (LISTE I).</w:t>
      </w:r>
    </w:p>
    <w:p>
      <w:pPr>
        <w:pStyle w:val="ListBullet"/>
      </w:pPr>
      <w:r/>
      <w:r>
        <w:rPr>
          <w:b/>
        </w:rPr>
        <w:t>TAMSUPROST</w:t>
      </w:r>
      <w:r>
        <w:t xml:space="preserve"> (WORLD MEDECINE LIMITED)</w:t>
      </w:r>
    </w:p>
    <w:p>
      <w:pPr>
        <w:pStyle w:val="ListBullet"/>
      </w:pPr>
      <w:r>
        <w:t>Formes et Dosages : Microgranules en gélule à libération prolongée 0,4 mg — Boîte de 30.</w:t>
      </w:r>
    </w:p>
    <w:p>
      <w:pPr>
        <w:pStyle w:val="ListBullet"/>
      </w:pPr>
      <w:r>
        <w:t>Statut : Actif (LISTE I).</w:t>
      </w:r>
    </w:p>
    <w:p>
      <w:pPr>
        <w:pStyle w:val="ListBullet"/>
      </w:pPr>
      <w:r/>
      <w:r>
        <w:rPr>
          <w:b/>
        </w:rPr>
        <w:t>MECIR LP</w:t>
      </w:r>
      <w:r>
        <w:t xml:space="preserve"> (BOEHRINGER INGELHEIM FRANCE)</w:t>
      </w:r>
    </w:p>
    <w:p>
      <w:pPr>
        <w:pStyle w:val="ListBullet"/>
      </w:pPr>
      <w:r>
        <w:t>Formes et Dosages : Comprimé pelliculé à libération prolongée 0,4 mg — Boîte de 30.</w:t>
      </w:r>
    </w:p>
    <w:p>
      <w:pPr>
        <w:pStyle w:val="ListBullet"/>
      </w:pPr>
      <w:r>
        <w:t>Statut : Retiré (R).</w:t>
      </w:r>
    </w:p>
    <w:p>
      <w:pPr>
        <w:pStyle w:val="ListBullet"/>
      </w:pPr>
      <w:r/>
      <w:r>
        <w:rPr>
          <w:b/>
        </w:rPr>
        <w:t>OMEXEL LP</w:t>
      </w:r>
      <w:r>
        <w:t xml:space="preserve"> (ASTELLAS PHARMA SAS)</w:t>
      </w:r>
    </w:p>
    <w:p>
      <w:pPr>
        <w:pStyle w:val="ListBullet"/>
      </w:pPr>
      <w:r>
        <w:t>Formes et Dosages : Comprimé pelliculé à libération prolongée 0,4 mg — Boîte de 30.</w:t>
      </w:r>
    </w:p>
    <w:p>
      <w:pPr>
        <w:pStyle w:val="ListBullet"/>
      </w:pPr>
      <w:r>
        <w:t>Statut : Retiré (R) — princeps historique français.</w:t>
      </w:r>
    </w:p>
    <w:p>
      <w:pPr>
        <w:pStyle w:val="ListBullet"/>
      </w:pPr>
      <w:r/>
      <w:r>
        <w:rPr>
          <w:b/>
        </w:rPr>
        <w:t>JOSIR LP</w:t>
      </w:r>
      <w:r>
        <w:t xml:space="preserve"> (BOEHRINGER INGELHEIM)</w:t>
      </w:r>
    </w:p>
    <w:p>
      <w:pPr>
        <w:pStyle w:val="ListBullet"/>
      </w:pPr>
      <w:r>
        <w:t>Formes et Dosages : Gélule à microgranules à libération prolongée 0,4 mg — Boîte de 30.</w:t>
      </w:r>
    </w:p>
    <w:p>
      <w:pPr>
        <w:pStyle w:val="ListBullet"/>
      </w:pPr>
      <w:r>
        <w:t>Statut : Retiré (R).</w:t>
      </w:r>
    </w:p>
    <w:p>
      <w:pPr>
        <w:pStyle w:val="ListBullet"/>
      </w:pPr>
      <w:r/>
      <w:r>
        <w:rPr>
          <w:b/>
        </w:rPr>
        <w:t>TAMSULOSINE WINTHROP LP</w:t>
      </w:r>
      <w:r>
        <w:t xml:space="preserve"> (SANOFI AVENTIS)</w:t>
      </w:r>
    </w:p>
    <w:p>
      <w:pPr>
        <w:pStyle w:val="ListBullet"/>
      </w:pPr>
      <w:r>
        <w:t>Formes et Dosages : Gélule à libération prolongée 0,4 mg — Boîte de 30.</w:t>
      </w:r>
    </w:p>
    <w:p>
      <w:pPr>
        <w:pStyle w:val="ListBullet"/>
      </w:pPr>
      <w:r>
        <w:t>Statut : Retiré (R).</w:t>
      </w:r>
    </w:p>
    <w:p>
      <w:r/>
      <w:r>
        <w:rPr>
          <w:b/>
        </w:rPr>
        <w:t>Sous-classe et Mécanisme d'action :</w:t>
      </w:r>
      <w:r/>
    </w:p>
    <w:p>
      <w:pPr>
        <w:pStyle w:val="ListBullet"/>
      </w:pPr>
      <w:r>
        <w:t xml:space="preserve">Sous-classe : </w:t>
      </w:r>
      <w:r>
        <w:rPr>
          <w:b/>
        </w:rPr>
        <w:t>Alpha-bloquant urosélectif hautement sélectif α1A</w:t>
      </w:r>
      <w:r>
        <w:t>, premier choix thérapeutique des SBAU modérés à sévères de la HBP, notamment chez le patient âgé fragile, polypathologique ou sous traitement antihypertenseur concomitant (en raison de l'absence d'effet de 1re dose et de la neutralité cardiovasculaire). Privilégiée également en cas de débit métrique faible (Qmax &lt; 10 mL/s) pour son efficacité urodynamique rapide.</w:t>
      </w:r>
    </w:p>
    <w:p>
      <w:pPr>
        <w:pStyle w:val="ListBullet"/>
      </w:pPr>
      <w:r>
        <w:t xml:space="preserve">Mécanisme d'action : la tamsulosine est un </w:t>
      </w:r>
      <w:r>
        <w:rPr>
          <w:b/>
        </w:rPr>
        <w:t>antagoniste compétitif</w:t>
      </w:r>
      <w:r>
        <w:t xml:space="preserve"> des récepteurs α1-adrénergiques, avec une </w:t>
      </w:r>
      <w:r>
        <w:rPr>
          <w:b/>
        </w:rPr>
        <w:t>affinité 20 fois supérieure pour le sous-type α1A</w:t>
      </w:r>
      <w:r>
        <w:t xml:space="preserve"> que pour le sous-type α1B vasculaire systémique. Le blocage des récepteurs α1A prostatiques, du col vésical et de la capsule prostatique provoque la </w:t>
      </w:r>
      <w:r>
        <w:rPr>
          <w:b/>
        </w:rPr>
        <w:t>relaxation du muscle lisse prostatique et vésical</w:t>
      </w:r>
      <w:r>
        <w:t xml:space="preserve">, réduisant la composante dynamique de l'obstruction sous-vésicale. L'amélioration du Qmax est de 2-4 mL/s et la diminution de l'IPSS de 4-6 points en 2-4 semaines. Le blocage α1A du </w:t>
      </w:r>
      <w:r>
        <w:rPr>
          <w:b/>
        </w:rPr>
        <w:t>muscle dilatateur de l'iris</w:t>
      </w:r>
      <w:r>
        <w:t xml:space="preserve"> (présent à faible densité mais fonctionnellement significatif) est responsable de l'</w:t>
      </w:r>
      <w:r>
        <w:rPr>
          <w:b/>
        </w:rPr>
        <w:t>IFIS</w:t>
      </w:r>
      <w:r>
        <w:t xml:space="preserve"> — syndrome découvert en 2005 par Chang et Campbell (ophtalmologistes américains) chez des patients sous tamsulosine opérés de cataracte. Le blocage des récepteurs α1D vésicaux et médullaires (la tamsulosine a une affinité modérée pour α1D, ~3 fois moins que pour α1A) contribue à l'amélioration de la symptomatologie irritative. Le délai d'action est court : effet symptomatique dès la 1re semaine, effet maximal à 4 semaines. La tamsulosine </w:t>
      </w:r>
      <w:r>
        <w:rPr>
          <w:b/>
        </w:rPr>
        <w:t>ne réduit pas le volume prostatique</w:t>
      </w:r>
      <w:r>
        <w:t xml:space="preserve"> (effet purement symptomatique, comme tous les alpha-bloquants).</w:t>
      </w:r>
    </w:p>
    <w:p>
      <w:r/>
      <w:r>
        <w:rPr>
          <w:b/>
        </w:rPr>
        <w:t>Profil Pharmacologique :</w:t>
      </w:r>
      <w:r/>
    </w:p>
    <w:p>
      <w:pPr>
        <w:pStyle w:val="ListBullet"/>
      </w:pPr>
      <w:r>
        <w:t xml:space="preserve">Indications : </w:t>
      </w:r>
      <w:r>
        <w:rPr>
          <w:b/>
        </w:rPr>
        <w:t>Traitement des symptômes fonctionnels modérés à sévères</w:t>
      </w:r>
      <w:r>
        <w:t xml:space="preserve"> de l'HBP chez l'homme adulte. Indication en monothérapie pour prostate &lt; 30-40 mL ; en association avec le dutastéride (bithérapie) selon l'étude CombAT (non applicable en Algérie — dutastéride non commercialisé) ; en association avec le finastéride pour prostate volumineuse. Hors AMM : </w:t>
      </w:r>
      <w:r>
        <w:rPr>
          <w:b/>
        </w:rPr>
        <w:t>aide à l'expulsion des calculs urétéraux distaux</w:t>
      </w:r>
      <w:r>
        <w:t xml:space="preserve"> (MET — méta-analyses concluantes, recommandation AUA 2016 grade B), </w:t>
      </w:r>
      <w:r>
        <w:rPr>
          <w:b/>
        </w:rPr>
        <w:t>traitement de la dysménorrhée</w:t>
      </w:r>
      <w:r>
        <w:t xml:space="preserve"> (hors AMM).</w:t>
      </w:r>
    </w:p>
    <w:p>
      <w:pPr>
        <w:pStyle w:val="ListBullet"/>
      </w:pPr>
      <w:r>
        <w:t xml:space="preserve">Contre-indications : (i) </w:t>
      </w:r>
      <w:r>
        <w:rPr>
          <w:b/>
        </w:rPr>
        <w:t>hypersensibilité à la tamsulosine</w:t>
      </w:r>
      <w:r>
        <w:t xml:space="preserve"> (notamment en raison de la structure sulfonamide — allergie croisée possible avec les sulfamides antibactériens à surveiller, bien que le risque réel soit faible) ; (ii) </w:t>
      </w:r>
      <w:r>
        <w:rPr>
          <w:b/>
        </w:rPr>
        <w:t>insuffisance hépatique sévère</w:t>
      </w:r>
      <w:r>
        <w:t xml:space="preserve"> (Child-Pugh C) ; (iii) </w:t>
      </w:r>
      <w:r>
        <w:rPr>
          <w:b/>
        </w:rPr>
        <w:t>hypotension orthostatique</w:t>
      </w:r>
      <w:r>
        <w:t xml:space="preserve"> documentée ; (iv) </w:t>
      </w:r>
      <w:r>
        <w:rPr>
          <w:b/>
        </w:rPr>
        <w:t>association avec un autre alpha-bloquant</w:t>
      </w:r>
      <w:r>
        <w:t xml:space="preserve"> (CI absolue).</w:t>
      </w:r>
    </w:p>
    <w:p>
      <w:pPr>
        <w:pStyle w:val="ListBullet"/>
      </w:pPr>
      <w:r>
        <w:t>Effets Indésirables :</w:t>
      </w:r>
    </w:p>
    <w:p>
      <w:pPr>
        <w:pStyle w:val="ListBullet"/>
      </w:pPr>
      <w:r/>
      <w:r>
        <w:rPr>
          <w:b/>
        </w:rPr>
        <w:t>Fréquents (≥ 1/100 à &lt; 1/10)</w:t>
      </w:r>
      <w:r>
        <w:t xml:space="preserve"> : </w:t>
      </w:r>
      <w:r>
        <w:rPr>
          <w:b/>
        </w:rPr>
        <w:t>vertiges</w:t>
      </w:r>
      <w:r>
        <w:t xml:space="preserve"> (3-5 %, incidence proche du placebo), </w:t>
      </w:r>
      <w:r>
        <w:rPr>
          <w:b/>
        </w:rPr>
        <w:t>éjaculation rétrograde</w:t>
      </w:r>
      <w:r>
        <w:t xml:space="preserve"> (~8-18 % — effet de classe lié au blocage α1A du col vésical pendant l'éjaculation — non douloureuse, réversible à l'arrêt), céphalées, rhinite, asthénie.</w:t>
      </w:r>
    </w:p>
    <w:p>
      <w:pPr>
        <w:pStyle w:val="ListBullet"/>
      </w:pPr>
      <w:r/>
      <w:r>
        <w:rPr>
          <w:b/>
        </w:rPr>
        <w:t>Peu fréquents (≥ 1/1000 à &lt; 1/100)</w:t>
      </w:r>
      <w:r>
        <w:t xml:space="preserve"> : </w:t>
      </w:r>
      <w:r>
        <w:rPr>
          <w:b/>
        </w:rPr>
        <w:t>hypotension orthostatique</w:t>
      </w:r>
      <w:r>
        <w:t xml:space="preserve"> (~0,2 % — exceptionnelle grâce à l'urosélectivité α1A), palpitations, tachycardie, troubles digestifs (nausées, vomissements, diarrhée, constipation), éruptions cutanées, prurit, sécheresse buccale, troubles de la vision (vision floue).</w:t>
      </w:r>
    </w:p>
    <w:p>
      <w:pPr>
        <w:pStyle w:val="ListBullet"/>
      </w:pPr>
      <w:r/>
      <w:r>
        <w:rPr>
          <w:b/>
        </w:rPr>
        <w:t>Rares (≥ 1/10000 à &lt; 1/1000)</w:t>
      </w:r>
      <w:r>
        <w:t xml:space="preserve"> : </w:t>
      </w:r>
      <w:r>
        <w:rPr>
          <w:b/>
        </w:rPr>
        <w:t>priapisme</w:t>
      </w:r>
      <w:r>
        <w:t xml:space="preserve"> (urgence urologique), </w:t>
      </w:r>
      <w:r>
        <w:rPr>
          <w:b/>
        </w:rPr>
        <w:t>syncope</w:t>
      </w:r>
      <w:r>
        <w:t xml:space="preserve"> (rare mais possible à la 1re prise en particulier chez le patient déshydraté ou sous antihypertenseur), </w:t>
      </w:r>
      <w:r>
        <w:rPr>
          <w:b/>
        </w:rPr>
        <w:t>IFIS</w:t>
      </w:r>
      <w:r>
        <w:t xml:space="preserve"> (incidence de 50-80 % chez les patients sous tamsulosine au moment de la chirurgie de la cataracte —cf. infra), angio-œdème, urticaire.</w:t>
      </w:r>
    </w:p>
    <w:p>
      <w:pPr>
        <w:pStyle w:val="ListBullet"/>
      </w:pPr>
      <w:r/>
      <w:r>
        <w:rPr>
          <w:b/>
        </w:rPr>
        <w:t>Très rares</w:t>
      </w:r>
      <w:r>
        <w:t xml:space="preserve"> : syndrome de Stevens-Johnson, érythrodermie, hépatite cytolytique.</w:t>
      </w:r>
    </w:p>
    <w:p>
      <w:pPr>
        <w:pStyle w:val="ListBullet"/>
      </w:pPr>
      <w:r/>
      <w:r>
        <w:rPr>
          <w:b/>
        </w:rPr>
        <w:t>Spécifique</w:t>
      </w:r>
      <w:r>
        <w:t xml:space="preserve"> : </w:t>
      </w:r>
      <w:r>
        <w:rPr>
          <w:b/>
        </w:rPr>
        <w:t>IFIS</w:t>
      </w:r>
      <w:r>
        <w:t xml:space="preserve"> — syndrome per-opératoire de la chirurgie de la cataracte caractérisé par la triade : (a) </w:t>
      </w:r>
      <w:r>
        <w:rPr>
          <w:b/>
        </w:rPr>
        <w:t>ptose flasque du diaphragme irien</w:t>
      </w:r>
      <w:r>
        <w:t xml:space="preserve"> (iris floppy) — l'iris ondule pendant l'intervention ; (b) </w:t>
      </w:r>
      <w:r>
        <w:rPr>
          <w:b/>
        </w:rPr>
        <w:t>dilatation pupolaire insuffisante</w:t>
      </w:r>
      <w:r>
        <w:t xml:space="preserve"> malgré les myotiques per-opératoires ; (c) </w:t>
      </w:r>
      <w:r>
        <w:rPr>
          <w:b/>
        </w:rPr>
        <w:t>prolapsse irien</w:t>
      </w:r>
      <w:r>
        <w:t xml:space="preserve"> à travers la incision cornéenne. L'IFIS complique la phako-émulsification (rupture capsulaire, perte de vitré, luxation du cristallin) — le chirurgien doit être informé pour adapter sa technique (viscoélastiques, retracteurs iriens, technique de *chop*). L'IFIS est </w:t>
      </w:r>
      <w:r>
        <w:rPr>
          <w:b/>
        </w:rPr>
        <w:t>indépendant de la dose et de la durée</w:t>
      </w:r>
      <w:r>
        <w:t xml:space="preserve"> du traitement par tamsulosine, peut survenir </w:t>
      </w:r>
      <w:r>
        <w:rPr>
          <w:b/>
        </w:rPr>
        <w:t>même après arrêt prolongé</w:t>
      </w:r>
      <w:r>
        <w:t xml:space="preserve"> (plusieurs mois), et n'est pas prévenu par l'arrêt pré-opératoire systématique — la décision d'arrêt est à discuter au cas par cas avec l'ophtalmologiste.</w:t>
      </w:r>
    </w:p>
    <w:p>
      <w:r/>
      <w:r>
        <w:rPr>
          <w:b/>
        </w:rPr>
        <w:t>Prévention et Gestion des Effets Indésirables :</w:t>
      </w:r>
      <w:r/>
    </w:p>
    <w:p>
      <w:pPr>
        <w:pStyle w:val="ListBullet"/>
      </w:pPr>
      <w:r>
        <w:t xml:space="preserve">Mesures Préventives : (i) </w:t>
      </w:r>
      <w:r>
        <w:rPr>
          <w:b/>
        </w:rPr>
        <w:t>information systématique du patient sur le risque d'IFIS</w:t>
      </w:r>
      <w:r>
        <w:t xml:space="preserve"> — remise d'un document écrit recommandant au patient d'informer son ophtalmologiste de son traitement par tamsulosine en cas de chirurgie de la cataracte programmée ; (ii) </w:t>
      </w:r>
      <w:r>
        <w:rPr>
          <w:b/>
        </w:rPr>
        <w:t>information du chirurgien ophtalmologiste</w:t>
      </w:r>
      <w:r>
        <w:t xml:space="preserve"> par le patient (et idéalement par le pharmacien dans le dossier pharmaceutique) ; (iii) </w:t>
      </w:r>
      <w:r>
        <w:rPr>
          <w:b/>
        </w:rPr>
        <w:t>prudence à la 1re prise</w:t>
      </w:r>
      <w:r>
        <w:t xml:space="preserve"> chez le patient âgé, déshydraté, sous antihypertenseurs multiples ou iPDE5 — prendre la 1re dose le soir au coucher pour minimiser le risque de malaise orthostatique (mesure préventive non obligatoire mais raisonnable) ; (iv) </w:t>
      </w:r>
      <w:r>
        <w:rPr>
          <w:b/>
        </w:rPr>
        <w:t>éviter l'association avec un autre alpha-bloquant</w:t>
      </w:r>
      <w:r>
        <w:t xml:space="preserve"> (CI absolue) ; (v) </w:t>
      </w:r>
      <w:r>
        <w:rPr>
          <w:b/>
        </w:rPr>
        <w:t>prévention de l'hypotension orthostatique</w:t>
      </w:r>
      <w:r>
        <w:t xml:space="preserve"> : informer le patient de se lever progressivement (passage prolongé couché → assis → debout), d'éviter les positions immobiles debout prolongées, de bien s'hydrater.</w:t>
      </w:r>
    </w:p>
    <w:p>
      <w:pPr>
        <w:pStyle w:val="ListBullet"/>
      </w:pPr>
      <w:r>
        <w:t>Conduite à Tenir : (i) en cas d'</w:t>
      </w:r>
      <w:r>
        <w:rPr>
          <w:b/>
        </w:rPr>
        <w:t>hypotension orthostatique symptomatique</w:t>
      </w:r>
      <w:r>
        <w:t xml:space="preserve"> ou de </w:t>
      </w:r>
      <w:r>
        <w:rPr>
          <w:b/>
        </w:rPr>
        <w:t>syncope</w:t>
      </w:r>
      <w:r>
        <w:t xml:space="preserve"> : arrêter la tamsulosine, réévaluer le patient (PA couché/debout, ECG, bilan sanguin), envisager une alternative thérapeutique (inhibiteur de la 5-alpha-réductase, ou chirurgie si HBP sévère) ; (ii) en cas d'</w:t>
      </w:r>
      <w:r>
        <w:rPr>
          <w:b/>
        </w:rPr>
        <w:t>éjaculation rétrograde mal tolérée</w:t>
      </w:r>
      <w:r>
        <w:t xml:space="preserve"> : réassurance (effet bénin, réversible à l'arrêt), discussion d'une alternative (alfuzosine — incidence moindre) ; (iii) en cas de </w:t>
      </w:r>
      <w:r>
        <w:rPr>
          <w:b/>
        </w:rPr>
        <w:t>priapisme</w:t>
      </w:r>
      <w:r>
        <w:t xml:space="preserve"> : arrêt immédiat, orientation urgence urologique ; (iv) en cas d'</w:t>
      </w:r>
      <w:r>
        <w:rPr>
          <w:b/>
        </w:rPr>
        <w:t>IFIS per-opératoire</w:t>
      </w:r>
      <w:r>
        <w:t xml:space="preserve"> : le chirurgien adaptera sa technique (use de retracteurs iriens type Mackool / Grether / Malyugin ring, augmentation du viscoélastique, technique de phaco-chop plutôt que *divide and conquer*) — pas de traitement préventif médicamenteux validé ; (v) en cas de </w:t>
      </w:r>
      <w:r>
        <w:rPr>
          <w:b/>
        </w:rPr>
        <w:t>persistance ou aggravation des SBAU</w:t>
      </w:r>
      <w:r>
        <w:t xml:space="preserve"> sous tamsulosine après 3-6 mois de traitement bien conduit : adresser à l'urologue pour réévaluation (débitmétrie, échographie vésico-prostatique avec résidu post-mictionnel, calibration urétrale, recherche d'un cancer prostatique associé).</w:t>
      </w:r>
    </w:p>
    <w:p>
      <w:r/>
      <w:r>
        <w:rPr>
          <w:b/>
        </w:rPr>
        <w:t>Interactions Importantes :</w:t>
      </w:r>
      <w:r/>
    </w:p>
    <w:p>
      <w:pPr>
        <w:pStyle w:val="ListBullet"/>
      </w:pPr>
      <w:r/>
      <w:r>
        <w:rPr>
          <w:b/>
        </w:rPr>
        <w:t>Tamsulosine + autres alpha-bloquants</w:t>
      </w:r>
      <w:r>
        <w:t xml:space="preserve"> (alfuzosine, doxazosine, prazosine, térazosine, silodosine) : </w:t>
      </w:r>
      <w:r>
        <w:rPr>
          <w:b/>
        </w:rPr>
        <w:t>contre-indication absolue</w:t>
      </w:r>
      <w:r>
        <w:t xml:space="preserve"> — hypotension additive sévère.</w:t>
      </w:r>
    </w:p>
    <w:p>
      <w:pPr>
        <w:pStyle w:val="ListBullet"/>
      </w:pPr>
      <w:r/>
      <w:r>
        <w:rPr>
          <w:b/>
        </w:rPr>
        <w:t>Tamsulosine + inhibiteurs puissants du CYP3A4</w:t>
      </w:r>
      <w:r>
        <w:t xml:space="preserve"> (kétoconazole, itraconazole, ritonavir, clarithromycine, voriconazole) : augmentation importante de l'ASC de la tamsulosine (métabolisme CYP3A4) — éviter l'association ; prudence accrue.</w:t>
      </w:r>
    </w:p>
    <w:p>
      <w:pPr>
        <w:pStyle w:val="ListBullet"/>
      </w:pPr>
      <w:r/>
      <w:r>
        <w:rPr>
          <w:b/>
        </w:rPr>
        <w:t>Tamsulosine + inhibiteurs modérés du CYP3A4</w:t>
      </w:r>
      <w:r>
        <w:t xml:space="preserve"> (érythromycine, diltiazem, vérapamil) : augmentation modérée de l'exposition — prudence, surveiller.</w:t>
      </w:r>
    </w:p>
    <w:p>
      <w:pPr>
        <w:pStyle w:val="ListBullet"/>
      </w:pPr>
      <w:r/>
      <w:r>
        <w:rPr>
          <w:b/>
        </w:rPr>
        <w:t>Tamsulosine + inhibiteurs du CYP2D6</w:t>
      </w:r>
      <w:r>
        <w:t xml:space="preserve"> (paroxétine, fluoxétine, bupropion) : augmentation modérée de l'exposition — prudence, surveiller les EI (vertiges, hypotension).</w:t>
      </w:r>
    </w:p>
    <w:p>
      <w:pPr>
        <w:pStyle w:val="ListBullet"/>
      </w:pPr>
      <w:r/>
      <w:r>
        <w:rPr>
          <w:b/>
        </w:rPr>
        <w:t>Tamsulosine + inhibiteurs de la PDE5</w:t>
      </w:r>
      <w:r>
        <w:t xml:space="preserve"> (sildénafil, tadalafil, vardénafil — voir Chapitre 72) : risque d'hypotension orthostatique symptomatique moindre qu'avec la doxazosine (grâce à l'urosélectivité α1A) — néanmoins, débuter l'iPDE5 à dose minimale et espacer les prises ; surveiller la PA.</w:t>
      </w:r>
    </w:p>
    <w:p>
      <w:pPr>
        <w:pStyle w:val="ListBullet"/>
      </w:pPr>
      <w:r/>
      <w:r>
        <w:rPr>
          <w:b/>
        </w:rPr>
        <w:t>Tamsulosine + antihypertenseurs</w:t>
      </w:r>
      <w:r>
        <w:t xml:space="preserve"> (IEC, ARA2, diurétiques, bêta-bloquants, inhibiteurs calciques) : pas d'interaction significative aux doses thérapeutiques (avantage majeur de la tamsulosine) — prudence chez le patient multi-traité ou âgé.</w:t>
      </w:r>
    </w:p>
    <w:p>
      <w:pPr>
        <w:pStyle w:val="ListBullet"/>
      </w:pPr>
      <w:r/>
      <w:r>
        <w:rPr>
          <w:b/>
        </w:rPr>
        <w:t>Tamsulosine + warfarine/A VK</w:t>
      </w:r>
      <w:r>
        <w:t xml:space="preserve"> : risque d'augmentation de l'INR (interaction CYP2C9/3A4) — surveiller l'INR, en particulier à l'initiation et à l'arrêt.</w:t>
      </w:r>
    </w:p>
    <w:p>
      <w:pPr>
        <w:pStyle w:val="ListBullet"/>
      </w:pPr>
      <w:r/>
      <w:r>
        <w:rPr>
          <w:b/>
        </w:rPr>
        <w:t>Tamsulosine + anesthésiques généraux</w:t>
      </w:r>
      <w:r>
        <w:t xml:space="preserve"> : risque d'hypotension peropératoire — informer l'anesthésiste.</w:t>
      </w:r>
    </w:p>
    <w:p>
      <w:r/>
      <w:r>
        <w:rPr>
          <w:b/>
        </w:rPr>
        <w:t>Grossesse et Allaitement :</w:t>
      </w:r>
      <w:r/>
    </w:p>
    <w:p>
      <w:pPr>
        <w:pStyle w:val="ListBullet"/>
      </w:pPr>
      <w:r>
        <w:t xml:space="preserve">Grossesse : </w:t>
      </w:r>
      <w:r>
        <w:rPr>
          <w:b/>
        </w:rPr>
        <w:t>non applicable</w:t>
      </w:r>
      <w:r>
        <w:t xml:space="preserve"> (pathologie masculine de l'homme âgé). La tamsulosine n'a pas d'indication chez la femme. Selon le CRAT, la tamsulosine prise par le partenaire masculin d'une femme enceinte ne pose aucun problème (pas de passage significatif dans le sperme à concentration maternotoxicité). Les précautions de manipulation (casse de gélule) sont recommandées par prudence chez la femme enceinte ou susceptible de l'être manipulant le médicament.</w:t>
      </w:r>
    </w:p>
    <w:p>
      <w:pPr>
        <w:pStyle w:val="ListBullet"/>
      </w:pPr>
      <w:r>
        <w:t>Allaitement : non applicable (homme).</w:t>
      </w:r>
    </w:p>
    <w:p>
      <w:pPr>
        <w:pStyle w:val="ListBullet"/>
      </w:pPr>
      <w:r>
        <w:t>Précisions : aucun passage significatif dans le sperme ; la partenaire enceinte peut avoir des rapports sexuels normaux.</w:t>
      </w:r>
    </w:p>
    <w:p>
      <w:r/>
      <w:r>
        <w:rPr>
          <w:b/>
        </w:rPr>
        <w:t>Posologie et Mode d'administration (Standard) :</w:t>
      </w:r>
      <w:r/>
    </w:p>
    <w:p>
      <w:pPr>
        <w:pStyle w:val="ListBullet"/>
      </w:pPr>
      <w:r>
        <w:t xml:space="preserve">Adulte : </w:t>
      </w:r>
      <w:r>
        <w:rPr>
          <w:b/>
        </w:rPr>
        <w:t>tamsulosine LP 0,4 mg, 1 gélule par jour</w:t>
      </w:r>
      <w:r>
        <w:t xml:space="preserve">, après le premier repas de la journée (petit-déjeuner ou déjeuner — la prise alimentaire conditionne l'absorption et réduit la variabilité pharmacocinétique). La dose de </w:t>
      </w:r>
      <w:r>
        <w:rPr>
          <w:b/>
        </w:rPr>
        <w:t>0,8 mg/jour</w:t>
      </w:r>
      <w:r>
        <w:t xml:space="preserve"> (2 gélules) est exceptionnellement utilisée en seconde intention chez le patient avec HBP sévère et échec à 0,4 mg — réservée à l'urologue, sous surveillance stricte, car elle majore l'incidence des EI (notamment éjaculation rétrograde et IFIS) sans gain d'efficacité prouvé dans la majorité des études.</w:t>
      </w:r>
    </w:p>
    <w:p>
      <w:pPr>
        <w:pStyle w:val="ListBullet"/>
      </w:pPr>
      <w:r>
        <w:t>Sujet âgé (&gt; 65 ans) : pas d'adaptation posologique — la pharmacocinétique n'est pas significativement modifiée chez le sujet âgé ; la tamsulosine est particulièrement adaptée au sujet âgé en raison de l'absence d'effet de 1re dose et de la bonne tolérance cardiovasculaire.</w:t>
      </w:r>
    </w:p>
    <w:p>
      <w:pPr>
        <w:pStyle w:val="ListBullet"/>
      </w:pPr>
      <w:r>
        <w:t xml:space="preserve">Insuffisant rénal : pas d'adaptation pour ClCr &gt; 10 mL/min ; </w:t>
      </w:r>
      <w:r>
        <w:rPr>
          <w:b/>
        </w:rPr>
        <w:t>CI en cas d'IR terminale</w:t>
      </w:r>
      <w:r>
        <w:t xml:space="preserve"> (ClCr &lt; 10 mL/min) — non étudiée.</w:t>
      </w:r>
    </w:p>
    <w:p>
      <w:pPr>
        <w:pStyle w:val="ListBullet"/>
      </w:pPr>
      <w:r>
        <w:t xml:space="preserve">Insuffisant hépatique léger à modéré : pas d'adaptation ; </w:t>
      </w:r>
      <w:r>
        <w:rPr>
          <w:b/>
        </w:rPr>
        <w:t>CI en cas d'insuffisance hépatique sévère</w:t>
      </w:r>
      <w:r>
        <w:t xml:space="preserve"> (Child-Pugh C).</w:t>
      </w:r>
    </w:p>
    <w:p>
      <w:pPr>
        <w:pStyle w:val="ListBullet"/>
      </w:pPr>
      <w:r>
        <w:t xml:space="preserve">Durée : </w:t>
      </w:r>
      <w:r>
        <w:rPr>
          <w:b/>
        </w:rPr>
        <w:t>au long cours</w:t>
      </w:r>
      <w:r>
        <w:t xml:space="preserve"> — traitement chronique de la HBP symptomatique, à poursuivre tant que les symptômes persistent et que la tolérance est bonne. Réévaluation urologique annuelle (IPSS, débitmétrie, échographie vésico-prostatique avec résidu post-mictionnel, PSA).</w:t>
      </w:r>
    </w:p>
    <w:p>
      <w:pPr>
        <w:pStyle w:val="ListBullet"/>
      </w:pPr>
      <w:r>
        <w:t xml:space="preserve">Moment de la prise : </w:t>
      </w:r>
      <w:r>
        <w:rPr>
          <w:b/>
        </w:rPr>
        <w:t>après le premier repas principal de la journée</w:t>
      </w:r>
      <w:r>
        <w:t xml:space="preserve"> (idéal le petit-déjeuner, ou déjeuner si le petit-déjeuner est négligé). La prise à jeun augmente la Cmax et le risque d'EI (vertiges, hypotension) — à éviter.</w:t>
      </w:r>
    </w:p>
    <w:p>
      <w:r/>
      <w:r>
        <w:rPr>
          <w:b/>
        </w:rPr>
        <w:t>Arbitrage et Bénéfices des Formes Galéniques :</w:t>
      </w:r>
      <w:r/>
    </w:p>
    <w:p>
      <w:r>
        <w:t xml:space="preserve">La tamsulosine est commercialisée en </w:t>
      </w:r>
      <w:r>
        <w:rPr>
          <w:b/>
        </w:rPr>
        <w:t>gélule contenant des microgranules à libération prolongée</w:t>
      </w:r>
      <w:r>
        <w:t xml:space="preserve"> (forme galénique dominante en Algérie : 11 des 12 marques actives), à l'exception de </w:t>
      </w:r>
      <w:r>
        <w:rPr>
          <w:b/>
        </w:rPr>
        <w:t>GAMCET</w:t>
      </w:r>
      <w:r>
        <w:t xml:space="preserve"> qui se présente en comprimé pelliculé LP. La formulation microgranules en gélule offre plusieurs avantages : (i) </w:t>
      </w:r>
      <w:r>
        <w:rPr>
          <w:b/>
        </w:rPr>
        <w:t>libération prolongée</w:t>
      </w:r>
      <w:r>
        <w:t xml:space="preserve"> sur 24 h permettant une dose unique quotidienne et une bonne observance ; (ii) </w:t>
      </w:r>
      <w:r>
        <w:rPr>
          <w:b/>
        </w:rPr>
        <w:t>possibilité d'administration sur aliment semi-liquide</w:t>
      </w:r>
      <w:r>
        <w:t xml:space="preserve"> (compote, yaourt) pour les patients dysphagiques ou âgés incapables de swallowing la gélule entière — les microgranules peuvent être saupoudrés sur une cuillère à soupe de compote et avalés sans croquer ; (iii) </w:t>
      </w:r>
      <w:r>
        <w:rPr>
          <w:b/>
        </w:rPr>
        <w:t>réduction de la variabilité inter-individuelle</w:t>
      </w:r>
      <w:r>
        <w:t xml:space="preserve"> de l'absorption par rapport à un comprimé LP monolithique. Le comprimé pelliculé LP (GAMCET) est une alternative valide avec une équivalence bio-pharmaceutique démontrée. La gélule ne doit pas être croquée ni écrasée (risque de </w:t>
      </w:r>
      <w:r>
        <w:rPr>
          <w:i/>
        </w:rPr>
        <w:t>dose dumping</w:t>
      </w:r>
      <w:r>
        <w:t xml:space="preserve">). Comparativement à l'alfuzosine (qui impose la prise </w:t>
      </w:r>
      <w:r>
        <w:rPr>
          <w:b/>
        </w:rPr>
        <w:t>après le repas du soir</w:t>
      </w:r>
      <w:r>
        <w:t xml:space="preserve">), la tamsulosine se prend </w:t>
      </w:r>
      <w:r>
        <w:rPr>
          <w:b/>
        </w:rPr>
        <w:t>après le repas du matin</w:t>
      </w:r>
      <w:r>
        <w:t xml:space="preserve"> — choix pratique pour les patients ayant une routine matinale et souhaitant une activité quotidienne sans somnolence ni hypotension diurne.</w:t>
      </w:r>
    </w:p>
    <w:p>
      <w:r/>
      <w:r>
        <w:rPr>
          <w:b/>
        </w:rPr>
        <w:t>Instructions et Conseils au Patient :</w:t>
      </w:r>
      <w:r/>
    </w:p>
    <w:p>
      <w:pPr>
        <w:pStyle w:val="ListBullet"/>
      </w:pPr>
      <w:r>
        <w:t xml:space="preserve">Communication au comptoir : « Ce médicament traite les troubles urinaires liés à l'élargissement bénin de la prostate chez l'homme après 50 ans. Il agit en relâchant les muscles de la prostate et de la vessie. </w:t>
      </w:r>
      <w:r>
        <w:rPr>
          <w:b/>
        </w:rPr>
        <w:t>Prenez-le tous les jours après le petit-déjeuner</w:t>
      </w:r>
      <w:r>
        <w:t xml:space="preserve">, à heure fixe. </w:t>
      </w:r>
      <w:r>
        <w:rPr>
          <w:b/>
        </w:rPr>
        <w:t>Ne pas croquer la gélule, l'avaler entière</w:t>
      </w:r>
      <w:r>
        <w:t xml:space="preserve"> avec un verre d'eau. Si vous avez du mal à avaler, vous pouvez ouvrir la gélule et saupoudrer les microgranules sur une cuillère de compote — </w:t>
      </w:r>
      <w:r>
        <w:rPr>
          <w:b/>
        </w:rPr>
        <w:t>mais ne pas croquer les granules</w:t>
      </w:r>
      <w:r>
        <w:t xml:space="preserve">. </w:t>
      </w:r>
      <w:r>
        <w:rPr>
          <w:b/>
        </w:rPr>
        <w:t>Prévenez votre ophtalmologiste</w:t>
      </w:r>
      <w:r>
        <w:t xml:space="preserve"> si vous devez être opéré de la cataracte (syndrome de l'iris flasque per-opératoire). </w:t>
      </w:r>
      <w:r>
        <w:rPr>
          <w:b/>
        </w:rPr>
        <w:t>Prévenez votre médecin si vous avez des vertiges</w:t>
      </w:r>
      <w:r>
        <w:t xml:space="preserve"> ou des malaises en vous levant. </w:t>
      </w:r>
      <w:r>
        <w:rPr>
          <w:b/>
        </w:rPr>
        <w:t>L'éjaculation rétrograde</w:t>
      </w:r>
      <w:r>
        <w:t xml:space="preserve"> (sperme qui remonte dans la vessie au lieu de sortir) est un effet fréquent et bénin — ne pas s'inquiéter. </w:t>
      </w:r>
      <w:r>
        <w:rPr>
          <w:b/>
        </w:rPr>
        <w:t>Ne pas associer avec d'autres médicaments de la prostate du même type</w:t>
      </w:r>
      <w:r>
        <w:t xml:space="preserve"> ni avec des traitements de la dysfonction érectile sans avis médical. »</w:t>
      </w:r>
    </w:p>
    <w:p>
      <w:pPr>
        <w:pStyle w:val="ListBullet"/>
      </w:pPr>
      <w:r>
        <w:t xml:space="preserve">Mode d'utilisation pratique : (i) avaler la gélule entière avec un grand verre d'eau </w:t>
      </w:r>
      <w:r>
        <w:rPr>
          <w:b/>
        </w:rPr>
        <w:t>après le petit-déjeuner</w:t>
      </w:r>
      <w:r>
        <w:t xml:space="preserve"> (ou le repas du matin) ; (ii) à heure fixe pour optimiser l'observance ; (iii) en cas d'oubli, ne pas doubler la dose suivante — prendre la dose suivante à l'heure habituelle ; (iv) si le patient ne peut avaler la gélule : ouvrir la gélule, saupoudrer les microgranules sur une cuillère à soupe de compote froide ou de yaourt, avaler immédiatement sans croquer ; (v) ne pas arrêter brutalement sans avis médical ; (vi) consultation de contrôle à 1 mois (tolérance), 3 mois (efficacité — IPSS, débitmétrie), puis annuelle (réévaluation urologique complète avec PSA) ; (vii) en cas de chirurgie de la cataracte programmée, informer le chirurgien </w:t>
      </w:r>
      <w:r>
        <w:rPr>
          <w:b/>
        </w:rPr>
        <w:t>à la consultation pré-opératoire</w:t>
      </w:r>
      <w:r>
        <w:t xml:space="preserve"> (au moins 2-4 semaines avant) — l'attitude vis-à-vis de l'arrêt du traitement est à discuter au cas par cas.</w:t>
      </w:r>
    </w:p>
    <w:p>
      <w:r/>
      <w:r>
        <w:rPr>
          <w:b/>
        </w:rPr>
        <w:t>Notes, Règles d'Or &amp; Pièges au Comptoir :</w:t>
      </w:r>
      <w:r/>
    </w:p>
    <w:p>
      <w:pPr>
        <w:pStyle w:val="ListBullet"/>
      </w:pPr>
      <w:r>
        <w:t xml:space="preserve">Piège classique : (i) </w:t>
      </w:r>
      <w:r>
        <w:rPr>
          <w:b/>
        </w:rPr>
        <w:t>oubli de l'information sur l'IFIS</w:t>
      </w:r>
      <w:r>
        <w:t xml:space="preserve"> — c'est le piège majeur de la tamsulosine. Le pharmacien doit </w:t>
      </w:r>
      <w:r>
        <w:rPr>
          <w:b/>
        </w:rPr>
        <w:t>systématiquement</w:t>
      </w:r>
      <w:r>
        <w:t xml:space="preserve"> informer le patient (et idéalement remettre un document écrit) du risque d'IFIS en cas de chirurgie de la cataracte, et lui recommander d'en informer son ophtalmologiste. Cet oubli peut avoir des conséquences chirurgicales graves (rupture capsulaire, perte de vitré, baisse définitive de l'acuité visuelle) ; (ii) </w:t>
      </w:r>
      <w:r>
        <w:rPr>
          <w:b/>
        </w:rPr>
        <w:t>patient sous iPDE5 pour dysfonction érectile</w:t>
      </w:r>
      <w:r>
        <w:t xml:space="preserve"> (sildénafil, tadalafil — voir Chapitre 72) — vérifier la prescription et informer du risque d'hypotension additive (même si moindre qu'avec la doxazosine) ; (iii) </w:t>
      </w:r>
      <w:r>
        <w:rPr>
          <w:b/>
        </w:rPr>
        <w:t>patient allergique aux sulfamides</w:t>
      </w:r>
      <w:r>
        <w:t xml:space="preserve"> — la tamsulosine est un dérivé sulfonamide, mais l'allergie croisée avec les sulfamides antibactériens est rare et controversée ; néanmoins, prudence accrue chez les patients ayant un antécédent de syndrome de Stevens-Johnson / syndrome de Lyell sous sulfamide ; (iv) </w:t>
      </w:r>
      <w:r>
        <w:rPr>
          <w:b/>
        </w:rPr>
        <w:t>interprétation du PSA</w:t>
      </w:r>
      <w:r>
        <w:t xml:space="preserve"> — non modifiée par la tamsulosine (à la différence du finastéride) ; (v) </w:t>
      </w:r>
      <w:r>
        <w:rPr>
          <w:b/>
        </w:rPr>
        <w:t>oubli de la prise alimentaire</w:t>
      </w:r>
      <w:r>
        <w:t xml:space="preserve"> — la prise à jeun augmente la Cmax et majore le risque d'EI ; (vi) </w:t>
      </w:r>
      <w:r>
        <w:rPr>
          <w:b/>
        </w:rPr>
        <w:t>dose de 0,8 mg/jour</w:t>
      </w:r>
      <w:r>
        <w:t xml:space="preserve"> — à ne pas initier en 1re intention (réserve urologique, EI majorés) ; (vii) </w:t>
      </w:r>
      <w:r>
        <w:rPr>
          <w:b/>
        </w:rPr>
        <w:t>substitution entre génériques</w:t>
      </w:r>
      <w:r>
        <w:t xml:space="preserve"> : possible entre les 12 marques algériennes, mais vérifier la forme galénique (microgranules en gélule vs comprimé pelliculé LP) — préserver la même forme pour éviter les variations d'absorption.</w:t>
      </w:r>
    </w:p>
    <w:p>
      <w:pPr>
        <w:pStyle w:val="ListBullet"/>
      </w:pPr>
      <w:r>
        <w:t xml:space="preserve">Règle de prise : </w:t>
      </w:r>
      <w:r>
        <w:rPr>
          <w:b/>
        </w:rPr>
        <w:t>1 gélule LP 0,4 mg/jour après le petit-déjeuner, à heure fixe, gélule entière non croquée, au long cours, avec information systématique sur l'IFIS en cas de chirurgie de la cataracte</w:t>
      </w:r>
      <w:r>
        <w:t>.</w:t>
      </w:r>
    </w:p>
    <w:p>
      <w:pPr>
        <w:pStyle w:val="ListBullet"/>
      </w:pPr>
      <w:r>
        <w:t>Préparation et Conservation : conserver à température inférieure à 25°C, à l'abri de l'humidité et de la lumière, dans l'emballage d'origine. Durée de validité : 24-36 mois selon le fabricant. Tenir hors de portée des enfants.</w:t>
      </w:r>
    </w:p>
    <w:p>
      <w:pPr>
        <w:pStyle w:val="ListBullet"/>
      </w:pPr>
      <w:r>
        <w:t xml:space="preserve">Piège du surdosage / Substitution : (i) </w:t>
      </w:r>
      <w:r>
        <w:rPr>
          <w:b/>
        </w:rPr>
        <w:t>surdosage</w:t>
      </w:r>
      <w:r>
        <w:t xml:space="preserve"> : hypotension sévère — traitement symptomatique (remplissage volémique, vasopresseurs — privilégier la noradrénaline, éviter l'épinéphrine) ; (ii) </w:t>
      </w:r>
      <w:r>
        <w:rPr>
          <w:b/>
        </w:rPr>
        <w:t>substitution tamsulosine ↔ alfuzosine</w:t>
      </w:r>
      <w:r>
        <w:t xml:space="preserve"> possible à dose équivalente (tamsulosine 0,4 mg LP ≈ alfuzosine 10 mg LP) en respectant un blanc thérapeutique de 24 h ; (iii) ne jamais substituer par la doxazosine sans titration (risque d'hypotension de 1re dose) ; (iv) attention aux </w:t>
      </w:r>
      <w:r>
        <w:rPr>
          <w:b/>
        </w:rPr>
        <w:t>présentations à 0,4 mg</w:t>
      </w:r>
      <w:r>
        <w:t xml:space="preserve"> vs </w:t>
      </w:r>
      <w:r>
        <w:rPr>
          <w:b/>
        </w:rPr>
        <w:t>0,4 mg LP</w:t>
      </w:r>
      <w:r>
        <w:t xml:space="preserve"> : toujours vérifier que la forme LP est délivrée (la tamsulosine immédiate n'existe plus commercialement en Algérie, mais l'importance de la mention « LP » sur la prescription est cruciale).</w:t>
      </w:r>
    </w:p>
    <w:p>
      <w:pPr>
        <w:pStyle w:val="Heading2"/>
      </w:pPr>
      <w:r>
        <w:t>4. Introduction à la sous-classe des alpha-bloquants non sélectifs (doxazosine)</w:t>
      </w:r>
    </w:p>
    <w:p>
      <w:pPr>
        <w:pStyle w:val="Heading3"/>
      </w:pPr>
      <w:r>
        <w:t>Définition pharmacologique</w:t>
      </w:r>
    </w:p>
    <w:p>
      <w:r>
        <w:t xml:space="preserve">Les </w:t>
      </w:r>
      <w:r>
        <w:rPr>
          <w:b/>
        </w:rPr>
        <w:t>alpha-bloquants non sélectifs</w:t>
      </w:r>
      <w:r>
        <w:t xml:space="preserve"> sont des antagonistes des récepteurs α1-adrénergiques qui présentent une </w:t>
      </w:r>
      <w:r>
        <w:rPr>
          <w:b/>
        </w:rPr>
        <w:t>affinité comparable</w:t>
      </w:r>
      <w:r>
        <w:t xml:space="preserve"> pour les trois sous-types </w:t>
      </w:r>
      <w:r>
        <w:rPr>
          <w:b/>
        </w:rPr>
        <w:t>α1A, α1B et α1D</w:t>
      </w:r>
      <w:r>
        <w:t xml:space="preserve"> — ils ne possèdent pas la sélectivité α1A qui caractérise les urosélectifs modernes (alfuzosine, tamsulosine). Cette absence de sélectivité a deux conséquences cliniques majeures : (i) un effet thérapeutique prostatique équivalent aux urosélectifs (par blocage α1A prostatique), mais (ii) un effet </w:t>
      </w:r>
      <w:r>
        <w:rPr>
          <w:b/>
        </w:rPr>
        <w:t>vasodilatateur artériel et veineux systémique</w:t>
      </w:r>
      <w:r>
        <w:t xml:space="preserve"> marqué par blocage α1B vasculaire, responsable d'une </w:t>
      </w:r>
      <w:r>
        <w:rPr>
          <w:b/>
        </w:rPr>
        <w:t>incidence élevée d'hypotension orthostatique</w:t>
      </w:r>
      <w:r>
        <w:t xml:space="preserve"> et de l'</w:t>
      </w:r>
      <w:r>
        <w:rPr>
          <w:b/>
        </w:rPr>
        <w:t>effet de 1re dose</w:t>
      </w:r>
      <w:r>
        <w:t xml:space="preserve"> (syncope, malaise, vertiges à la première prise). Cette classe — représentée en Algérie par la </w:t>
      </w:r>
      <w:r>
        <w:rPr>
          <w:b/>
        </w:rPr>
        <w:t>doxazosine</w:t>
      </w:r>
      <w:r>
        <w:t xml:space="preserve">, et historiquement par la prazosine et la térazosine (non commercialisées ou retirées) — a été développée initialement comme </w:t>
      </w:r>
      <w:r>
        <w:rPr>
          <w:b/>
        </w:rPr>
        <w:t>antihypertenseur</w:t>
      </w:r>
      <w:r>
        <w:t xml:space="preserve"> (avant la démonstration de son efficacité dans la HBP), puis progressivement supplantée par les urosélectifs dans l'indication prostatique en raison de leur meilleure tolérance cardiovasculaire.</w:t>
      </w:r>
    </w:p>
    <w:p>
      <w:pPr>
        <w:pStyle w:val="Heading3"/>
      </w:pPr>
      <w:r>
        <w:t>Positionnement de la doxazosine dans l'arbre décisionnel de la HBP</w:t>
      </w:r>
    </w:p>
    <w:p>
      <w:r>
        <w:t xml:space="preserve">Selon les recommandations EAU 2024, la </w:t>
      </w:r>
      <w:r>
        <w:rPr>
          <w:b/>
        </w:rPr>
        <w:t>doxazosine</w:t>
      </w:r>
      <w:r>
        <w:t xml:space="preserve"> conserve une place dans l'arsenal thérapeutique de la HBP, mais elle est désormais </w:t>
      </w:r>
      <w:r>
        <w:rPr>
          <w:b/>
        </w:rPr>
        <w:t>reléguée en seconde ligne</w:t>
      </w:r>
      <w:r>
        <w:t xml:space="preserve"> derrière les urosélectifs (alfuzosine, tamsulosine) en raison de son profil de tolérance moins favorable. Elle reste pertinente dans les situations spécifiques suivantes : (i) </w:t>
      </w:r>
      <w:r>
        <w:rPr>
          <w:b/>
        </w:rPr>
        <w:t>patient présentant une HBP + HTA associée</w:t>
      </w:r>
      <w:r>
        <w:t xml:space="preserve"> — la doxazosine peut traiter les deux pathologies simultanément (effet antihypertenseur additif), permettant de réduire le nombre de médicaments (avantage d'observance chez le sujet âgé polypathologique) ; (ii) </w:t>
      </w:r>
      <w:r>
        <w:rPr>
          <w:b/>
        </w:rPr>
        <w:t>patient avec intolérance ou contre-indication aux urosélectifs</w:t>
      </w:r>
      <w:r>
        <w:t xml:space="preserve"> (IFIS récidivant sous tamsulosine avec chirurgie de cataracte itérative, éjaculation rétrograde mal tolérée) ; (iii) </w:t>
      </w:r>
      <w:r>
        <w:rPr>
          <w:b/>
        </w:rPr>
        <w:t>alternative en cas d'échec des urosélectifs</w:t>
      </w:r>
      <w:r>
        <w:t xml:space="preserve"> (rare). Hors HBP, la doxazosine conserve une AMM dans le traitement de l'</w:t>
      </w:r>
      <w:r>
        <w:rPr>
          <w:b/>
        </w:rPr>
        <w:t>hypertension artérielle essentielle</w:t>
      </w:r>
      <w:r>
        <w:t xml:space="preserve"> (en association ou en seconde intention), et a été évaluée dans l'</w:t>
      </w:r>
      <w:r>
        <w:rPr>
          <w:b/>
        </w:rPr>
        <w:t>insuffisance cardiaque chronique</w:t>
      </w:r>
      <w:r>
        <w:t xml:space="preserve"> (étude ALLHAT 2000 — abandonnée en raison d'une augmentation de l'incidence de l'insuffisance cardiaque par comparaison au chlorthalidone, mais sans surmortalité).</w:t>
      </w:r>
    </w:p>
    <w:p>
      <w:pPr>
        <w:pStyle w:val="Heading3"/>
      </w:pPr>
      <w:r>
        <w:t>Le piège majeur : la titration obligatoire et l'effet de 1re dose</w:t>
      </w:r>
    </w:p>
    <w:p>
      <w:r>
        <w:t xml:space="preserve">L'effet de </w:t>
      </w:r>
      <w:r>
        <w:rPr>
          <w:b/>
        </w:rPr>
        <w:t>1re dose</w:t>
      </w:r>
      <w:r>
        <w:t xml:space="preserve"> est la signature pharmacologique des alpha-bloquants non sélectifs : la première prise — notamment à dose pleine — provoque une </w:t>
      </w:r>
      <w:r>
        <w:rPr>
          <w:b/>
        </w:rPr>
        <w:t>vasodilatation artérielle et veineuse brutale</w:t>
      </w:r>
      <w:r>
        <w:t xml:space="preserve"> (par blocage α1B vasculaire sans compensation baroreflexe immédiate), entraînant une </w:t>
      </w:r>
      <w:r>
        <w:rPr>
          <w:b/>
        </w:rPr>
        <w:t>chute tensionnelle</w:t>
      </w:r>
      <w:r>
        <w:t xml:space="preserve"> pouvant aller jusqu'à la </w:t>
      </w:r>
      <w:r>
        <w:rPr>
          <w:b/>
        </w:rPr>
        <w:t>syncope</w:t>
      </w:r>
      <w:r>
        <w:t xml:space="preserve">. Cet effet impose un </w:t>
      </w:r>
      <w:r>
        <w:rPr>
          <w:b/>
        </w:rPr>
        <w:t>schéma de titration stricte</w:t>
      </w:r>
      <w:r>
        <w:t xml:space="preserve"> :</w:t>
      </w:r>
    </w:p>
    <w:p>
      <w:pPr>
        <w:pStyle w:val="ListBullet"/>
      </w:pPr>
      <w:r/>
      <w:r>
        <w:rPr>
          <w:b/>
        </w:rPr>
        <w:t>Semaine 1</w:t>
      </w:r>
      <w:r>
        <w:t xml:space="preserve"> : 1 mg/jour (dose initiale minimale).</w:t>
      </w:r>
    </w:p>
    <w:p>
      <w:pPr>
        <w:pStyle w:val="ListBullet"/>
      </w:pPr>
      <w:r/>
      <w:r>
        <w:rPr>
          <w:b/>
        </w:rPr>
        <w:t>Semaine 2</w:t>
      </w:r>
      <w:r>
        <w:t xml:space="preserve"> : 2 mg/jour (si bonne tolérance).</w:t>
      </w:r>
    </w:p>
    <w:p>
      <w:pPr>
        <w:pStyle w:val="ListBullet"/>
      </w:pPr>
      <w:r/>
      <w:r>
        <w:rPr>
          <w:b/>
        </w:rPr>
        <w:t>Semaines 3-4</w:t>
      </w:r>
      <w:r>
        <w:t xml:space="preserve"> : 4 mg/jour (dose d'entretien habituelle pour HBP).</w:t>
      </w:r>
    </w:p>
    <w:p>
      <w:pPr>
        <w:pStyle w:val="ListBullet"/>
      </w:pPr>
      <w:r/>
      <w:r>
        <w:rPr>
          <w:b/>
        </w:rPr>
        <w:t>Éventuellement</w:t>
      </w:r>
      <w:r>
        <w:t xml:space="preserve"> : 8 mg/jour (dose maximale pour HBP sévère).</w:t>
      </w:r>
    </w:p>
    <w:p>
      <w:r>
        <w:t xml:space="preserve">Chaque palier doit être respecté, et la </w:t>
      </w:r>
      <w:r>
        <w:rPr>
          <w:b/>
        </w:rPr>
        <w:t>1re prise de chaque palier doit se faire au coucher</w:t>
      </w:r>
      <w:r>
        <w:t xml:space="preserve"> pour minimiser le risque d'hypotension orthostatique (le patient est en position allongée, ce qui évite la chute tensionnelle à l'orthostatisme). Cette titration est fastidieuse et constitue un obstacle majeur à l'observance — d'où la préférence moderne pour les urosélectifs qui n'imposent pas de titration.</w:t>
      </w:r>
    </w:p>
    <w:p>
      <w:pPr>
        <w:pStyle w:val="Heading3"/>
      </w:pPr>
      <w:r>
        <w:t>La formulation à libération prolongée (LP) — une réponse galénique au problème de titration</w:t>
      </w:r>
    </w:p>
    <w:p>
      <w:r>
        <w:t xml:space="preserve">Pour surmonter le problème de l'effet de 1re dose, les laboratoires Pfizer ont développé une </w:t>
      </w:r>
      <w:r>
        <w:rPr>
          <w:b/>
        </w:rPr>
        <w:t>formulation à libération prolongée (LP)</w:t>
      </w:r>
      <w:r>
        <w:t xml:space="preserve"> de la doxazosine mésylate (Cardura XL® / ZOXAN LP en Algérie), permettant une </w:t>
      </w:r>
      <w:r>
        <w:rPr>
          <w:b/>
        </w:rPr>
        <w:t>dose unique quotidienne de 4 mg ou 8 mg sans titration préalable</w:t>
      </w:r>
      <w:r>
        <w:t xml:space="preserve">. La matrice gastro-rétentive (technologie GITS — </w:t>
      </w:r>
      <w:r>
        <w:rPr>
          <w:i/>
        </w:rPr>
        <w:t>Gastrointestinal Therapeutic System</w:t>
      </w:r>
      <w:r>
        <w:t xml:space="preserve">) du comprimé LP libère la doxazosine de manière contrôlée sur 24 h, évitant les pics de concentration plasmatique responsables de l'hypotension de 1re dose. Cette formulation a démontré une </w:t>
      </w:r>
      <w:r>
        <w:rPr>
          <w:b/>
        </w:rPr>
        <w:t>équivalence d'efficacité</w:t>
      </w:r>
      <w:r>
        <w:t xml:space="preserve"> sur les SBAU de la HBP avec la forme immédiate, avec une </w:t>
      </w:r>
      <w:r>
        <w:rPr>
          <w:b/>
        </w:rPr>
        <w:t>meilleure tolérance cardiovasculaire</w:t>
      </w:r>
      <w:r>
        <w:t xml:space="preserve"> (incidence d'hypotension orthostatique similaire au placebo). Néanmoins, la prudence reste de mise à l'initiation (1re prise au coucher recommandée par certains RCP, en particulier chez le sujet âgé ou sous antihypertenseurs).</w:t>
      </w:r>
    </w:p>
    <w:p>
      <w:pPr>
        <w:pStyle w:val="Heading3"/>
      </w:pPr>
      <w:r>
        <w:t>Particularités algériennes</w:t>
      </w:r>
    </w:p>
    <w:p>
      <w:r>
        <w:t>La doxazosine est disponible en Algérie sous de nombreuses marques (Cardura princeps retiré, DOXALAR, CARDULAR, CARDOX, DOXACARD, DOXAZOSINE BEKER, ZODURA) aux dosages 1 mg, 2 mg et 4 mg (comprimés sécables immédiats), ainsi qu'en forme LP 4 mg et 8 mg (DOXALAR LP, DOXAMEX LP, ZOXAN LP). Cette diversité reflète la maturité générique de la molécule (brevet Pfizer tombé depuis 2000) et la disponibilité de la formulation LP (qui a pour avantage majeur de supprimer la titration).</w:t>
      </w:r>
    </w:p>
    <w:p>
      <w:pPr>
        <w:pStyle w:val="Heading2"/>
      </w:pPr>
      <w:r>
        <w:t>5. Fiche DCI — Alpha-bloquant non sélectif</w:t>
      </w:r>
    </w:p>
    <w:p>
      <w:pPr>
        <w:pStyle w:val="Heading3"/>
      </w:pPr>
      <w:r>
        <w:t>3. DCI : Doxazosine (Seule)</w:t>
      </w:r>
    </w:p>
    <w:p>
      <w:r/>
      <w:r>
        <w:rPr>
          <w:b/>
        </w:rPr>
        <w:t>Liste des Catégories :</w:t>
      </w:r>
      <w:r>
        <w:t xml:space="preserve"> Alpha-bloquant non sélectif — Antagoniste des récepteurs α1-adrénergiques (α1A, α1B, α1D) — Traitement de l'hypertension artérielle et des SBAU liés à l'HBP — Liste I — Comprimés sécables immédiats et comprimés à libération prolongée (LP) — Délivrance sur ordonnance.</w:t>
      </w:r>
    </w:p>
    <w:p>
      <w:r>
        <w:t xml:space="preserve">La </w:t>
      </w:r>
      <w:r>
        <w:rPr>
          <w:b/>
        </w:rPr>
        <w:t>doxazosine</w:t>
      </w:r>
      <w:r>
        <w:t xml:space="preserve"> est un dérivé </w:t>
      </w:r>
      <w:r>
        <w:rPr>
          <w:b/>
        </w:rPr>
        <w:t>quinazolinique</w:t>
      </w:r>
      <w:r>
        <w:t xml:space="preserve"> (famille structurale commune avec la prazosine, la térazosine et l'alfuzosine), commercialisée initialement sous le nom de </w:t>
      </w:r>
      <w:r>
        <w:rPr>
          <w:b/>
        </w:rPr>
        <w:t>Cardura®</w:t>
      </w:r>
      <w:r>
        <w:t xml:space="preserve"> par Pfizer dans les années 1980, puis tombée dans le domaine générique à partir de 2000. La doxazosine a pour particularité d'être un </w:t>
      </w:r>
      <w:r>
        <w:rPr>
          <w:b/>
        </w:rPr>
        <w:t>alpha-bloquant non sélectif</w:t>
      </w:r>
      <w:r>
        <w:t xml:space="preserve"> : son affinité est comparable pour les trois sous-types α1A, α1B et α1D (rapports d'affinité proches de 1:1:1). Cette absence de sélectivité explique : (i) son </w:t>
      </w:r>
      <w:r>
        <w:rPr>
          <w:b/>
        </w:rPr>
        <w:t>efficacité thérapeutique</w:t>
      </w:r>
      <w:r>
        <w:t xml:space="preserve"> à la fois sur la composante dynamique prostatique (blocage α1A), la composante vasculaire (blocage α1B → vasodilatation → effet antihypertenseur), et la composante vésicale irritative (blocage α1D), mais aussi (ii) son </w:t>
      </w:r>
      <w:r>
        <w:rPr>
          <w:b/>
        </w:rPr>
        <w:t>profil d'EI cardiovasculaire</w:t>
      </w:r>
      <w:r>
        <w:t xml:space="preserve"> marqué par l'hypotension orthostatique, l'effet de 1re dose, les vertiges et les syncopes. La doxazosine a été initialement développée et commercialisée comme </w:t>
      </w:r>
      <w:r>
        <w:rPr>
          <w:b/>
        </w:rPr>
        <w:t>antihypertenseur</w:t>
      </w:r>
      <w:r>
        <w:t xml:space="preserve"> (avant la démonstration de son efficacité dans la HBP), puis son indication a été étendue aux SBAU de la HBP. L'étude </w:t>
      </w:r>
      <w:r>
        <w:rPr>
          <w:b/>
        </w:rPr>
        <w:t>ALLHAT (Antihypertensive and Lipid-Lowering Treatment to Prevent Heart Attack Trial, 2000)</w:t>
      </w:r>
      <w:r>
        <w:t xml:space="preserve"> a tempéré son utilisation comme antihypertenseur de première intention en montrant une incidence accrue d'insuffisance cardiaque (38 % de risque relatif supérieur vs chlorthalidone) — la doxazosine est désormais recommandée en </w:t>
      </w:r>
      <w:r>
        <w:rPr>
          <w:b/>
        </w:rPr>
        <w:t>seconde intention</w:t>
      </w:r>
      <w:r>
        <w:t xml:space="preserve"> ou en association dans l'HTA. Dans la HBP, elle a été </w:t>
      </w:r>
      <w:r>
        <w:rPr>
          <w:b/>
        </w:rPr>
        <w:t>supplantée en première intention</w:t>
      </w:r>
      <w:r>
        <w:t xml:space="preserve"> par les urosélectifs (alfuzosine, tamsulosine) en raison de la titration fastidieuse et du profil d'EI. La formulation </w:t>
      </w:r>
      <w:r>
        <w:rPr>
          <w:b/>
        </w:rPr>
        <w:t>LP 4 mg et 8 mg</w:t>
      </w:r>
      <w:r>
        <w:t xml:space="preserve"> (Cardura XL® princeps retiré, DOXALAR LP, DOXAMEX LP, ZOXAN LP actifs) a permis de s'affranchir de la titration et de simplifier la posologie.</w:t>
      </w:r>
    </w:p>
    <w:p>
      <w:r/>
      <w:r>
        <w:rPr>
          <w:b/>
        </w:rPr>
        <w:t>Médicaments disponibles en Algérie (Marques, Laboratoires, Formes et Dosages) :</w:t>
      </w:r>
      <w:r/>
    </w:p>
    <w:p>
      <w:r>
        <w:t>Formes immédiates (comprimés sécables) :</w:t>
      </w:r>
    </w:p>
    <w:p>
      <w:pPr>
        <w:pStyle w:val="ListBullet"/>
      </w:pPr>
      <w:r/>
      <w:r>
        <w:rPr>
          <w:b/>
        </w:rPr>
        <w:t>DOXALAR</w:t>
      </w:r>
      <w:r>
        <w:t xml:space="preserve"> (FRATER-RAZES FORME SECHE)</w:t>
      </w:r>
    </w:p>
    <w:p>
      <w:pPr>
        <w:pStyle w:val="ListBullet"/>
      </w:pPr>
      <w:r>
        <w:t>Formes et Dosages : Comprimé 1 mg — Boîte de 30 ; Comprimé 2 mg — Boîte de 30.</w:t>
      </w:r>
    </w:p>
    <w:p>
      <w:pPr>
        <w:pStyle w:val="ListBullet"/>
      </w:pPr>
      <w:r>
        <w:t>Statut : Actif (LISTE I).</w:t>
      </w:r>
    </w:p>
    <w:p>
      <w:pPr>
        <w:pStyle w:val="ListBullet"/>
      </w:pPr>
      <w:r/>
      <w:r>
        <w:rPr>
          <w:b/>
        </w:rPr>
        <w:t>CARDOX</w:t>
      </w:r>
      <w:r>
        <w:t xml:space="preserve"> (HIKMA PHARMA ALGERIA)</w:t>
      </w:r>
    </w:p>
    <w:p>
      <w:pPr>
        <w:pStyle w:val="ListBullet"/>
      </w:pPr>
      <w:r>
        <w:t>Formes et Dosages : Comprimé sécable 2 mg — Boîte de 30.</w:t>
      </w:r>
    </w:p>
    <w:p>
      <w:pPr>
        <w:pStyle w:val="ListBullet"/>
      </w:pPr>
      <w:r>
        <w:t>Statut : Actif (LISTE I).</w:t>
      </w:r>
    </w:p>
    <w:p>
      <w:pPr>
        <w:pStyle w:val="ListBullet"/>
      </w:pPr>
      <w:r/>
      <w:r>
        <w:rPr>
          <w:b/>
        </w:rPr>
        <w:t>CARDULAR</w:t>
      </w:r>
      <w:r>
        <w:t xml:space="preserve"> (UPJOHN SAIDAL PHARMA)</w:t>
      </w:r>
    </w:p>
    <w:p>
      <w:pPr>
        <w:pStyle w:val="ListBullet"/>
      </w:pPr>
      <w:r>
        <w:t>Formes et Dosages : Comprimé sécable 2 mg — Boîte de 20.</w:t>
      </w:r>
    </w:p>
    <w:p>
      <w:pPr>
        <w:pStyle w:val="ListBullet"/>
      </w:pPr>
      <w:r>
        <w:t>Statut : Actif (LISTE I).</w:t>
      </w:r>
    </w:p>
    <w:p>
      <w:pPr>
        <w:pStyle w:val="ListBullet"/>
      </w:pPr>
      <w:r/>
      <w:r>
        <w:rPr>
          <w:b/>
        </w:rPr>
        <w:t>DOXACARD</w:t>
      </w:r>
      <w:r>
        <w:t xml:space="preserve"> (NOVAPHARM TRADING)</w:t>
      </w:r>
    </w:p>
    <w:p>
      <w:pPr>
        <w:pStyle w:val="ListBullet"/>
      </w:pPr>
      <w:r>
        <w:t>Formes et Dosages : Comprimé sécable 2 mg — Boîte de 20.</w:t>
      </w:r>
    </w:p>
    <w:p>
      <w:pPr>
        <w:pStyle w:val="ListBullet"/>
      </w:pPr>
      <w:r>
        <w:t>Statut : Actif (LISTE I).</w:t>
      </w:r>
    </w:p>
    <w:p>
      <w:pPr>
        <w:pStyle w:val="ListBullet"/>
      </w:pPr>
      <w:r/>
      <w:r>
        <w:rPr>
          <w:b/>
        </w:rPr>
        <w:t>DOXAZOSINE BEKER</w:t>
      </w:r>
      <w:r>
        <w:t xml:space="preserve"> (LABORATOIRES BEKER)</w:t>
      </w:r>
    </w:p>
    <w:p>
      <w:pPr>
        <w:pStyle w:val="ListBullet"/>
      </w:pPr>
      <w:r>
        <w:t>Formes et Dosages : Comprimé sécable 2 mg — Boîte de 30 ; Comprimé 4 mg — Boîte de 30.</w:t>
      </w:r>
    </w:p>
    <w:p>
      <w:pPr>
        <w:pStyle w:val="ListBullet"/>
      </w:pPr>
      <w:r>
        <w:t>Statut : Actif (LISTE I).</w:t>
      </w:r>
    </w:p>
    <w:p>
      <w:pPr>
        <w:pStyle w:val="ListBullet"/>
      </w:pPr>
      <w:r/>
      <w:r>
        <w:rPr>
          <w:b/>
        </w:rPr>
        <w:t>ZODURA</w:t>
      </w:r>
      <w:r>
        <w:t xml:space="preserve"> (EL KENDI INDUSTRIE DU MEDICAMENT)</w:t>
      </w:r>
    </w:p>
    <w:p>
      <w:pPr>
        <w:pStyle w:val="ListBullet"/>
      </w:pPr>
      <w:r>
        <w:t>Formes et Dosages : Comprimé 2 mg — Boîte de 20.</w:t>
      </w:r>
    </w:p>
    <w:p>
      <w:pPr>
        <w:pStyle w:val="ListBullet"/>
      </w:pPr>
      <w:r>
        <w:t>Statut : Actif (LISTE I).</w:t>
      </w:r>
    </w:p>
    <w:p>
      <w:r>
        <w:t>Formes à libération prolongée (LP) :</w:t>
      </w:r>
    </w:p>
    <w:p>
      <w:pPr>
        <w:pStyle w:val="ListBullet"/>
      </w:pPr>
      <w:r/>
      <w:r>
        <w:rPr>
          <w:b/>
        </w:rPr>
        <w:t>DOXALAR LP</w:t>
      </w:r>
      <w:r>
        <w:t xml:space="preserve"> (FRATER-RAZES FORME SECHE)</w:t>
      </w:r>
    </w:p>
    <w:p>
      <w:pPr>
        <w:pStyle w:val="ListBullet"/>
      </w:pPr>
      <w:r>
        <w:t>Formes et Dosages : Comprimé à libération prolongée 4 mg — Boîte de 30.</w:t>
      </w:r>
    </w:p>
    <w:p>
      <w:pPr>
        <w:pStyle w:val="ListBullet"/>
      </w:pPr>
      <w:r>
        <w:t>Statut : Actif (LISTE I).</w:t>
      </w:r>
    </w:p>
    <w:p>
      <w:pPr>
        <w:pStyle w:val="ListBullet"/>
      </w:pPr>
      <w:r/>
      <w:r>
        <w:rPr>
          <w:b/>
        </w:rPr>
        <w:t>DOXAMEX LP</w:t>
      </w:r>
      <w:r>
        <w:t xml:space="preserve"> (KPMA BIOTIC)</w:t>
      </w:r>
    </w:p>
    <w:p>
      <w:pPr>
        <w:pStyle w:val="ListBullet"/>
      </w:pPr>
      <w:r>
        <w:t>Formes et Dosages : Comprimé à libération prolongée 4 mg — Boîte de 20.</w:t>
      </w:r>
    </w:p>
    <w:p>
      <w:pPr>
        <w:pStyle w:val="ListBullet"/>
      </w:pPr>
      <w:r>
        <w:t>Statut : Actif (LISTE I).</w:t>
      </w:r>
    </w:p>
    <w:p>
      <w:pPr>
        <w:pStyle w:val="ListBullet"/>
      </w:pPr>
      <w:r/>
      <w:r>
        <w:rPr>
          <w:b/>
        </w:rPr>
        <w:t>ZOXAN LP</w:t>
      </w:r>
      <w:r>
        <w:t xml:space="preserve"> (PFIZER HOLDING FRANCE)</w:t>
      </w:r>
    </w:p>
    <w:p>
      <w:pPr>
        <w:pStyle w:val="ListBullet"/>
      </w:pPr>
      <w:r>
        <w:t>Formes et Dosages : Comprimé à libération prolongée 4 mg — Boîte de 28 ; Comprimé à libération prolongée 8 mg — Boîte de 28.</w:t>
      </w:r>
    </w:p>
    <w:p>
      <w:pPr>
        <w:pStyle w:val="ListBullet"/>
      </w:pPr>
      <w:r>
        <w:t>Statut : Actif (LISTE I).</w:t>
      </w:r>
    </w:p>
    <w:p>
      <w:r>
        <w:t>Spécialités Non Renouvelables (stock épuisé, non renouvelé par le laboratoire) :</w:t>
      </w:r>
    </w:p>
    <w:p>
      <w:pPr>
        <w:pStyle w:val="ListBullet"/>
      </w:pPr>
      <w:r/>
      <w:r>
        <w:rPr>
          <w:b/>
        </w:rPr>
        <w:t>CARDULAR</w:t>
      </w:r>
      <w:r>
        <w:t xml:space="preserve"> (PFIZER) — Comprimé 1 mg — Boîte de 20 — Non Renouvelable.</w:t>
      </w:r>
    </w:p>
    <w:p>
      <w:pPr>
        <w:pStyle w:val="ListBullet"/>
      </w:pPr>
      <w:r/>
      <w:r>
        <w:rPr>
          <w:b/>
        </w:rPr>
        <w:t>CARDOX</w:t>
      </w:r>
      <w:r>
        <w:t xml:space="preserve"> (HIKMA PHARMACEUTICALS) — Comprimé 1 mg — Boîte de 30 — Non Renouvelable.</w:t>
      </w:r>
    </w:p>
    <w:p>
      <w:pPr>
        <w:pStyle w:val="ListBullet"/>
      </w:pPr>
      <w:r/>
      <w:r>
        <w:rPr>
          <w:b/>
        </w:rPr>
        <w:t>CARDULAR</w:t>
      </w:r>
      <w:r>
        <w:t xml:space="preserve"> (PFIZER) — Comprimé 4 mg — Boîte de 20 — Non Renouvelable.</w:t>
      </w:r>
    </w:p>
    <w:p>
      <w:pPr>
        <w:pStyle w:val="ListBullet"/>
      </w:pPr>
      <w:r/>
      <w:r>
        <w:rPr>
          <w:b/>
        </w:rPr>
        <w:t>CARDOX</w:t>
      </w:r>
      <w:r>
        <w:t xml:space="preserve"> (HIKMA PHARMACEUTICALS) — Comprimé 4 mg — Boîte de 30 — Non Renouvelable.</w:t>
      </w:r>
    </w:p>
    <w:p>
      <w:r>
        <w:t>Spécialités Retirées (R) du marché :</w:t>
      </w:r>
    </w:p>
    <w:p>
      <w:pPr>
        <w:pStyle w:val="ListBullet"/>
      </w:pPr>
      <w:r/>
      <w:r>
        <w:rPr>
          <w:b/>
        </w:rPr>
        <w:t>ZODURA</w:t>
      </w:r>
      <w:r>
        <w:t xml:space="preserve"> (LABORATOIRES EL KENDI INDUSTRIE DU MEDICAMENT SPA) — Comprimé 1 mg — Boîte de 20 — Retiré (R).</w:t>
      </w:r>
    </w:p>
    <w:p>
      <w:pPr>
        <w:pStyle w:val="ListBullet"/>
      </w:pPr>
      <w:r/>
      <w:r>
        <w:rPr>
          <w:b/>
        </w:rPr>
        <w:t>CARDULAR</w:t>
      </w:r>
      <w:r>
        <w:t xml:space="preserve"> (PFIZER) — Comprimé 1 mg — Boîte de 20 — Retiré (R).</w:t>
      </w:r>
    </w:p>
    <w:p>
      <w:pPr>
        <w:pStyle w:val="ListBullet"/>
      </w:pPr>
      <w:r/>
      <w:r>
        <w:rPr>
          <w:b/>
        </w:rPr>
        <w:t>DOXINE</w:t>
      </w:r>
      <w:r>
        <w:t xml:space="preserve"> (GEOPHARM) — Comprimé 2 mg — Boîte de 20 — Retiré (R).</w:t>
      </w:r>
    </w:p>
    <w:p>
      <w:pPr>
        <w:pStyle w:val="ListBullet"/>
      </w:pPr>
      <w:r/>
      <w:r>
        <w:rPr>
          <w:b/>
        </w:rPr>
        <w:t>ZODURA</w:t>
      </w:r>
      <w:r>
        <w:t xml:space="preserve"> (LABORATOIRES EL KENDI INDUSTRIE DU MEDICAMENT SPA) — Comprimé 4 mg — Boîte de 20 — Retiré (R).</w:t>
      </w:r>
    </w:p>
    <w:p>
      <w:r/>
      <w:r>
        <w:rPr>
          <w:b/>
        </w:rPr>
        <w:t>Sous-classe et Mécanisme d'action :</w:t>
      </w:r>
      <w:r/>
    </w:p>
    <w:p>
      <w:pPr>
        <w:pStyle w:val="ListBullet"/>
      </w:pPr>
      <w:r>
        <w:t xml:space="preserve">Sous-classe : </w:t>
      </w:r>
      <w:r>
        <w:rPr>
          <w:b/>
        </w:rPr>
        <w:t>Alpha-bloquant non sélectif</w:t>
      </w:r>
      <w:r>
        <w:t xml:space="preserve"> (quinazoline), indiqué en première intention historique de la HBP et de l'HTA, aujourd'hui relégué en seconde ligne dans la HBP derrière les urosélectifs (alfuzosine, tamsulosine) en raison du profil cardiovasculaire moins favorable. Reste pertinent en cas d'association HBP + HTA (effet dual) ou d'intolérance aux urosélectifs.</w:t>
      </w:r>
    </w:p>
    <w:p>
      <w:pPr>
        <w:pStyle w:val="ListBullet"/>
      </w:pPr>
      <w:r>
        <w:t xml:space="preserve">Mécanisme d'action : la doxazosine est un </w:t>
      </w:r>
      <w:r>
        <w:rPr>
          <w:b/>
        </w:rPr>
        <w:t>antagoniste compétitif</w:t>
      </w:r>
      <w:r>
        <w:t xml:space="preserve"> des récepteurs α1-adrénergiques avec une affinité </w:t>
      </w:r>
      <w:r>
        <w:rPr>
          <w:b/>
        </w:rPr>
        <w:t>comparable</w:t>
      </w:r>
      <w:r>
        <w:t xml:space="preserve"> pour les trois sous-types α1A, α1B et α1D. Le blocage des récepteurs </w:t>
      </w:r>
      <w:r>
        <w:rPr>
          <w:b/>
        </w:rPr>
        <w:t>α1A prostatiques et du col vésical</w:t>
      </w:r>
      <w:r>
        <w:t xml:space="preserve"> provoque la </w:t>
      </w:r>
      <w:r>
        <w:rPr>
          <w:b/>
        </w:rPr>
        <w:t>relaxation du muscle lisse prostatique et vésical</w:t>
      </w:r>
      <w:r>
        <w:t xml:space="preserve"> (effet thérapeutique sur la composante dynamique de l'obstruction — similaire à l'alfuzosine et à la tamsulosine). Le blocage des récepteurs </w:t>
      </w:r>
      <w:r>
        <w:rPr>
          <w:b/>
        </w:rPr>
        <w:t>α1B vasculaires</w:t>
      </w:r>
      <w:r>
        <w:t xml:space="preserve"> (artères et veines systémiques) provoque une </w:t>
      </w:r>
      <w:r>
        <w:rPr>
          <w:b/>
        </w:rPr>
        <w:t>vasodilatation artérielle et veineuse</w:t>
      </w:r>
      <w:r>
        <w:t xml:space="preserve"> responsable de l'</w:t>
      </w:r>
      <w:r>
        <w:rPr>
          <w:b/>
        </w:rPr>
        <w:t>effet antihypertenseur</w:t>
      </w:r>
      <w:r>
        <w:t xml:space="preserve"> (baisse des résistances vasculaires systémiques, baisse de la PA systolique et diastolique) et de l'</w:t>
      </w:r>
      <w:r>
        <w:rPr>
          <w:b/>
        </w:rPr>
        <w:t>hypotension orthostatique</w:t>
      </w:r>
      <w:r>
        <w:t xml:space="preserve"> (notamment à la 1re dose). Le blocage des récepteurs </w:t>
      </w:r>
      <w:r>
        <w:rPr>
          <w:b/>
        </w:rPr>
        <w:t>α1D vésicaux et médullaires</w:t>
      </w:r>
      <w:r>
        <w:t xml:space="preserve"> améliore la symptomatologie irritative. La doxazosine </w:t>
      </w:r>
      <w:r>
        <w:rPr>
          <w:b/>
        </w:rPr>
        <w:t>ne réduit pas le volume prostatique</w:t>
      </w:r>
      <w:r>
        <w:t xml:space="preserve"> (effet purement symptomatique). Le délai d'action est court : effet symptomatique dès la 1re semaine, effet maximal à 4-8 semaines. Effet antihypertenseur visible dès la 1re semaine (mais titration nécessaire pour atteindre la dose d'entretien). La doxazosine possède également un effet favorable sur le </w:t>
      </w:r>
      <w:r>
        <w:rPr>
          <w:b/>
        </w:rPr>
        <w:t>profil lipidique</w:t>
      </w:r>
      <w:r>
        <w:t xml:space="preserve"> (baisse modeste du LDL-cholestérol ~5 %, hausse modeste du HDL ~3 %) — effet historiquement mis en avant mais sans traduction clinique significative sur la morbidité cardiovasculaire.</w:t>
      </w:r>
    </w:p>
    <w:p>
      <w:r/>
      <w:r>
        <w:rPr>
          <w:b/>
        </w:rPr>
        <w:t>Profil Pharmacologique :</w:t>
      </w:r>
      <w:r/>
    </w:p>
    <w:p>
      <w:pPr>
        <w:pStyle w:val="ListBullet"/>
      </w:pPr>
      <w:r>
        <w:t xml:space="preserve">Indications : (i) </w:t>
      </w:r>
      <w:r>
        <w:rPr>
          <w:b/>
        </w:rPr>
        <w:t>Traitement des symptômes fonctionnels modérés à sévères de la HBP</w:t>
      </w:r>
      <w:r>
        <w:t xml:space="preserve"> chez l'homme adulte (IPSS ≥ 8) — en monothérapie pour prostate &lt; 30-40 mL, ou en association avec le finastéride pour prostate volumineuse ; (ii) </w:t>
      </w:r>
      <w:r>
        <w:rPr>
          <w:b/>
        </w:rPr>
        <w:t>traitement de l'hypertension artérielle essentielle</w:t>
      </w:r>
      <w:r>
        <w:t xml:space="preserve"> (en seconde intention ou en association — en raison du signal ALLHAT sur l'insuffisance cardiaque). La double indication HBP + HTA peut être exploitée chez le patient présentant les deux pathologies (un seul médicament pour deux indications — avantage d'observance).</w:t>
      </w:r>
    </w:p>
    <w:p>
      <w:pPr>
        <w:pStyle w:val="ListBullet"/>
      </w:pPr>
      <w:r>
        <w:t xml:space="preserve">Contre-indications : (i) </w:t>
      </w:r>
      <w:r>
        <w:rPr>
          <w:b/>
        </w:rPr>
        <w:t>hypersensibilité à la doxazosine</w:t>
      </w:r>
      <w:r>
        <w:t xml:space="preserve"> ou aux quinazolines ; (ii) </w:t>
      </w:r>
      <w:r>
        <w:rPr>
          <w:b/>
        </w:rPr>
        <w:t>hypotension orthostatique</w:t>
      </w:r>
      <w:r>
        <w:t xml:space="preserve"> documentée ou antécédents de syncope ; (iii) </w:t>
      </w:r>
      <w:r>
        <w:rPr>
          <w:b/>
        </w:rPr>
        <w:t>insuffisance hépatique sévère</w:t>
      </w:r>
      <w:r>
        <w:t xml:space="preserve"> (Child-Pugh C) ; (iv) </w:t>
      </w:r>
      <w:r>
        <w:rPr>
          <w:b/>
        </w:rPr>
        <w:t>association avec un autre alpha-bloquant</w:t>
      </w:r>
      <w:r>
        <w:t xml:space="preserve"> (CI absolue — hypotension additive) ; (v) </w:t>
      </w:r>
      <w:r>
        <w:rPr>
          <w:b/>
        </w:rPr>
        <w:t>anévrisme aortique</w:t>
      </w:r>
      <w:r>
        <w:t xml:space="preserve"> (théorique, par diminution de la pression de paroi) ; (vi) </w:t>
      </w:r>
      <w:r>
        <w:rPr>
          <w:b/>
        </w:rPr>
        <w:t>obstruction du tractus de sortie du ventricule gauche</w:t>
      </w:r>
      <w:r>
        <w:t xml:space="preserve"> (sténose aortique serrée, cardiomyopathie hypertrophique obstructive) — prudence ; (vii) </w:t>
      </w:r>
      <w:r>
        <w:rPr>
          <w:b/>
        </w:rPr>
        <w:t>formulation LP</w:t>
      </w:r>
      <w:r>
        <w:t xml:space="preserve"> : obstruction ou altération du transit gastro-intestinal (la formulation LP gastro-rétentive nécessite un estomac fonctionnel — CI en cas de gastroparésie sévère, syndrome de l'arc ligamentaire moyen, antécédent de chirurgie gastro-intestinale majeure).</w:t>
      </w:r>
    </w:p>
    <w:p>
      <w:pPr>
        <w:pStyle w:val="ListBullet"/>
      </w:pPr>
      <w:r>
        <w:t>Effets Indésirables :</w:t>
      </w:r>
    </w:p>
    <w:p>
      <w:pPr>
        <w:pStyle w:val="ListBullet"/>
      </w:pPr>
      <w:r/>
      <w:r>
        <w:rPr>
          <w:b/>
        </w:rPr>
        <w:t>Fréquents (≥ 1/100 à &lt; 1/10)</w:t>
      </w:r>
      <w:r>
        <w:t xml:space="preserve"> : </w:t>
      </w:r>
      <w:r>
        <w:rPr>
          <w:b/>
        </w:rPr>
        <w:t>hypotension orthostatique</w:t>
      </w:r>
      <w:r>
        <w:t xml:space="preserve"> (10-15 % — beaucoup plus fréquente qu'avec les urosélectifs), </w:t>
      </w:r>
      <w:r>
        <w:rPr>
          <w:b/>
        </w:rPr>
        <w:t>effet de 1re dose</w:t>
      </w:r>
      <w:r>
        <w:t xml:space="preserve"> (syncope ou malaise à la première prise — incidence 1-3 %, surtout chez le sujet âgé, déshydraté ou sous diurétiques), </w:t>
      </w:r>
      <w:r>
        <w:rPr>
          <w:b/>
        </w:rPr>
        <w:t>vertiges</w:t>
      </w:r>
      <w:r>
        <w:t xml:space="preserve"> (10-20 %), céphalées, asthénie, </w:t>
      </w:r>
      <w:r>
        <w:rPr>
          <w:b/>
        </w:rPr>
        <w:t>éjaculation rétrograde</w:t>
      </w:r>
      <w:r>
        <w:t xml:space="preserve"> (~2-6 % — moins fréquente qu'avec la tamsulosine), œdèmes périphériques, sécheresse buccale, troubles digestifs (nausées, douleurs abdominales), rhinite.</w:t>
      </w:r>
    </w:p>
    <w:p>
      <w:pPr>
        <w:pStyle w:val="ListBullet"/>
      </w:pPr>
      <w:r/>
      <w:r>
        <w:rPr>
          <w:b/>
        </w:rPr>
        <w:t>Peu fréquents (≥ 1/1000 à &lt; 1/100)</w:t>
      </w:r>
      <w:r>
        <w:t xml:space="preserve"> : </w:t>
      </w:r>
      <w:r>
        <w:rPr>
          <w:b/>
        </w:rPr>
        <w:t>palpitations</w:t>
      </w:r>
      <w:r>
        <w:t xml:space="preserve">, tachycardie, </w:t>
      </w:r>
      <w:r>
        <w:rPr>
          <w:b/>
        </w:rPr>
        <w:t>syncope</w:t>
      </w:r>
      <w:r>
        <w:t xml:space="preserve"> (plus fréquente qu'avec les urosélectifs), prurit, éruptions cutanées, troubles visuels, dysurie, pollakiurie.</w:t>
      </w:r>
    </w:p>
    <w:p>
      <w:pPr>
        <w:pStyle w:val="ListBullet"/>
      </w:pPr>
      <w:r/>
      <w:r>
        <w:rPr>
          <w:b/>
        </w:rPr>
        <w:t>Rares</w:t>
      </w:r>
      <w:r>
        <w:t xml:space="preserve"> : </w:t>
      </w:r>
      <w:r>
        <w:rPr>
          <w:b/>
        </w:rPr>
        <w:t>priapisme</w:t>
      </w:r>
      <w:r>
        <w:t xml:space="preserve"> (urgence urologique), </w:t>
      </w:r>
      <w:r>
        <w:rPr>
          <w:b/>
        </w:rPr>
        <w:t>IFIS</w:t>
      </w:r>
      <w:r>
        <w:t xml:space="preserve"> (incidence moindre qu'avec la tamsulosine mais documentée), thrombocytopénie, leucopénie, hépatite cytolytique, incontinence urinaire.</w:t>
      </w:r>
    </w:p>
    <w:p>
      <w:pPr>
        <w:pStyle w:val="ListBullet"/>
      </w:pPr>
      <w:r/>
      <w:r>
        <w:rPr>
          <w:b/>
        </w:rPr>
        <w:t>Très rares</w:t>
      </w:r>
      <w:r>
        <w:t xml:space="preserve"> : syndrome de Stevens-Johnson, érythrodermie.</w:t>
      </w:r>
    </w:p>
    <w:p>
      <w:pPr>
        <w:pStyle w:val="ListBullet"/>
      </w:pPr>
      <w:r/>
      <w:r>
        <w:rPr>
          <w:b/>
        </w:rPr>
        <w:t>Spécifique</w:t>
      </w:r>
      <w:r>
        <w:t xml:space="preserve"> : signal ALLHAT 2000 — </w:t>
      </w:r>
      <w:r>
        <w:rPr>
          <w:b/>
        </w:rPr>
        <w:t>augmentation de l'incidence de l'insuffisance cardiaque</w:t>
      </w:r>
      <w:r>
        <w:t xml:space="preserve"> (38 % de risque relatif supérieur vs chlorthalidone) chez les patients hypertendus traités par doxazosine en monothérapie — a conduit au retrait de la doxazosine de l'indication « antihypertenseur de 1re intention » mais sans surmortalité globale (l'étude ALLHAT a été interrompue prématurément pour le bras doxazosine en raison de ce signal).</w:t>
      </w:r>
    </w:p>
    <w:p>
      <w:r/>
      <w:r>
        <w:rPr>
          <w:b/>
        </w:rPr>
        <w:t>Prévention et Gestion des Effets Indésirables :</w:t>
      </w:r>
      <w:r/>
    </w:p>
    <w:p>
      <w:pPr>
        <w:pStyle w:val="ListBullet"/>
      </w:pPr>
      <w:r>
        <w:t xml:space="preserve">Mesures Préventives : (i) </w:t>
      </w:r>
      <w:r>
        <w:rPr>
          <w:b/>
        </w:rPr>
        <w:t>titration stricte obligatoire pour la forme immédiate</w:t>
      </w:r>
      <w:r>
        <w:t xml:space="preserve"> — débuter à 1 mg/jour pendant 1 semaine, puis 2 mg/jour pendant 1 semaine, puis 4 mg/jour (dose d'entretien habituelle pour HBP), puis éventuellement 8 mg/jour (dose maximale) ; chaque palier est respecté une semaine ; la 1re prise de chaque palier se fait idéalement </w:t>
      </w:r>
      <w:r>
        <w:rPr>
          <w:b/>
        </w:rPr>
        <w:t>au coucher</w:t>
      </w:r>
      <w:r>
        <w:t xml:space="preserve"> ; (ii) </w:t>
      </w:r>
      <w:r>
        <w:rPr>
          <w:b/>
        </w:rPr>
        <w:t>privilégier la forme LP 4 mg ou 8 mg</w:t>
      </w:r>
      <w:r>
        <w:t xml:space="preserve"> qui supprime la titration et l'effet de 1re dose (la matrice gastro-rétentive permet une dose unique quotidienne sans titration) ; (iii) </w:t>
      </w:r>
      <w:r>
        <w:rPr>
          <w:b/>
        </w:rPr>
        <w:t>prévenir le patient des symptômes d'hypotension orthostatique</w:t>
      </w:r>
      <w:r>
        <w:t xml:space="preserve"> (vertiges en se levant, malaise, syncope) — recommander de se lever progressivement, d'éviter les positions debout immobiles prolongées, de bien s'hydrater, d'éviter l'alcool ; (iv) </w:t>
      </w:r>
      <w:r>
        <w:rPr>
          <w:b/>
        </w:rPr>
        <w:t>éducation du patient sur la 1re prise au coucher</w:t>
      </w:r>
      <w:r>
        <w:t xml:space="preserve"> (forme immédiate) ; (v) </w:t>
      </w:r>
      <w:r>
        <w:rPr>
          <w:b/>
        </w:rPr>
        <w:t>évaluer la PA couché et debout</w:t>
      </w:r>
      <w:r>
        <w:t xml:space="preserve"> avant l'initiation et après chaque palier de titration ; (vi) </w:t>
      </w:r>
      <w:r>
        <w:rPr>
          <w:b/>
        </w:rPr>
        <w:t>prudence accrue chez le sujet âgé, déshydraté, sous antihypertenseurs multiples, diurétiques ou iPDE5</w:t>
      </w:r>
      <w:r>
        <w:t xml:space="preserve"> ; (vii) </w:t>
      </w:r>
      <w:r>
        <w:rPr>
          <w:b/>
        </w:rPr>
        <w:t>prévenir le chirurgien ophtalmologiste</w:t>
      </w:r>
      <w:r>
        <w:t xml:space="preserve"> en cas de chirurgie de la cataracte programmée (IFIS possible bien que moins fréquent qu'avec la tamsulosine).</w:t>
      </w:r>
    </w:p>
    <w:p>
      <w:pPr>
        <w:pStyle w:val="ListBullet"/>
      </w:pPr>
      <w:r>
        <w:t xml:space="preserve">Conduite à Tenir : (i) en cas de </w:t>
      </w:r>
      <w:r>
        <w:rPr>
          <w:b/>
        </w:rPr>
        <w:t>malaise ou d'hypotension orthostatique symptomatique</w:t>
      </w:r>
      <w:r>
        <w:t xml:space="preserve"> : allonger le patient, surélever les jambes, réévaluer le traitement antihypertenseur concomitant (avec le médecin traitant), envisager une réduction de dose ou un switch vers un urosélectif ; (ii) en cas de </w:t>
      </w:r>
      <w:r>
        <w:rPr>
          <w:b/>
        </w:rPr>
        <w:t>syncope</w:t>
      </w:r>
      <w:r>
        <w:t xml:space="preserve"> : arrêter la doxazosine, explorer le patient (ECG, Holter, tilt-test), envisager une alternative (uroseléctif ou inhibiteur de la 5-alpha-réductase) ; (iii) en cas de </w:t>
      </w:r>
      <w:r>
        <w:rPr>
          <w:b/>
        </w:rPr>
        <w:t>priapisme</w:t>
      </w:r>
      <w:r>
        <w:t xml:space="preserve"> : arrêt immédiat, urgence urologique ; (iv) en cas d'</w:t>
      </w:r>
      <w:r>
        <w:rPr>
          <w:b/>
        </w:rPr>
        <w:t>éjaculation rétrograde</w:t>
      </w:r>
      <w:r>
        <w:t xml:space="preserve"> : réassurance, proposition d'alternative ; (v) en cas d'</w:t>
      </w:r>
      <w:r>
        <w:rPr>
          <w:b/>
        </w:rPr>
        <w:t>aggravation des SBAU ou de rétention aiguë d'urine</w:t>
      </w:r>
      <w:r>
        <w:t xml:space="preserve"> : adresser à l'urologue (échec pharmacologique, indication chirurgicale) ; (vi) en cas d'</w:t>
      </w:r>
      <w:r>
        <w:rPr>
          <w:b/>
        </w:rPr>
        <w:t>apparition de signes d'insuffisance cardiaque</w:t>
      </w:r>
      <w:r>
        <w:t xml:space="preserve"> (dyspnée d'effort, œdèmes des membres inférieurs, prise de poids) : arrêter la doxazosine (signal ALLHAT) et réévaluer le patient cardiologiquement.</w:t>
      </w:r>
    </w:p>
    <w:p>
      <w:r/>
      <w:r>
        <w:rPr>
          <w:b/>
        </w:rPr>
        <w:t>Interactions Importantes :</w:t>
      </w:r>
      <w:r/>
    </w:p>
    <w:p>
      <w:pPr>
        <w:pStyle w:val="ListBullet"/>
      </w:pPr>
      <w:r/>
      <w:r>
        <w:rPr>
          <w:b/>
        </w:rPr>
        <w:t>Doxazosine + autres alpha-bloquants</w:t>
      </w:r>
      <w:r>
        <w:t xml:space="preserve"> (alfuzosine, tamsulosine, prazosine, térazosine, silodosine) : </w:t>
      </w:r>
      <w:r>
        <w:rPr>
          <w:b/>
        </w:rPr>
        <w:t>contre-indication absolue</w:t>
      </w:r>
      <w:r>
        <w:t xml:space="preserve"> — hypotension additive sévère, malaise, syncope.</w:t>
      </w:r>
    </w:p>
    <w:p>
      <w:pPr>
        <w:pStyle w:val="ListBullet"/>
      </w:pPr>
      <w:r/>
      <w:r>
        <w:rPr>
          <w:b/>
        </w:rPr>
        <w:t>Doxazosine + inhibiteurs de la PDE5</w:t>
      </w:r>
      <w:r>
        <w:t xml:space="preserve"> (sildénafil, tadalafil, vardénafil — voir Chapitre 72) : </w:t>
      </w:r>
      <w:r>
        <w:rPr>
          <w:b/>
        </w:rPr>
        <w:t>risque majeur d'hypotension orthostatique symptomatique</w:t>
      </w:r>
      <w:r>
        <w:t xml:space="preserve"> et de syncope — notamment à l'initiation de l'iPDE5 ou à l'augmentation de dose. Recommandations : (i) s'assurer de l'équilibre hémodynamique du patient sous doxazosine avant d'introduire l'iPDE5 ; (ii) débuter l'iPDE5 à la dose minimale (sildénafil 25 mg, tadalafil 10 mg ou 2,5 mg en continu, vardénafil 5 mg) ; (iii) espacer les prises de 4-6 h (idéalement : doxazosine le matin, iPDE5 le soir) ; (iv) surveiller la PA ; (v) informer le patient des signes d'hypotension (vertiges, malaise, syncope) et lui recommander de consulter en urgence si syncope. Cette association est plus à risque qu'avec les urosélectifs.</w:t>
      </w:r>
    </w:p>
    <w:p>
      <w:pPr>
        <w:pStyle w:val="ListBullet"/>
      </w:pPr>
      <w:r/>
      <w:r>
        <w:rPr>
          <w:b/>
        </w:rPr>
        <w:t>Doxazosine + antihypertenseurs</w:t>
      </w:r>
      <w:r>
        <w:t xml:space="preserve"> (IEC, ARA2, diurétiques, bêta-bloquants, inhibiteurs calciques) : risque d'</w:t>
      </w:r>
      <w:r>
        <w:rPr>
          <w:b/>
        </w:rPr>
        <w:t>hypotension additive</w:t>
      </w:r>
      <w:r>
        <w:t>, surtout marqué avec les diurétiques (effet synergique sur la volémie) — surveillance rapprochée de la PA, adaptation posologique ; privilégier la forme LP pour limiter les variations de PA.</w:t>
      </w:r>
    </w:p>
    <w:p>
      <w:pPr>
        <w:pStyle w:val="ListBullet"/>
      </w:pPr>
      <w:r/>
      <w:r>
        <w:rPr>
          <w:b/>
        </w:rPr>
        <w:t>Doxazosine + dérivés nitrés</w:t>
      </w:r>
      <w:r>
        <w:t xml:space="preserve"> (nitroglycérine, isosorbide) : risque d'</w:t>
      </w:r>
      <w:r>
        <w:rPr>
          <w:b/>
        </w:rPr>
        <w:t>hypotension majeure</w:t>
      </w:r>
      <w:r>
        <w:t xml:space="preserve"> — éviter.</w:t>
      </w:r>
    </w:p>
    <w:p>
      <w:pPr>
        <w:pStyle w:val="ListBullet"/>
      </w:pPr>
      <w:r/>
      <w:r>
        <w:rPr>
          <w:b/>
        </w:rPr>
        <w:t>Doxazosine + alcool</w:t>
      </w:r>
      <w:r>
        <w:t xml:space="preserve"> : potentialisation de l'hypotension orthostatique — éviter la consommation d'alcool surtout dans les premières heures suivant la prise.</w:t>
      </w:r>
    </w:p>
    <w:p>
      <w:pPr>
        <w:pStyle w:val="ListBullet"/>
      </w:pPr>
      <w:r/>
      <w:r>
        <w:rPr>
          <w:b/>
        </w:rPr>
        <w:t>Doxazosine + inhibiteurs de la PDE5 pour HBP</w:t>
      </w:r>
      <w:r>
        <w:t xml:space="preserve"> (tadalafil 5 mg/jour continu pour HBP — non disponible en Algérie pour cette indication) : attention — risque d'hypotension, surveillance.</w:t>
      </w:r>
    </w:p>
    <w:p>
      <w:pPr>
        <w:pStyle w:val="ListBullet"/>
      </w:pPr>
      <w:r/>
      <w:r>
        <w:rPr>
          <w:b/>
        </w:rPr>
        <w:t>Doxazosine + anesthésiques généraux</w:t>
      </w:r>
      <w:r>
        <w:t xml:space="preserve"> : risque d'hypotension peropératoire sévère — informer l'anesthésiste, arrêter la doxazosine 24-48 h avant chirurgie programmée sous AG.</w:t>
      </w:r>
    </w:p>
    <w:p>
      <w:r/>
      <w:r>
        <w:rPr>
          <w:b/>
        </w:rPr>
        <w:t>Grossesse et Allaitement :</w:t>
      </w:r>
      <w:r/>
    </w:p>
    <w:p>
      <w:pPr>
        <w:pStyle w:val="ListBullet"/>
      </w:pPr>
      <w:r>
        <w:t xml:space="preserve">Grossesse : </w:t>
      </w:r>
      <w:r>
        <w:rPr>
          <w:b/>
        </w:rPr>
        <w:t>non applicable</w:t>
      </w:r>
      <w:r>
        <w:t xml:space="preserve"> (pathologie masculine de l'homme âgé). La doxazosine n'est pas tératogène chez l'animal mais n'a pas d'indication chez la femme enceinte. Selon le CRAT, en cas de prescription à une femme en âge de procréer pour HTA (indication rare en raison du signal ALLHAT), la doxazosine est considérée comme </w:t>
      </w:r>
      <w:r>
        <w:rPr>
          <w:b/>
        </w:rPr>
        <w:t>acceptable</w:t>
      </w:r>
      <w:r>
        <w:t xml:space="preserve"> au cours de la grossesse (données limitées mais rassurantes — pas de signal tératogène, pas d'effet fœtal néfaste aux doses thérapeutiques). Néanmoins, en pratique clinique, la doxazosine est évitée chez la femme enceinte hypertendue en raison du risque d'hypotension maternelle pouvant compromettre la perfusion placentaire (préférence : labétalol, méthyldopa, nifédipine).</w:t>
      </w:r>
    </w:p>
    <w:p>
      <w:pPr>
        <w:pStyle w:val="ListBullet"/>
      </w:pPr>
      <w:r>
        <w:t>Allaitement : selon le CRAT, la doxazosine passe faiblement dans le lait maternel — acceptable en cas de nécessité (HTA sévère résistante aux autres traitements), avec surveillance de la PA du nouveau-né. À éviter en pratique courante en raison de la disponibilité d'alternatives mieux évaluées.</w:t>
      </w:r>
    </w:p>
    <w:p>
      <w:pPr>
        <w:pStyle w:val="ListBullet"/>
      </w:pPr>
      <w:r>
        <w:t>Précisions : le partenaire masculin d'une femme enceinte traité par doxazosine ne pose aucun problème (pas de passage significatif dans le sperme).</w:t>
      </w:r>
    </w:p>
    <w:p>
      <w:r/>
      <w:r>
        <w:rPr>
          <w:b/>
        </w:rPr>
        <w:t>Posologie et Mode d'administration (Standard) :</w:t>
      </w:r>
      <w:r/>
    </w:p>
    <w:p>
      <w:pPr>
        <w:pStyle w:val="ListBullet"/>
      </w:pPr>
      <w:r>
        <w:t>Adulte :</w:t>
      </w:r>
    </w:p>
    <w:p>
      <w:pPr>
        <w:pStyle w:val="ListBullet"/>
      </w:pPr>
      <w:r/>
      <w:r>
        <w:rPr>
          <w:b/>
        </w:rPr>
        <w:t>Forme immédiate (comprimés sécables 1, 2, 4 mg)</w:t>
      </w:r>
      <w:r>
        <w:t xml:space="preserve"> : titration obligatoire — </w:t>
      </w:r>
      <w:r>
        <w:rPr>
          <w:b/>
        </w:rPr>
        <w:t>1 mg/jour en 1 prise pendant 1 semaine</w:t>
      </w:r>
      <w:r>
        <w:t xml:space="preserve"> (1re prise au coucher), puis </w:t>
      </w:r>
      <w:r>
        <w:rPr>
          <w:b/>
        </w:rPr>
        <w:t>2 mg/jour pendant 1 semaine</w:t>
      </w:r>
      <w:r>
        <w:t xml:space="preserve">, puis </w:t>
      </w:r>
      <w:r>
        <w:rPr>
          <w:b/>
        </w:rPr>
        <w:t>4 mg/jour</w:t>
      </w:r>
      <w:r>
        <w:t xml:space="preserve"> (dose d'entretien habituelle pour HBP), éventuellement </w:t>
      </w:r>
      <w:r>
        <w:rPr>
          <w:b/>
        </w:rPr>
        <w:t>8 mg/jour</w:t>
      </w:r>
      <w:r>
        <w:t xml:space="preserve"> (dose maximale pour HBP sévère). La titration est poursuivie jusqu'à l'obtention de l'effet thérapeutique optimal ou jusqu'à la dose maximale. En cas d'interruption de traitement &gt; quelques jours, reprendre la titration à 1 mg/jour.</w:t>
      </w:r>
    </w:p>
    <w:p>
      <w:pPr>
        <w:pStyle w:val="ListBullet"/>
      </w:pPr>
      <w:r/>
      <w:r>
        <w:rPr>
          <w:b/>
        </w:rPr>
        <w:t>Forme LP (comprimés LP 4 mg et 8 mg)</w:t>
      </w:r>
      <w:r>
        <w:t xml:space="preserve"> : </w:t>
      </w:r>
      <w:r>
        <w:rPr>
          <w:b/>
        </w:rPr>
        <w:t>4 mg/jour en 1 prise</w:t>
      </w:r>
      <w:r>
        <w:t xml:space="preserve"> (1re prise au coucher par mesure de prudence), augmentable à </w:t>
      </w:r>
      <w:r>
        <w:rPr>
          <w:b/>
        </w:rPr>
        <w:t>8 mg/jour</w:t>
      </w:r>
      <w:r>
        <w:t xml:space="preserve"> après 1-2 semaines si réponse insuffisante. </w:t>
      </w:r>
      <w:r>
        <w:rPr>
          <w:b/>
        </w:rPr>
        <w:t>Pas de titration nécessaire</w:t>
      </w:r>
      <w:r>
        <w:t xml:space="preserve"> (avantage majeur de la forme LP). Ne pas croquer, écraser ou diviser le comprimé LP (matrice gastro-rétentive).</w:t>
      </w:r>
    </w:p>
    <w:p>
      <w:pPr>
        <w:pStyle w:val="ListBullet"/>
      </w:pPr>
      <w:r>
        <w:t>Sujet âgé (&gt; 65 ans) : prudence accrue, titration plus lente (paliers de 2 semaines), surveillance de la PA couché/debout à chaque palier. Privilégier la forme LP 4 mg (qui simplifie la prise et limite l'effet de 1re dose).</w:t>
      </w:r>
    </w:p>
    <w:p>
      <w:pPr>
        <w:pStyle w:val="ListBullet"/>
      </w:pPr>
      <w:r>
        <w:t>Insuffisant rénal : pas d'adaptation posologique (la doxazosine est métabolisée principalement par le foie, élimination fécale et biliaire majoritaire).</w:t>
      </w:r>
    </w:p>
    <w:p>
      <w:pPr>
        <w:pStyle w:val="ListBullet"/>
      </w:pPr>
      <w:r>
        <w:t xml:space="preserve">Insuffisant hépatique léger à modéré : prudence, envisager dose réduite (titration plus lente) ; </w:t>
      </w:r>
      <w:r>
        <w:rPr>
          <w:b/>
        </w:rPr>
        <w:t>CI en cas d'insuffisance hépatique sévère</w:t>
      </w:r>
      <w:r>
        <w:t xml:space="preserve"> (Child-Pugh C).</w:t>
      </w:r>
    </w:p>
    <w:p>
      <w:pPr>
        <w:pStyle w:val="ListBullet"/>
      </w:pPr>
      <w:r>
        <w:t xml:space="preserve">Durée : </w:t>
      </w:r>
      <w:r>
        <w:rPr>
          <w:b/>
        </w:rPr>
        <w:t>au long cours</w:t>
      </w:r>
      <w:r>
        <w:t xml:space="preserve"> — traitement chronique de la HBP symptomatique, à poursuivre tant que les symptômes persistent et que la tolérance est bonne. Réévaluation urologique annuelle (IPSS, débitmétrie, échographie vésico-prostatique avec résidu post-mictionnel, PSA).</w:t>
      </w:r>
    </w:p>
    <w:p>
      <w:pPr>
        <w:pStyle w:val="ListBullet"/>
      </w:pPr>
      <w:r>
        <w:t xml:space="preserve">Moment de la prise : (i) </w:t>
      </w:r>
      <w:r>
        <w:rPr>
          <w:b/>
        </w:rPr>
        <w:t>forme immédiate</w:t>
      </w:r>
      <w:r>
        <w:t xml:space="preserve"> : 1re prise de chaque palier </w:t>
      </w:r>
      <w:r>
        <w:rPr>
          <w:b/>
        </w:rPr>
        <w:t>au coucher</w:t>
      </w:r>
      <w:r>
        <w:t xml:space="preserve"> ; ensuite prise le matin ou le soir selon la tolérance (privilégier le soir pour minimiser l'hypotension orthostatique diurne) ; (ii) </w:t>
      </w:r>
      <w:r>
        <w:rPr>
          <w:b/>
        </w:rPr>
        <w:t>forme LP</w:t>
      </w:r>
      <w:r>
        <w:t xml:space="preserve"> : prise unique quotidienne au </w:t>
      </w:r>
      <w:r>
        <w:rPr>
          <w:b/>
        </w:rPr>
        <w:t>matin après le petit-déjeuner</w:t>
      </w:r>
      <w:r>
        <w:t xml:space="preserve"> (la formulation gastro-rétentive nécessite un repas pour activer la libération — la prise à jeun réduit l'efficacité).</w:t>
      </w:r>
    </w:p>
    <w:p>
      <w:r/>
      <w:r>
        <w:rPr>
          <w:b/>
        </w:rPr>
        <w:t>Arbitrage et Bénéfices des Formes Galéniques :</w:t>
      </w:r>
      <w:r/>
    </w:p>
    <w:p>
      <w:r>
        <w:t xml:space="preserve">La doxazosine est commercialisée en </w:t>
      </w:r>
      <w:r>
        <w:rPr>
          <w:b/>
        </w:rPr>
        <w:t>deux formulations galéniques</w:t>
      </w:r>
      <w:r>
        <w:t xml:space="preserve"> aux propriétés pharmacocinétiques très différentes :</w:t>
      </w:r>
    </w:p>
    <w:p>
      <w:pPr>
        <w:pStyle w:val="ListNumber"/>
      </w:pPr>
      <w:r/>
      <w:r>
        <w:rPr>
          <w:b/>
        </w:rPr>
        <w:t>Forme immédiate (comprimés sécables 1, 2, 4 mg)</w:t>
      </w:r>
      <w:r>
        <w:t xml:space="preserve"> : libération rapide du principe actif, pics de concentration plasmatique responsables de l'effet de 1re dose et de l'hypotension orthostatique. Nécessite une </w:t>
      </w:r>
      <w:r>
        <w:rPr>
          <w:b/>
        </w:rPr>
        <w:t>titration stricte</w:t>
      </w:r>
      <w:r>
        <w:t xml:space="preserve"> sur 2-4 semaines pour atteindre la dose d'entretien. Avantage : possibilité d'adapter finement la dose (sécabilité), coût plus faible. Inconvénients : titration fastidieuse, observance difficile, EI cardiovasculaires fréquents.</w:t>
      </w:r>
    </w:p>
    <w:p>
      <w:pPr>
        <w:pStyle w:val="ListNumber"/>
      </w:pPr>
      <w:r/>
      <w:r>
        <w:rPr>
          <w:b/>
        </w:rPr>
        <w:t>Forme LP (comprimés LP 4 mg et 8 mg)</w:t>
      </w:r>
      <w:r>
        <w:t xml:space="preserve"> : matrice </w:t>
      </w:r>
      <w:r>
        <w:rPr>
          <w:b/>
        </w:rPr>
        <w:t>gastro-rétentive</w:t>
      </w:r>
      <w:r>
        <w:t xml:space="preserve"> (technologie GITS — le comprimé flotte dans l'estomac grâce à une couche de polymère hydrophile qui gonfle et libère le principe actif de manière contrôlée sur 24 h). Avantages : (i) </w:t>
      </w:r>
      <w:r>
        <w:rPr>
          <w:b/>
        </w:rPr>
        <w:t>pas de titration</w:t>
      </w:r>
      <w:r>
        <w:t xml:space="preserve"> — dose d'entretien immédiate dès la 1re prise ; (ii) </w:t>
      </w:r>
      <w:r>
        <w:rPr>
          <w:b/>
        </w:rPr>
        <w:t>absence d'effet de 1re dose</w:t>
      </w:r>
      <w:r>
        <w:t xml:space="preserve"> (grâce à la libération lente) ; (iii) </w:t>
      </w:r>
      <w:r>
        <w:rPr>
          <w:b/>
        </w:rPr>
        <w:t>dose unique quotidienne</w:t>
      </w:r>
      <w:r>
        <w:t xml:space="preserve"> — meilleure observance ; (iv) </w:t>
      </w:r>
      <w:r>
        <w:rPr>
          <w:b/>
        </w:rPr>
        <w:t>profil de tolérance cardiovasculaire comparable au placebo</w:t>
      </w:r>
      <w:r>
        <w:t xml:space="preserve"> dans les études pivot. Inconvénients : (i) </w:t>
      </w:r>
      <w:r>
        <w:rPr>
          <w:b/>
        </w:rPr>
        <w:t>nécessite un repas pour activer la libération</w:t>
      </w:r>
      <w:r>
        <w:t xml:space="preserve"> (le comprimé LP doit rester dans l'estomac, où le bol alimentaire déclenche la libération) — prise à jeun inefficace ; (ii) </w:t>
      </w:r>
      <w:r>
        <w:rPr>
          <w:b/>
        </w:rPr>
        <w:t>ne pas croquer, écraser ou diviser</w:t>
      </w:r>
      <w:r>
        <w:t xml:space="preserve"> (destruction de la matrice LP) ; (iii) </w:t>
      </w:r>
      <w:r>
        <w:rPr>
          <w:b/>
        </w:rPr>
        <w:t>CI en cas d'altération majeure du transit GI</w:t>
      </w:r>
      <w:r>
        <w:t xml:space="preserve"> (gastroparésie, sténose pylorique, syndrome de l'arc ligamentaire moyen, antécédents de chirurgie gastro-intestinale majeure) ; (iv) risque théorique de formation de bézoard (rare). Le comprimé LP peut être visible dans les selles (enveloppe non digérée) — information à donner au patient pour éviter l'inquiétude.</w:t>
      </w:r>
    </w:p>
    <w:p>
      <w:r>
        <w:t xml:space="preserve">Le choix entre forme immédiate et forme LP se fait selon : (i) le profil du patient (sujet âgé, polypathologique : préférer la forme LP) ; (ii) la disponibilité et le coût (la forme immédiate est généralement moins chère) ; (iii) la tolérance cardiovasculaire (la forme LP est supérieure) ; (iv) les comorbidités GI (CI relative à la forme LP en cas de gastroparésie). En pratique courante algérienne, la </w:t>
      </w:r>
      <w:r>
        <w:rPr>
          <w:b/>
        </w:rPr>
        <w:t>forme LP est privilégiée</w:t>
      </w:r>
      <w:r>
        <w:t xml:space="preserve"> pour la plupart des patients.</w:t>
      </w:r>
    </w:p>
    <w:p>
      <w:r/>
      <w:r>
        <w:rPr>
          <w:b/>
        </w:rPr>
        <w:t>Instructions et Conseils au Patient :</w:t>
      </w:r>
      <w:r/>
    </w:p>
    <w:p>
      <w:pPr>
        <w:pStyle w:val="ListBullet"/>
      </w:pPr>
      <w:r>
        <w:t xml:space="preserve">Communication au comptoir : « Ce médicament traite les troubles urinaires liés à l'élargissement bénin de la prostate. </w:t>
      </w:r>
      <w:r>
        <w:rPr>
          <w:b/>
        </w:rPr>
        <w:t>Il fait aussi baisser la tension</w:t>
      </w:r>
      <w:r>
        <w:t xml:space="preserve"> — c'est important. </w:t>
      </w:r>
      <w:r>
        <w:rPr>
          <w:b/>
        </w:rPr>
        <w:t>Si vous prenez la forme immédiate (1, 2 ou 4 mg)</w:t>
      </w:r>
      <w:r>
        <w:t xml:space="preserve">, il faut </w:t>
      </w:r>
      <w:r>
        <w:rPr>
          <w:b/>
        </w:rPr>
        <w:t>commencer par 1 mg/jour pendant 1 semaine, puis 2 mg, puis 4 mg</w:t>
      </w:r>
      <w:r>
        <w:t xml:space="preserve"> — ne jamais commencer directement à la dose pleine. </w:t>
      </w:r>
      <w:r>
        <w:rPr>
          <w:b/>
        </w:rPr>
        <w:t>La 1re prise de chaque dose doit se faire au coucher</w:t>
      </w:r>
      <w:r>
        <w:t xml:space="preserve"> pour éviter les vertiges. </w:t>
      </w:r>
      <w:r>
        <w:rPr>
          <w:b/>
        </w:rPr>
        <w:t>Si vous prenez la forme LP (comprimé 4 mg ou 8 mg à libération prolongée)</w:t>
      </w:r>
      <w:r>
        <w:t xml:space="preserve">, vous pouvez commencer directement à 4 mg/jour — pas de titration nécessaire. </w:t>
      </w:r>
      <w:r>
        <w:rPr>
          <w:b/>
        </w:rPr>
        <w:t>Prenez la forme LP après le petit-déjeuner</w:t>
      </w:r>
      <w:r>
        <w:t xml:space="preserve"> (le comprimé a besoin d'un repas pour fonctionner). </w:t>
      </w:r>
      <w:r>
        <w:rPr>
          <w:b/>
        </w:rPr>
        <w:t>Levez-vous progressivement</w:t>
      </w:r>
      <w:r>
        <w:t xml:space="preserve"> (ne pas se lever brusquement) — risque de vertiges ou de malaises. </w:t>
      </w:r>
      <w:r>
        <w:rPr>
          <w:b/>
        </w:rPr>
        <w:t>Avertissez votre médecin si vous prenez aussi des médicaments pour la tension, des diurétiques ou des médicaments pour l'érection</w:t>
      </w:r>
      <w:r>
        <w:t xml:space="preserve">. </w:t>
      </w:r>
      <w:r>
        <w:rPr>
          <w:b/>
        </w:rPr>
        <w:t>Signalez tout vertige, malaise ou syncope</w:t>
      </w:r>
      <w:r>
        <w:t xml:space="preserve">. </w:t>
      </w:r>
      <w:r>
        <w:rPr>
          <w:b/>
        </w:rPr>
        <w:t>Prévenez votre ophtalmologiste</w:t>
      </w:r>
      <w:r>
        <w:t xml:space="preserve"> si vous devez être opéré de la cataracte. Ne pas croquer ni écraser le comprimé LP. »</w:t>
      </w:r>
    </w:p>
    <w:p>
      <w:pPr>
        <w:pStyle w:val="ListBullet"/>
      </w:pPr>
      <w:r>
        <w:t xml:space="preserve">Mode d'utilisation pratique : (i) </w:t>
      </w:r>
      <w:r>
        <w:rPr>
          <w:b/>
        </w:rPr>
        <w:t>forme immédiate</w:t>
      </w:r>
      <w:r>
        <w:t xml:space="preserve"> : titration stricte selon le schéma 1 mg → 2 mg → 4 mg → 8 mg par paliers de 1 semaine, 1re prise de chaque palier au coucher, prise quotidienne à heure fixe ; (ii) </w:t>
      </w:r>
      <w:r>
        <w:rPr>
          <w:b/>
        </w:rPr>
        <w:t>forme LP</w:t>
      </w:r>
      <w:r>
        <w:t xml:space="preserve"> : 1 comprimé LP par jour, après le petit-déjeuner, à heure fixe, comprimé entier non croqué non écrasé ; (iii) en cas d'oubli, ne pas doubler la dose suivante ; (iv) en cas d'interruption &gt; 7 jours de la forme immédiate, reprendre la titration à 1 mg ; (v) ne pas arrêter brutalement sans avis médical ; (vi) surveillance de la PA (idéalement automesure) à domicile pendant les premières semaines ; (vii) consultation de contrôle à 1 mois (tolérance, PA), 3 mois (efficacité — IPSS, débitmétrie), puis annuelle (réévaluation urologique complète avec PSA).</w:t>
      </w:r>
    </w:p>
    <w:p>
      <w:r/>
      <w:r>
        <w:rPr>
          <w:b/>
        </w:rPr>
        <w:t>Notes, Règles d'Or &amp; Pièges au Comptoir :</w:t>
      </w:r>
      <w:r/>
    </w:p>
    <w:p>
      <w:pPr>
        <w:pStyle w:val="ListBullet"/>
      </w:pPr>
      <w:r>
        <w:t xml:space="preserve">Piège classique : (i) </w:t>
      </w:r>
      <w:r>
        <w:rPr>
          <w:b/>
        </w:rPr>
        <w:t>oubli de la titration avec la forme immédiate</w:t>
      </w:r>
      <w:r>
        <w:t xml:space="preserve"> — c'est le piège majeur de la doxazosine. Si le patient commence directement à 4 mg/jour en forme immédiate, il risque une hypotension sévère, une syncope, un traumatisme (chute). Le pharmacien doit </w:t>
      </w:r>
      <w:r>
        <w:rPr>
          <w:b/>
        </w:rPr>
        <w:t>vérifier systématiquement la prescription</w:t>
      </w:r>
      <w:r>
        <w:t xml:space="preserve"> : la titration doit être indiquée ; si elle ne l'est pas, contacter le prescripteur ; (ii) </w:t>
      </w:r>
      <w:r>
        <w:rPr>
          <w:b/>
        </w:rPr>
        <w:t>substitution entre forme immédiate et forme LP</w:t>
      </w:r>
      <w:r>
        <w:t xml:space="preserve"> sans ajustement — la substitution doit se faire à dose équivalente (4 mg LP ≈ 4 mg/jour en forme immédiate après titration), mais le schéma d'administration diffère (forme LP : 1 prise/jour après petit-déjeuner, sans titration ; forme immédiate : titration obligatoire) ; (iii) </w:t>
      </w:r>
      <w:r>
        <w:rPr>
          <w:b/>
        </w:rPr>
        <w:t>patient sous antihypertenseurs multiples</w:t>
      </w:r>
      <w:r>
        <w:t xml:space="preserve"> : vérifier les interactions (notamment diurétiques — risque d'hypotension synergique), ajuster la surveillance ; (iv) </w:t>
      </w:r>
      <w:r>
        <w:rPr>
          <w:b/>
        </w:rPr>
        <w:t>patient sous iPDE5 pour dysfonction érectile</w:t>
      </w:r>
      <w:r>
        <w:t xml:space="preserve"> : risque majeur d'hypotension — débuter l'iPDE5 à dose minimale, espacer les prises, surveiller la PA ; (v) </w:t>
      </w:r>
      <w:r>
        <w:rPr>
          <w:b/>
        </w:rPr>
        <w:t>patient âgé fragile ou déshydraté</w:t>
      </w:r>
      <w:r>
        <w:t xml:space="preserve"> : préférer un urosélectif (alfuzosine, tamsulosine) pour éviter le risque de chute lié à l'hypotension orthostatique ; (vi) </w:t>
      </w:r>
      <w:r>
        <w:rPr>
          <w:b/>
        </w:rPr>
        <w:t>oubli de l'information sur l'IFIS</w:t>
      </w:r>
      <w:r>
        <w:t xml:space="preserve"> — même si l'incidence est moindre qu'avec la tamsulosine, le patient doit informer son ophtalmologiste ; (vii) </w:t>
      </w:r>
      <w:r>
        <w:rPr>
          <w:b/>
        </w:rPr>
        <w:t>patient sous forme LP présentant une gastroparésie ou ayant subi une chirurgie GI majeure</w:t>
      </w:r>
      <w:r>
        <w:t xml:space="preserve"> : la forme LP est CI — basculer sur la forme immédiate avec titration ou sur un urosélectif ; (viii) </w:t>
      </w:r>
      <w:r>
        <w:rPr>
          <w:b/>
        </w:rPr>
        <w:t>information sur le comprimé LP visible dans les selles</w:t>
      </w:r>
      <w:r>
        <w:t xml:space="preserve"> : l'enveloppe du comprimé LP peut être visible dans les selles — information à donner pour éviter l'inquiétude (le principe actif est bien libéré, c'est seulement l'enveloppe qui n'est pas digérée).</w:t>
      </w:r>
    </w:p>
    <w:p>
      <w:pPr>
        <w:pStyle w:val="ListBullet"/>
      </w:pPr>
      <w:r>
        <w:t xml:space="preserve">Règle de prise : (i) </w:t>
      </w:r>
      <w:r>
        <w:rPr>
          <w:b/>
        </w:rPr>
        <w:t>forme immédiate</w:t>
      </w:r>
      <w:r>
        <w:t xml:space="preserve"> : titration 1→2→4→8 mg par paliers de 1 semaine, 1re prise de chaque palier au coucher, surveillance PA ; (ii) </w:t>
      </w:r>
      <w:r>
        <w:rPr>
          <w:b/>
        </w:rPr>
        <w:t>forme LP</w:t>
      </w:r>
      <w:r>
        <w:t xml:space="preserve"> : 1 comprimé LP 4 mg/jour (ou 8 mg/jour) après le petit-déjeuner, à heure fixe, comprimé entier non croqué, sans titration.</w:t>
      </w:r>
    </w:p>
    <w:p>
      <w:pPr>
        <w:pStyle w:val="ListBullet"/>
      </w:pPr>
      <w:r>
        <w:t>Préparation et Conservation : conserver à température inférieure à 25°C, à l'abri de l'humidité et de la lumière, dans l'emballage d'origine. Durée de validité : 24-36 mois. Tenir hors de portée des enfants.</w:t>
      </w:r>
    </w:p>
    <w:p>
      <w:pPr>
        <w:pStyle w:val="ListBullet"/>
      </w:pPr>
      <w:r>
        <w:t xml:space="preserve">Piège du surdosage / Substitution : (i) </w:t>
      </w:r>
      <w:r>
        <w:rPr>
          <w:b/>
        </w:rPr>
        <w:t>surdosage</w:t>
      </w:r>
      <w:r>
        <w:t xml:space="preserve"> : hypotension sévère, pouvant aller au collapsus cardiovasculaire — traitement symptomatique en milieu de réanimation (remplissage volémique, vasopresseurs — privilégier la noradrénaline, </w:t>
      </w:r>
      <w:r>
        <w:rPr>
          <w:b/>
        </w:rPr>
        <w:t>éviter l'épinéphrine</w:t>
      </w:r>
      <w:r>
        <w:t xml:space="preserve"> et la </w:t>
      </w:r>
      <w:r>
        <w:rPr>
          <w:b/>
        </w:rPr>
        <w:t>dopamine</w:t>
      </w:r>
      <w:r>
        <w:t xml:space="preserve"> qui peuvent aggraver l'hypotension par effet β2 vasodilatateur paradoxal en présence d'un blocage α1) ; le patient doit être placé en position de Trendelenburg ; surveiller ECG et diurèse ; (ii) </w:t>
      </w:r>
      <w:r>
        <w:rPr>
          <w:b/>
        </w:rPr>
        <w:t>substitution entre génériques</w:t>
      </w:r>
      <w:r>
        <w:t xml:space="preserve"> : possible entre les différentes marques (DOXALAR, CARDOX, CARDULAR, DOXACARD, DOXAZOSINE BEKER, ZODURA) en respectant la forme immédiate ou LP et le dosage ; (iii) </w:t>
      </w:r>
      <w:r>
        <w:rPr>
          <w:b/>
        </w:rPr>
        <w:t>substitution entre forme immédiate et forme LP</w:t>
      </w:r>
      <w:r>
        <w:t xml:space="preserve"> : possible à dose équivalente (4 mg/jour en forme immédiate = 4 mg LP/jour), en supprimant la titration si passage à la forme LP (1re prise de la forme LP : 4 mg/jour sans titration) ; (iv) ne jamais substituer par un urosélectif (alfuzosine, tamsulosine) à dose équivalente sans respecter un blanc thérapeutique de 24-48 h pour éviter une potentialisation ; (v) en cas de substitution par un urosélectif, privilégier la tamsulosine 0,4 mg/jour (équivalent thérapeutique le plus proche de la doxazosine 4 mg) ou l'alfuzosine 10 mg/jour.</w:t>
      </w:r>
    </w:p>
    <w:p>
      <w:pPr>
        <w:pStyle w:val="Heading2"/>
      </w:pPr>
      <w:r>
        <w:t>6. Introduction à la sous-classe des inhibiteurs de la 5-alpha-réductase</w:t>
      </w:r>
    </w:p>
    <w:p>
      <w:pPr>
        <w:pStyle w:val="Heading3"/>
      </w:pPr>
      <w:r>
        <w:t>Définition pharmacologique</w:t>
      </w:r>
    </w:p>
    <w:p>
      <w:r>
        <w:t xml:space="preserve">Les </w:t>
      </w:r>
      <w:r>
        <w:rPr>
          <w:b/>
        </w:rPr>
        <w:t>inhibiteurs de la 5-alpha-réductase</w:t>
      </w:r>
      <w:r>
        <w:t xml:space="preserve"> sont une classe pharmacologique ciblant spécifiquement l'enzyme </w:t>
      </w:r>
      <w:r>
        <w:rPr>
          <w:b/>
        </w:rPr>
        <w:t>5-alpha-réductase</w:t>
      </w:r>
      <w:r>
        <w:t xml:space="preserve"> qui catalyse la conversion de la </w:t>
      </w:r>
      <w:r>
        <w:rPr>
          <w:b/>
        </w:rPr>
        <w:t>testostérone</w:t>
      </w:r>
      <w:r>
        <w:t xml:space="preserve"> en </w:t>
      </w:r>
      <w:r>
        <w:rPr>
          <w:b/>
        </w:rPr>
        <w:t>dihydrotestostérone (DHT)</w:t>
      </w:r>
      <w:r>
        <w:t xml:space="preserve"> — métabolite androgénique 2 à 10 fois plus puissant que la testostérone, responsable de la prolifération stromale et épithéliale de la zone transitionnelle prostatique dans la HBP. Deux isoenzymes de la 5-alpha-réductase ont été identifiées :</w:t>
      </w:r>
    </w:p>
    <w:p>
      <w:pPr>
        <w:pStyle w:val="ListBullet"/>
      </w:pPr>
      <w:r/>
      <w:r>
        <w:rPr>
          <w:b/>
        </w:rPr>
        <w:t>Type I</w:t>
      </w:r>
      <w:r>
        <w:t xml:space="preserve"> : exprimée principalement dans le </w:t>
      </w:r>
      <w:r>
        <w:rPr>
          <w:b/>
        </w:rPr>
        <w:t>foie</w:t>
      </w:r>
      <w:r>
        <w:t xml:space="preserve">, la </w:t>
      </w:r>
      <w:r>
        <w:rPr>
          <w:b/>
        </w:rPr>
        <w:t>peau</w:t>
      </w:r>
      <w:r>
        <w:t xml:space="preserve"> (glandes sébacées, follicules pileux), les </w:t>
      </w:r>
      <w:r>
        <w:rPr>
          <w:b/>
        </w:rPr>
        <w:t xml:space="preserve"> reins</w:t>
      </w:r>
      <w:r>
        <w:t xml:space="preserve"> et accessoirement dans la prostate (épithélium prostatique). Cible accessoire des inhibiteurs de la 5-alpha-réductase.</w:t>
      </w:r>
    </w:p>
    <w:p>
      <w:pPr>
        <w:pStyle w:val="ListBullet"/>
      </w:pPr>
      <w:r/>
      <w:r>
        <w:rPr>
          <w:b/>
        </w:rPr>
        <w:t>Type II</w:t>
      </w:r>
      <w:r>
        <w:t xml:space="preserve"> : exprimée principalement dans la </w:t>
      </w:r>
      <w:r>
        <w:rPr>
          <w:b/>
        </w:rPr>
        <w:t>prostate</w:t>
      </w:r>
      <w:r>
        <w:t xml:space="preserve"> (zone transitionnelle, épithélium prostatique, stroma), les </w:t>
      </w:r>
      <w:r>
        <w:rPr>
          <w:b/>
        </w:rPr>
        <w:t>vésicules séminales</w:t>
      </w:r>
      <w:r>
        <w:t xml:space="preserve">, les </w:t>
      </w:r>
      <w:r>
        <w:rPr>
          <w:b/>
        </w:rPr>
        <w:t>épididymes</w:t>
      </w:r>
      <w:r>
        <w:t xml:space="preserve">, le </w:t>
      </w:r>
      <w:r>
        <w:rPr>
          <w:b/>
        </w:rPr>
        <w:t>scrotum</w:t>
      </w:r>
      <w:r>
        <w:t xml:space="preserve"> et le </w:t>
      </w:r>
      <w:r>
        <w:rPr>
          <w:b/>
        </w:rPr>
        <w:t>foie fœtal</w:t>
      </w:r>
      <w:r>
        <w:t>. Cible principale du finastéride et du dutastéride.</w:t>
      </w:r>
    </w:p>
    <w:p>
      <w:pPr>
        <w:pStyle w:val="Heading3"/>
      </w:pPr>
      <w:r>
        <w:t>Mécanisme d'action moléculaire</w:t>
      </w:r>
    </w:p>
    <w:p>
      <w:r>
        <w:t xml:space="preserve">La </w:t>
      </w:r>
      <w:r>
        <w:rPr>
          <w:b/>
        </w:rPr>
        <w:t>5-alpha-réductase</w:t>
      </w:r>
      <w:r>
        <w:t xml:space="preserve"> catalyse la réduction de la </w:t>
      </w:r>
      <w:r>
        <w:rPr>
          <w:b/>
        </w:rPr>
        <w:t>double liaison Δ4</w:t>
      </w:r>
      <w:r>
        <w:t xml:space="preserve"> du noyau A de la testostérone, nécessitant le </w:t>
      </w:r>
      <w:r>
        <w:rPr>
          <w:b/>
        </w:rPr>
        <w:t>NADPH</w:t>
      </w:r>
      <w:r>
        <w:t xml:space="preserve"> comme cofacteur, pour produire la </w:t>
      </w:r>
      <w:r>
        <w:rPr>
          <w:b/>
        </w:rPr>
        <w:t>dihydrotestostérone (DHT)</w:t>
      </w:r>
      <w:r>
        <w:t xml:space="preserve">. La DHT se lie alors avec une </w:t>
      </w:r>
      <w:r>
        <w:rPr>
          <w:b/>
        </w:rPr>
        <w:t>affinité supérieure</w:t>
      </w:r>
      <w:r>
        <w:t xml:space="preserve"> à la testostérone sur le </w:t>
      </w:r>
      <w:r>
        <w:rPr>
          <w:b/>
        </w:rPr>
        <w:t>récepteur androgénique nucléaire</w:t>
      </w:r>
      <w:r>
        <w:t xml:space="preserve"> des cellules stromales et épithéliales prostatiques, activant la transcription de facteurs de croissance (TGF-β, FGF-7, IGF-1, EGF) qui stimulent la prolifération cellulaire et la </w:t>
      </w:r>
      <w:r>
        <w:rPr>
          <w:b/>
        </w:rPr>
        <w:t>synthèse de matrice extracellulaire</w:t>
      </w:r>
      <w:r>
        <w:t xml:space="preserve"> — aboutissant à l'</w:t>
      </w:r>
      <w:r>
        <w:rPr>
          <w:b/>
        </w:rPr>
        <w:t>hyperplasie stromo-épithéliale</w:t>
      </w:r>
      <w:r>
        <w:t xml:space="preserve"> caractéristique de la HBP.</w:t>
      </w:r>
    </w:p>
    <w:p>
      <w:r>
        <w:t xml:space="preserve">Le </w:t>
      </w:r>
      <w:r>
        <w:rPr>
          <w:b/>
        </w:rPr>
        <w:t>finastéride</w:t>
      </w:r>
      <w:r>
        <w:t xml:space="preserve"> est un </w:t>
      </w:r>
      <w:r>
        <w:rPr>
          <w:b/>
        </w:rPr>
        <w:t>inhibiteur compétitif</w:t>
      </w:r>
      <w:r>
        <w:t xml:space="preserve"> de la </w:t>
      </w:r>
      <w:r>
        <w:rPr>
          <w:b/>
        </w:rPr>
        <w:t>5-alpha-réductase de type II</w:t>
      </w:r>
      <w:r>
        <w:t xml:space="preserve"> (affinité faible pour le type I), entraînant une </w:t>
      </w:r>
      <w:r>
        <w:rPr>
          <w:b/>
        </w:rPr>
        <w:t>réduction de la DHT intraprostatique d'environ 70-80 %</w:t>
      </w:r>
      <w:r>
        <w:t xml:space="preserve"> et une </w:t>
      </w:r>
      <w:r>
        <w:rPr>
          <w:b/>
        </w:rPr>
        <w:t>réduction de la DHT sérique d'environ 65-70 %</w:t>
      </w:r>
      <w:r>
        <w:t>. La testostérone sérique est conservée (et même légèrement augmentée par rétrocontrôle hypothalamo-hypophyso-gonadique) — ce qui permet de préserver les fonctions androgéniques systémiques (libido, érection, masse musculaire) chez la majorité des patients, mais expose au risque d'effets indésirables sexuels (baisse de libido, troubles de l'érection, éjaculation anormale — voir Profil Pharmacologique).</w:t>
      </w:r>
    </w:p>
    <w:p>
      <w:r>
        <w:t xml:space="preserve">Le </w:t>
      </w:r>
      <w:r>
        <w:rPr>
          <w:b/>
        </w:rPr>
        <w:t>dutastéride</w:t>
      </w:r>
      <w:r>
        <w:t xml:space="preserve"> (non commercialisé en Algérie) est un </w:t>
      </w:r>
      <w:r>
        <w:rPr>
          <w:b/>
        </w:rPr>
        <w:t>inhibiteur dual</w:t>
      </w:r>
      <w:r>
        <w:t xml:space="preserve"> de la 5-alpha-réductase de type I et II, entraînant une </w:t>
      </w:r>
      <w:r>
        <w:rPr>
          <w:b/>
        </w:rPr>
        <w:t>réduction de la DHT intraprostatique et sérique d'environ 90-95 %</w:t>
      </w:r>
      <w:r>
        <w:t xml:space="preserve"> — supériorité moléculaire sur le finastéride, sans traduction clinique nettement supérieure dans les études comparatives.</w:t>
      </w:r>
    </w:p>
    <w:p>
      <w:pPr>
        <w:pStyle w:val="Heading3"/>
      </w:pPr>
      <w:r>
        <w:t>Effets cliniques attendus — Délai d'action caractéristique</w:t>
      </w:r>
    </w:p>
    <w:p>
      <w:r>
        <w:t xml:space="preserve">Les inhibiteurs de la 5-alpha-réductase agissent sur la </w:t>
      </w:r>
      <w:r>
        <w:rPr>
          <w:b/>
        </w:rPr>
        <w:t>composante statique</w:t>
      </w:r>
      <w:r>
        <w:t xml:space="preserve"> (mécanique) de l'obstruction prostatique en </w:t>
      </w:r>
      <w:r>
        <w:rPr>
          <w:b/>
        </w:rPr>
        <w:t>réduisant le volume prostatique</w:t>
      </w:r>
      <w:r>
        <w:t xml:space="preserve"> de 20-30 % après 6-12 mois de traitement continu. Cette réduction volumique est </w:t>
      </w:r>
      <w:r>
        <w:rPr>
          <w:b/>
        </w:rPr>
        <w:t>lente</w:t>
      </w:r>
      <w:r>
        <w:t xml:space="preserve"> — c'est la signature pharmacologique de cette classe : (i) </w:t>
      </w:r>
      <w:r>
        <w:rPr>
          <w:b/>
        </w:rPr>
        <w:t>aucun effet symptomatique avant 3-6 mois</w:t>
      </w:r>
      <w:r>
        <w:t xml:space="preserve"> (le patient doit être informé pour éviter l'inobservance par découragement) ; (ii) </w:t>
      </w:r>
      <w:r>
        <w:rPr>
          <w:b/>
        </w:rPr>
        <w:t>effet maximal à 12-24 mois</w:t>
      </w:r>
      <w:r>
        <w:t xml:space="preserve"> ; (iii) </w:t>
      </w:r>
      <w:r>
        <w:rPr>
          <w:b/>
        </w:rPr>
        <w:t>stabilisation du volume prostatique</w:t>
      </w:r>
      <w:r>
        <w:t xml:space="preserve"> au long cours (traitement à vie — à l'arrêt, le volume prostatique reaugmente en 3-6 mois et revient au niveau initial en 12 mois). Les indications privilégiées sont donc : (i) </w:t>
      </w:r>
      <w:r>
        <w:rPr>
          <w:b/>
        </w:rPr>
        <w:t>prostate volumineuse</w:t>
      </w:r>
      <w:r>
        <w:t xml:space="preserve"> (≥ 30-40 mL) ou </w:t>
      </w:r>
      <w:r>
        <w:rPr>
          <w:b/>
        </w:rPr>
        <w:t>PSA &gt; 1,5 ng/mL</w:t>
      </w:r>
      <w:r>
        <w:t xml:space="preserve"> (corrélé au volume prostatique) ; (ii) </w:t>
      </w:r>
      <w:r>
        <w:rPr>
          <w:b/>
        </w:rPr>
        <w:t>prévention de la rétention aiguë d'urine</w:t>
      </w:r>
      <w:r>
        <w:t xml:space="preserve"> et de la chirurgie prostatique (étude MTOPS — réduction de 68 % du risque à 4 ans) ; (iii) </w:t>
      </w:r>
      <w:r>
        <w:rPr>
          <w:b/>
        </w:rPr>
        <w:t>persistance des symptômes sous alpha-bloquant</w:t>
      </w:r>
      <w:r>
        <w:t xml:space="preserve"> seul (justifiant la bithérapie) ; (iv) </w:t>
      </w:r>
      <w:r>
        <w:rPr>
          <w:b/>
        </w:rPr>
        <w:t>saignement prostatique récidivant</w:t>
      </w:r>
      <w:r>
        <w:t xml:space="preserve"> (réduction du saignement par diminution de la vascularisation prostatique).</w:t>
      </w:r>
    </w:p>
    <w:p>
      <w:pPr>
        <w:pStyle w:val="Heading3"/>
      </w:pPr>
      <w:r>
        <w:t>Baisse du PSA — Le piège pharmacologique majeur</w:t>
      </w:r>
    </w:p>
    <w:p>
      <w:r>
        <w:t xml:space="preserve">Sous finastéride (ou dutastéride), le </w:t>
      </w:r>
      <w:r>
        <w:rPr>
          <w:b/>
        </w:rPr>
        <w:t>PSA sérique est réduit d'environ 50 % après 6 mois</w:t>
      </w:r>
      <w:r>
        <w:t xml:space="preserve"> de traitement continu — conséquence directe de la réduction du volume prostatique et de l'activité métabolique épithéliale prostatique. Cette </w:t>
      </w:r>
      <w:r>
        <w:rPr>
          <w:b/>
        </w:rPr>
        <w:t>baisse du PSA</w:t>
      </w:r>
      <w:r>
        <w:t xml:space="preserve"> est un piège majeur : si le clinicien n'est pas informé que le patient est sous finastéride, il peut méconnaître un </w:t>
      </w:r>
      <w:r>
        <w:rPr>
          <w:b/>
        </w:rPr>
        <w:t>cancer prostatique sous-jacent</w:t>
      </w:r>
      <w:r>
        <w:t xml:space="preserve"> (le PSA « normalisé » peut masquer une élévation pathologique). La règle est donc de </w:t>
      </w:r>
      <w:r>
        <w:rPr>
          <w:b/>
        </w:rPr>
        <w:t>multiplier par 2 la valeur du PSA</w:t>
      </w:r>
      <w:r>
        <w:t xml:space="preserve"> mesurée chez un patient sous finastéride depuis ≥ 6 mois, et d'interpréter cette valeur corrigée selon les seuils standards (&gt; 4 ng/mL = biopsie discutée ; &gt; 10 ng/mL = biopsie indiquée ; vélocité &gt; 0,75 ng/mL/an = biopsie discutée). Le pharmacien doit </w:t>
      </w:r>
      <w:r>
        <w:rPr>
          <w:b/>
        </w:rPr>
        <w:t>informer le patient</w:t>
      </w:r>
      <w:r>
        <w:t xml:space="preserve"> de cette particularité et lui recommander de </w:t>
      </w:r>
      <w:r>
        <w:rPr>
          <w:b/>
        </w:rPr>
        <w:t>signaler son traitement par finastéride à tout médecin prescrivant un dosage de PSA</w:t>
      </w:r>
      <w:r>
        <w:t xml:space="preserve"> (urologue, médecin généraliste, médecin du travail). Idéalement, un </w:t>
      </w:r>
      <w:r>
        <w:rPr>
          <w:b/>
        </w:rPr>
        <w:t>PSA de référence</w:t>
      </w:r>
      <w:r>
        <w:t xml:space="preserve"> doit être mesuré avant l'initiation du finastéride (baseline).</w:t>
      </w:r>
    </w:p>
    <w:p>
      <w:pPr>
        <w:pStyle w:val="Heading3"/>
      </w:pPr>
      <w:r>
        <w:t>Particularités algériennes — Place du finastéride et absence du dutastéride</w:t>
      </w:r>
    </w:p>
    <w:p>
      <w:r>
        <w:t xml:space="preserve">En Algérie, le </w:t>
      </w:r>
      <w:r>
        <w:rPr>
          <w:b/>
        </w:rPr>
        <w:t>finastéride</w:t>
      </w:r>
      <w:r>
        <w:t xml:space="preserve"> est commercialisé sous 7 marques actives de génériques 5 mg (FINCAR, NOVASTERIDE, UROSTERIDE, PROSTACARE — 2 formes, PROSTADOZ, PROSTAMED) et la spécialité princeps </w:t>
      </w:r>
      <w:r>
        <w:rPr>
          <w:b/>
        </w:rPr>
        <w:t>Chibro-Proscar® 5 mg</w:t>
      </w:r>
      <w:r>
        <w:t xml:space="preserve"> de Merck Sharp &amp; Dohme Chibret a été </w:t>
      </w:r>
      <w:r>
        <w:rPr>
          <w:b/>
        </w:rPr>
        <w:t>retirée</w:t>
      </w:r>
      <w:r>
        <w:t xml:space="preserve"> du marché algérien. Le finastéride est également disponible dans l'indication </w:t>
      </w:r>
      <w:r>
        <w:rPr>
          <w:b/>
        </w:rPr>
        <w:t>alopécie androgénique masculine</w:t>
      </w:r>
      <w:r>
        <w:t xml:space="preserve"> au dosage 1 mg (Propecia® — non référencé dans la nomenclature algérienne Avril 2026, vraisemblablement non commercialisé ou importé ponctuellement). Le </w:t>
      </w:r>
      <w:r>
        <w:rPr>
          <w:b/>
        </w:rPr>
        <w:t>dutastéride</w:t>
      </w:r>
      <w:r>
        <w:t xml:space="preserve"> (Avodart® 0,5 mg — GSK) </w:t>
      </w:r>
      <w:r>
        <w:rPr>
          <w:b/>
        </w:rPr>
        <w:t>n'est pas commercialisé en Algérie</w:t>
      </w:r>
      <w:r>
        <w:t xml:space="preserve"> — absence à signaler car les patients l'ayant vu prescrit à l'étranger peuvent se présenter en officine pour s'en procurer ; le pharmacien doit orienter vers le finastéride (alternative algérienne disponible) ou vers une importation exceptionnelle. L'association fixe </w:t>
      </w:r>
      <w:r>
        <w:rPr>
          <w:b/>
        </w:rPr>
        <w:t>dutastéride + tamsulosine</w:t>
      </w:r>
      <w:r>
        <w:t xml:space="preserve"> (Duodart® / Combodart® — GSK) n'est pas non plus disponible en Algérie, justifiant la prescription séparée de finastéride + tamsulosine (bithérapie en deux comprimés) en cas d'indication.</w:t>
      </w:r>
    </w:p>
    <w:p>
      <w:pPr>
        <w:pStyle w:val="Heading3"/>
      </w:pPr>
      <w:r>
        <w:t>Tératogénicité — Le risque majeur chez la femme enceinte</w:t>
      </w:r>
    </w:p>
    <w:p>
      <w:r>
        <w:t xml:space="preserve">Le finastéride est </w:t>
      </w:r>
      <w:r>
        <w:rPr>
          <w:b/>
        </w:rPr>
        <w:t>tératogène chez la femme enceinte</w:t>
      </w:r>
      <w:r>
        <w:t xml:space="preserve"> — il traverse le placenta et inhibe la 5-alpha-réductase de type II fœtale, enzyme indispensable au </w:t>
      </w:r>
      <w:r>
        <w:rPr>
          <w:b/>
        </w:rPr>
        <w:t>développement des organes génitaux externes masculins</w:t>
      </w:r>
      <w:r>
        <w:t xml:space="preserve"> (differentiation des organes génitaux ambigus en organes mâles : fermeture des plis urétraux, développement du pénis, descente testiculaire). L'exposition fœtale au finastéride pendant la période critique de </w:t>
      </w:r>
      <w:r>
        <w:rPr>
          <w:b/>
        </w:rPr>
        <w:t>differentiation sexuelle</w:t>
      </w:r>
      <w:r>
        <w:t xml:space="preserve"> (semaines 8 à 14 de gestation) entraîne un </w:t>
      </w:r>
      <w:r>
        <w:rPr>
          <w:b/>
        </w:rPr>
        <w:t>pseudo-hermaphrodisme masculin</w:t>
      </w:r>
      <w:r>
        <w:t xml:space="preserve"> : organes génitaux externes féminisés (phallus réduit en clitoridienne, hypospadias périnéal, scrotum bifide, cryptorchidie) avec </w:t>
      </w:r>
      <w:r>
        <w:rPr>
          <w:b/>
        </w:rPr>
        <w:t>organes génitaux internes masculins normaux</w:t>
      </w:r>
      <w:r>
        <w:t xml:space="preserve"> (testicules, épididymes, vésicules séminales). Ce risque tératogène impose :</w:t>
      </w:r>
    </w:p>
    <w:p>
      <w:pPr>
        <w:pStyle w:val="ListBullet"/>
      </w:pPr>
      <w:r/>
      <w:r>
        <w:rPr>
          <w:b/>
        </w:rPr>
        <w:t>Contre-indication absolue</w:t>
      </w:r>
      <w:r>
        <w:t xml:space="preserve"> de prescription du finastéride chez la femme enceinte ou susceptible de l'être ;</w:t>
      </w:r>
    </w:p>
    <w:p>
      <w:pPr>
        <w:pStyle w:val="ListBullet"/>
      </w:pPr>
      <w:r/>
      <w:r>
        <w:rPr>
          <w:b/>
        </w:rPr>
        <w:t>Contre-indication absolue</w:t>
      </w:r>
      <w:r>
        <w:t xml:space="preserve"> de manipulation des comprimés de finastéride (notamment cassation ou écrasement) par une femme enceinte ou susceptible de l'être — le principe actif peut être absorbé par voie transcutanée ou inhalée en cas de cassation ;</w:t>
      </w:r>
    </w:p>
    <w:p>
      <w:pPr>
        <w:pStyle w:val="ListBullet"/>
      </w:pPr>
      <w:r/>
      <w:r>
        <w:rPr>
          <w:b/>
        </w:rPr>
        <w:t>Recommandation de port de gants</w:t>
      </w:r>
      <w:r>
        <w:t xml:space="preserve"> pour les femmes enceintes ou en âge de procréer manipulant le finastéride (personnel soignant, pharmaciennes) ;</w:t>
      </w:r>
    </w:p>
    <w:p>
      <w:pPr>
        <w:pStyle w:val="ListBullet"/>
      </w:pPr>
      <w:r/>
      <w:r>
        <w:rPr>
          <w:b/>
        </w:rPr>
        <w:t>Utilisation d'un préservatif</w:t>
      </w:r>
      <w:r>
        <w:t xml:space="preserve"> pendant les rapports sexuels avec une femme enceinte ou susceptible de l'être — bien que le passage du finastéride dans le sperme soit très faible (et non considéré comme un risque selon le CRAT), le RCP recommande par mesure de prudence l'utilisation d'un préservatif pendant le traitement et pendant 1 semaine après l'arrêt (demi-vie longue ~6-8 h × 5 = 30-40 h ; le RCP recommande en réalité 1 semaine en raison de la variabilité interindividuelle) ;</w:t>
      </w:r>
    </w:p>
    <w:p>
      <w:pPr>
        <w:pStyle w:val="ListBullet"/>
      </w:pPr>
      <w:r/>
      <w:r>
        <w:rPr>
          <w:b/>
        </w:rPr>
        <w:t>Information explicite du patient</w:t>
      </w:r>
      <w:r>
        <w:t xml:space="preserve"> et de sa partenaire sur ce risque tératogène.</w:t>
      </w:r>
    </w:p>
    <w:p>
      <w:pPr>
        <w:pStyle w:val="Heading2"/>
      </w:pPr>
      <w:r>
        <w:t>7. Fiche DCI — Inhibiteurs de la 5-alpha-réductase</w:t>
      </w:r>
    </w:p>
    <w:p>
      <w:pPr>
        <w:pStyle w:val="Heading3"/>
      </w:pPr>
      <w:r>
        <w:t>4. DCI : Finastéride (et comparaison avec le Dutastéride — non commercialisé en Algérie)</w:t>
      </w:r>
    </w:p>
    <w:p>
      <w:r/>
      <w:r>
        <w:rPr>
          <w:b/>
        </w:rPr>
        <w:t>Liste des Catégories :</w:t>
      </w:r>
      <w:r>
        <w:t xml:space="preserve"> Inhibiteur de la 5-alpha-réductase type II — Traitement de l'HBP volumineuse (≥ 30-40 mL) — Prévention de la rétention aiguë d'urine et de la chirurgie prostatique — Liste I — Comprimé à 5 mg — Délivrance sur ordonnance — CI absolue chez la femme enceinte ou susceptible de l'être (tératogénicité — anogénital).</w:t>
      </w:r>
    </w:p>
    <w:p>
      <w:r>
        <w:t xml:space="preserve">Le </w:t>
      </w:r>
      <w:r>
        <w:rPr>
          <w:b/>
        </w:rPr>
        <w:t>finastéride</w:t>
      </w:r>
      <w:r>
        <w:t xml:space="preserve"> est un </w:t>
      </w:r>
      <w:r>
        <w:rPr>
          <w:b/>
        </w:rPr>
        <w:t>inhibiteur compétitif</w:t>
      </w:r>
      <w:r>
        <w:t xml:space="preserve"> de la </w:t>
      </w:r>
      <w:r>
        <w:rPr>
          <w:b/>
        </w:rPr>
        <w:t>5-alpha-réductase de type II</w:t>
      </w:r>
      <w:r>
        <w:t xml:space="preserve"> (enzyme prostatique), structurellement apparenté à la testostérone (stéroïde synthétique de la famille des </w:t>
      </w:r>
      <w:r>
        <w:rPr>
          <w:b/>
        </w:rPr>
        <w:t>azastéroïdes</w:t>
      </w:r>
      <w:r>
        <w:t xml:space="preserve"> — groupe azoté substitué au carbone 4 du noyau A). Commercialisé initialement sous le nom de </w:t>
      </w:r>
      <w:r>
        <w:rPr>
          <w:b/>
        </w:rPr>
        <w:t>Proscar® 5 mg</w:t>
      </w:r>
      <w:r>
        <w:t xml:space="preserve"> par Merck Sharp &amp; Dohme Chibret dans les années 1990 (princeps aujourd'hui retiré du marché algérien) et sous le nom de </w:t>
      </w:r>
      <w:r>
        <w:rPr>
          <w:b/>
        </w:rPr>
        <w:t>Propecia® 1 mg</w:t>
      </w:r>
      <w:r>
        <w:t xml:space="preserve"> pour l'indication alopécie androgénique masculine (non commercialisé en Algérie), le finastéride 5 mg est désormais disponible sous 7 marques génériques actives en Algérie. Le finastéride 5 mg réduit la DHT intraprostatique de 70-80 % et la DHT sérique de 65-70 %, sans abaisser significativement la testostérone sérique (qui peut même légèrement augmenter par rétrocontrôle hypophysaire). Cette </w:t>
      </w:r>
      <w:r>
        <w:rPr>
          <w:b/>
        </w:rPr>
        <w:t>sélectivité tissulaire</w:t>
      </w:r>
      <w:r>
        <w:t xml:space="preserve"> (la testostérone systémique est conservée, permettant de préserver les fonctions androgéniques systémiques chez la majorité des patients) distingue le finastéride de la castration chirurgicale ou chimique (agonistes LH-RH) qui, elles, abaissent à la fois testostérone et DHT, et exposent à une perte massive des fonctions androgéniques (baisse de libido, troubles de l'érection, bouffées de chaleur, ostéoporose). Le finastéride agit </w:t>
      </w:r>
      <w:r>
        <w:rPr>
          <w:b/>
        </w:rPr>
        <w:t>lentement</w:t>
      </w:r>
      <w:r>
        <w:t xml:space="preserve"> — effet symptomatique retardé à 3-6 mois, effet maximal à 12-24 mois — et </w:t>
      </w:r>
      <w:r>
        <w:rPr>
          <w:b/>
        </w:rPr>
        <w:t>réduit le volume prostatique de 20-30 %</w:t>
      </w:r>
      <w:r>
        <w:t xml:space="preserve"> après 6-12 mois de traitement continu. C'est le traitement de choix de la HBP </w:t>
      </w:r>
      <w:r>
        <w:rPr>
          <w:b/>
        </w:rPr>
        <w:t>volumineuse</w:t>
      </w:r>
      <w:r>
        <w:t xml:space="preserve"> (prostate ≥ 30-40 mL), en monothérapie ou en bithérapie avec un alpha-bloquant (étude MTOPS : réduction de 66-68 % du risque de rétention aiguë d'urine et de chirurgie prostatique à 4 ans en bithérapie vs monothérapie alpha-bloquant). Le </w:t>
      </w:r>
      <w:r>
        <w:rPr>
          <w:b/>
        </w:rPr>
        <w:t>dutastéride</w:t>
      </w:r>
      <w:r>
        <w:t xml:space="preserve"> (Avodart® — GSK) est un inhibiteur </w:t>
      </w:r>
      <w:r>
        <w:rPr>
          <w:b/>
        </w:rPr>
        <w:t>dual</w:t>
      </w:r>
      <w:r>
        <w:t xml:space="preserve"> (type I et II) plus puissant sur la DHT (réduction de 90-95 %) mais non commercialisé en Algérie — comparaison détaillée dans la section comparative ci-dessous.</w:t>
      </w:r>
    </w:p>
    <w:p>
      <w:r/>
      <w:r>
        <w:rPr>
          <w:b/>
        </w:rPr>
        <w:t>Médicaments disponibles en Algérie (Marques, Laboratoires, Formes et Dosages) :</w:t>
      </w:r>
      <w:r/>
    </w:p>
    <w:p>
      <w:pPr>
        <w:pStyle w:val="ListBullet"/>
      </w:pPr>
      <w:r/>
      <w:r>
        <w:rPr>
          <w:b/>
        </w:rPr>
        <w:t>FINCAR</w:t>
      </w:r>
      <w:r>
        <w:t xml:space="preserve"> (CIPLA LIMITED)</w:t>
      </w:r>
    </w:p>
    <w:p>
      <w:pPr>
        <w:pStyle w:val="ListBullet"/>
      </w:pPr>
      <w:r>
        <w:t>Formes et Dosages : Comprimé 5 mg — Boîte de 30.</w:t>
      </w:r>
    </w:p>
    <w:p>
      <w:pPr>
        <w:pStyle w:val="ListBullet"/>
      </w:pPr>
      <w:r>
        <w:t>Statut : Actif (LISTE I).</w:t>
      </w:r>
    </w:p>
    <w:p>
      <w:pPr>
        <w:pStyle w:val="ListBullet"/>
      </w:pPr>
      <w:r/>
      <w:r>
        <w:rPr>
          <w:b/>
        </w:rPr>
        <w:t>NOVASTERIDE</w:t>
      </w:r>
      <w:r>
        <w:t xml:space="preserve"> (SARL NOVO MEDIS)</w:t>
      </w:r>
    </w:p>
    <w:p>
      <w:pPr>
        <w:pStyle w:val="ListBullet"/>
      </w:pPr>
      <w:r>
        <w:t>Formes et Dosages : Comprimé pelliculé 5 mg — Boîte de 30.</w:t>
      </w:r>
    </w:p>
    <w:p>
      <w:pPr>
        <w:pStyle w:val="ListBullet"/>
      </w:pPr>
      <w:r>
        <w:t>Statut : Actif (LISTE I).</w:t>
      </w:r>
    </w:p>
    <w:p>
      <w:pPr>
        <w:pStyle w:val="ListBullet"/>
      </w:pPr>
      <w:r/>
      <w:r>
        <w:rPr>
          <w:b/>
        </w:rPr>
        <w:t>UROSTERIDE</w:t>
      </w:r>
      <w:r>
        <w:t xml:space="preserve"> (PHARMA MAKERS)</w:t>
      </w:r>
    </w:p>
    <w:p>
      <w:pPr>
        <w:pStyle w:val="ListBullet"/>
      </w:pPr>
      <w:r>
        <w:t>Formes et Dosages : Comprimé pelliculé 5 mg — Boîte de 30.</w:t>
      </w:r>
    </w:p>
    <w:p>
      <w:pPr>
        <w:pStyle w:val="ListBullet"/>
      </w:pPr>
      <w:r>
        <w:t>Statut : Actif (LISTE I).</w:t>
      </w:r>
    </w:p>
    <w:p>
      <w:pPr>
        <w:pStyle w:val="ListBullet"/>
      </w:pPr>
      <w:r/>
      <w:r>
        <w:rPr>
          <w:b/>
        </w:rPr>
        <w:t>PROSTACARE</w:t>
      </w:r>
      <w:r>
        <w:t xml:space="preserve"> (HAYAT PHARMACEUTICAL INDUSTRIES CO LTD)</w:t>
      </w:r>
    </w:p>
    <w:p>
      <w:pPr>
        <w:pStyle w:val="ListBullet"/>
      </w:pPr>
      <w:r>
        <w:t>Formes et Dosages : Comprimé 5 mg — Boîte de 30.</w:t>
      </w:r>
    </w:p>
    <w:p>
      <w:pPr>
        <w:pStyle w:val="ListBullet"/>
      </w:pPr>
      <w:r>
        <w:t>Statut : Actif (LISTE I).</w:t>
      </w:r>
    </w:p>
    <w:p>
      <w:pPr>
        <w:pStyle w:val="ListBullet"/>
      </w:pPr>
      <w:r/>
      <w:r>
        <w:rPr>
          <w:b/>
        </w:rPr>
        <w:t>PROSTACARE</w:t>
      </w:r>
      <w:r>
        <w:t xml:space="preserve"> (HAYAT PHARMACEUTICAL INDUSTRIES CO PLC)</w:t>
      </w:r>
    </w:p>
    <w:p>
      <w:pPr>
        <w:pStyle w:val="ListBullet"/>
      </w:pPr>
      <w:r>
        <w:t>Formes et Dosages : Comprimé pelliculé 5 mg — Boîte de 30.</w:t>
      </w:r>
    </w:p>
    <w:p>
      <w:pPr>
        <w:pStyle w:val="ListBullet"/>
      </w:pPr>
      <w:r>
        <w:t>Statut : Actif (LISTE I).</w:t>
      </w:r>
    </w:p>
    <w:p>
      <w:pPr>
        <w:pStyle w:val="ListBullet"/>
      </w:pPr>
      <w:r/>
      <w:r>
        <w:rPr>
          <w:b/>
        </w:rPr>
        <w:t>PROSTADOZ</w:t>
      </w:r>
      <w:r>
        <w:t xml:space="preserve"> (NOVAPHARM TRADING)</w:t>
      </w:r>
    </w:p>
    <w:p>
      <w:pPr>
        <w:pStyle w:val="ListBullet"/>
      </w:pPr>
      <w:r>
        <w:t>Formes et Dosages : Comprimé pelliculé 5 mg — Boîte de 30.</w:t>
      </w:r>
    </w:p>
    <w:p>
      <w:pPr>
        <w:pStyle w:val="ListBullet"/>
      </w:pPr>
      <w:r>
        <w:t>Statut : Actif (LISTE I).</w:t>
      </w:r>
    </w:p>
    <w:p>
      <w:pPr>
        <w:pStyle w:val="ListBullet"/>
      </w:pPr>
      <w:r/>
      <w:r>
        <w:rPr>
          <w:b/>
        </w:rPr>
        <w:t>PROSTAMED</w:t>
      </w:r>
      <w:r>
        <w:t xml:space="preserve"> (ABDI IBRAHIM REMEDE PHARMA)</w:t>
      </w:r>
    </w:p>
    <w:p>
      <w:pPr>
        <w:pStyle w:val="ListBullet"/>
      </w:pPr>
      <w:r>
        <w:t>Formes et Dosages : Comprimé pelliculé 5 mg — Boîte de 30.</w:t>
      </w:r>
    </w:p>
    <w:p>
      <w:pPr>
        <w:pStyle w:val="ListBullet"/>
      </w:pPr>
      <w:r>
        <w:t>Statut : Actif (LISTE I).</w:t>
      </w:r>
    </w:p>
    <w:p>
      <w:pPr>
        <w:pStyle w:val="ListBullet"/>
      </w:pPr>
      <w:r/>
      <w:r>
        <w:rPr>
          <w:b/>
        </w:rPr>
        <w:t>CHIBRO-PROSCAR</w:t>
      </w:r>
      <w:r>
        <w:t xml:space="preserve"> (MERCK SHARP &amp; DHOME CHIBRET)</w:t>
      </w:r>
    </w:p>
    <w:p>
      <w:pPr>
        <w:pStyle w:val="ListBullet"/>
      </w:pPr>
      <w:r>
        <w:t>Formes et Dosages : Comprimé 5 mg — Boîte de 28.</w:t>
      </w:r>
    </w:p>
    <w:p>
      <w:pPr>
        <w:pStyle w:val="ListBullet"/>
      </w:pPr>
      <w:r>
        <w:t>Statut : Retiré (R) — spécialité princeps historique.</w:t>
      </w:r>
    </w:p>
    <w:p>
      <w:r/>
      <w:r>
        <w:rPr>
          <w:b/>
        </w:rPr>
        <w:t>Comparaison avec le Dutastéride (non commercialisé en Algérie) :</w:t>
      </w:r>
      <w:r/>
    </w:p>
    <w:p>
      <w:r>
        <w:t xml:space="preserve">Le </w:t>
      </w:r>
      <w:r>
        <w:rPr>
          <w:b/>
        </w:rPr>
        <w:t>dutastéride</w:t>
      </w:r>
      <w:r>
        <w:t xml:space="preserve"> (Avodart® 0,5 mg — GlaxoSmithKline) est un </w:t>
      </w:r>
      <w:r>
        <w:rPr>
          <w:b/>
        </w:rPr>
        <w:t>inhibiteur dual</w:t>
      </w:r>
      <w:r>
        <w:t xml:space="preserve"> de la 5-alpha-réductase de </w:t>
      </w:r>
      <w:r>
        <w:rPr>
          <w:b/>
        </w:rPr>
        <w:t>type I et II</w:t>
      </w:r>
      <w:r>
        <w:t>, entraînant une réduction plus marquée de la DHT sérique et intraprostatique (~90-95 % vs 70-80 % pour le finastéride). Caractéristiques comparées :</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Caractéristique</w:t>
            </w:r>
          </w:p>
        </w:tc>
        <w:tc>
          <w:tcPr>
            <w:tcW w:type="dxa" w:w="3118"/>
          </w:tcPr>
          <w:p>
            <w:r>
              <w:rPr>
                <w:b/>
                <w:sz w:val="20"/>
              </w:rPr>
              <w:t>Finastéride 5 mg</w:t>
            </w:r>
          </w:p>
        </w:tc>
        <w:tc>
          <w:tcPr>
            <w:tcW w:type="dxa" w:w="3118"/>
          </w:tcPr>
          <w:p>
            <w:r>
              <w:rPr>
                <w:b/>
                <w:sz w:val="20"/>
              </w:rPr>
              <w:t>Dutastéride 0,5 mg</w:t>
            </w:r>
          </w:p>
        </w:tc>
      </w:tr>
      <w:tr>
        <w:tc>
          <w:tcPr>
            <w:tcW w:type="dxa" w:w="3118"/>
          </w:tcPr>
          <w:p>
            <w:r>
              <w:rPr>
                <w:sz w:val="20"/>
              </w:rPr>
              <w:t>Cible enzymatique</w:t>
            </w:r>
          </w:p>
        </w:tc>
        <w:tc>
          <w:tcPr>
            <w:tcW w:type="dxa" w:w="3118"/>
          </w:tcPr>
          <w:p>
            <w:r>
              <w:rPr>
                <w:sz w:val="20"/>
              </w:rPr>
              <w:t>5α-réductase type II</w:t>
            </w:r>
          </w:p>
        </w:tc>
        <w:tc>
          <w:tcPr>
            <w:tcW w:type="dxa" w:w="3118"/>
          </w:tcPr>
          <w:p>
            <w:r>
              <w:rPr>
                <w:sz w:val="20"/>
              </w:rPr>
              <w:t>5α-réductase type I et II</w:t>
            </w:r>
          </w:p>
        </w:tc>
      </w:tr>
      <w:tr>
        <w:tc>
          <w:tcPr>
            <w:tcW w:type="dxa" w:w="3118"/>
          </w:tcPr>
          <w:p>
            <w:r>
              <w:rPr>
                <w:sz w:val="20"/>
              </w:rPr>
              <w:t>Réduction DHT sérique</w:t>
            </w:r>
          </w:p>
        </w:tc>
        <w:tc>
          <w:tcPr>
            <w:tcW w:type="dxa" w:w="3118"/>
          </w:tcPr>
          <w:p>
            <w:r>
              <w:rPr>
                <w:sz w:val="20"/>
              </w:rPr>
              <w:t>65-70 %</w:t>
            </w:r>
          </w:p>
        </w:tc>
        <w:tc>
          <w:tcPr>
            <w:tcW w:type="dxa" w:w="3118"/>
          </w:tcPr>
          <w:p>
            <w:r>
              <w:rPr>
                <w:sz w:val="20"/>
              </w:rPr>
              <w:t>90-95 %</w:t>
            </w:r>
          </w:p>
        </w:tc>
      </w:tr>
      <w:tr>
        <w:tc>
          <w:tcPr>
            <w:tcW w:type="dxa" w:w="3118"/>
          </w:tcPr>
          <w:p>
            <w:r>
              <w:rPr>
                <w:sz w:val="20"/>
              </w:rPr>
              <w:t>Réduction DHT intraprostatique</w:t>
            </w:r>
          </w:p>
        </w:tc>
        <w:tc>
          <w:tcPr>
            <w:tcW w:type="dxa" w:w="3118"/>
          </w:tcPr>
          <w:p>
            <w:r>
              <w:rPr>
                <w:sz w:val="20"/>
              </w:rPr>
              <w:t>70-80 %</w:t>
            </w:r>
          </w:p>
        </w:tc>
        <w:tc>
          <w:tcPr>
            <w:tcW w:type="dxa" w:w="3118"/>
          </w:tcPr>
          <w:p>
            <w:r>
              <w:rPr>
                <w:sz w:val="20"/>
              </w:rPr>
              <w:t>90-95 %</w:t>
            </w:r>
          </w:p>
        </w:tc>
      </w:tr>
      <w:tr>
        <w:tc>
          <w:tcPr>
            <w:tcW w:type="dxa" w:w="3118"/>
          </w:tcPr>
          <w:p>
            <w:r>
              <w:rPr>
                <w:sz w:val="20"/>
              </w:rPr>
              <w:t>Demi-vie d'élimination</w:t>
            </w:r>
          </w:p>
        </w:tc>
        <w:tc>
          <w:tcPr>
            <w:tcW w:type="dxa" w:w="3118"/>
          </w:tcPr>
          <w:p>
            <w:r>
              <w:rPr>
                <w:sz w:val="20"/>
              </w:rPr>
              <w:t>6-8 h (effet cumulatif)</w:t>
            </w:r>
          </w:p>
        </w:tc>
        <w:tc>
          <w:tcPr>
            <w:tcW w:type="dxa" w:w="3118"/>
          </w:tcPr>
          <w:p>
            <w:r>
              <w:rPr>
                <w:sz w:val="20"/>
              </w:rPr>
              <w:t>~5 semaines (extrêmement longue)</w:t>
            </w:r>
          </w:p>
        </w:tc>
      </w:tr>
      <w:tr>
        <w:tc>
          <w:tcPr>
            <w:tcW w:type="dxa" w:w="3118"/>
          </w:tcPr>
          <w:p>
            <w:r>
              <w:rPr>
                <w:sz w:val="20"/>
              </w:rPr>
              <w:t>Délai d'éffet symptomatique</w:t>
            </w:r>
          </w:p>
        </w:tc>
        <w:tc>
          <w:tcPr>
            <w:tcW w:type="dxa" w:w="3118"/>
          </w:tcPr>
          <w:p>
            <w:r>
              <w:rPr>
                <w:sz w:val="20"/>
              </w:rPr>
              <w:t>3-6 mois</w:t>
            </w:r>
          </w:p>
        </w:tc>
        <w:tc>
          <w:tcPr>
            <w:tcW w:type="dxa" w:w="3118"/>
          </w:tcPr>
          <w:p>
            <w:r>
              <w:rPr>
                <w:sz w:val="20"/>
              </w:rPr>
              <w:t>3-6 mois</w:t>
            </w:r>
          </w:p>
        </w:tc>
      </w:tr>
      <w:tr>
        <w:tc>
          <w:tcPr>
            <w:tcW w:type="dxa" w:w="3118"/>
          </w:tcPr>
          <w:p>
            <w:r>
              <w:rPr>
                <w:sz w:val="20"/>
              </w:rPr>
              <w:t>Réduction volume prostatique</w:t>
            </w:r>
          </w:p>
        </w:tc>
        <w:tc>
          <w:tcPr>
            <w:tcW w:type="dxa" w:w="3118"/>
          </w:tcPr>
          <w:p>
            <w:r>
              <w:rPr>
                <w:sz w:val="20"/>
              </w:rPr>
              <w:t>20-25 %</w:t>
            </w:r>
          </w:p>
        </w:tc>
        <w:tc>
          <w:tcPr>
            <w:tcW w:type="dxa" w:w="3118"/>
          </w:tcPr>
          <w:p>
            <w:r>
              <w:rPr>
                <w:sz w:val="20"/>
              </w:rPr>
              <w:t>25-30 %</w:t>
            </w:r>
          </w:p>
        </w:tc>
      </w:tr>
      <w:tr>
        <w:tc>
          <w:tcPr>
            <w:tcW w:type="dxa" w:w="3118"/>
          </w:tcPr>
          <w:p>
            <w:r>
              <w:rPr>
                <w:sz w:val="20"/>
              </w:rPr>
              <w:t>Réduction PSA</w:t>
            </w:r>
          </w:p>
        </w:tc>
        <w:tc>
          <w:tcPr>
            <w:tcW w:type="dxa" w:w="3118"/>
          </w:tcPr>
          <w:p>
            <w:r>
              <w:rPr>
                <w:sz w:val="20"/>
              </w:rPr>
              <w:t>~50 %</w:t>
            </w:r>
          </w:p>
        </w:tc>
        <w:tc>
          <w:tcPr>
            <w:tcW w:type="dxa" w:w="3118"/>
          </w:tcPr>
          <w:p>
            <w:r>
              <w:rPr>
                <w:sz w:val="20"/>
              </w:rPr>
              <w:t>~50 %</w:t>
            </w:r>
          </w:p>
        </w:tc>
      </w:tr>
      <w:tr>
        <w:tc>
          <w:tcPr>
            <w:tcW w:type="dxa" w:w="3118"/>
          </w:tcPr>
          <w:p>
            <w:r>
              <w:rPr>
                <w:sz w:val="20"/>
              </w:rPr>
              <w:t>Effets indésirables sexuels</w:t>
            </w:r>
          </w:p>
        </w:tc>
        <w:tc>
          <w:tcPr>
            <w:tcW w:type="dxa" w:w="3118"/>
          </w:tcPr>
          <w:p>
            <w:r>
              <w:rPr>
                <w:sz w:val="20"/>
              </w:rPr>
              <w:t>5-10 %</w:t>
            </w:r>
          </w:p>
        </w:tc>
        <w:tc>
          <w:tcPr>
            <w:tcW w:type="dxa" w:w="3118"/>
          </w:tcPr>
          <w:p>
            <w:r>
              <w:rPr>
                <w:sz w:val="20"/>
              </w:rPr>
              <w:t>5-10 %</w:t>
            </w:r>
          </w:p>
        </w:tc>
      </w:tr>
      <w:tr>
        <w:tc>
          <w:tcPr>
            <w:tcW w:type="dxa" w:w="3118"/>
          </w:tcPr>
          <w:p>
            <w:r>
              <w:rPr>
                <w:sz w:val="20"/>
              </w:rPr>
              <w:t>Disponibilité Algérie</w:t>
            </w:r>
          </w:p>
        </w:tc>
        <w:tc>
          <w:tcPr>
            <w:tcW w:type="dxa" w:w="3118"/>
          </w:tcPr>
          <w:p>
            <w:r>
              <w:rPr>
                <w:sz w:val="20"/>
              </w:rPr>
              <w:t>Oui (7 marques génériques)</w:t>
            </w:r>
          </w:p>
        </w:tc>
        <w:tc>
          <w:tcPr>
            <w:tcW w:type="dxa" w:w="3118"/>
          </w:tcPr>
          <w:p>
            <w:r>
              <w:rPr>
                <w:sz w:val="20"/>
              </w:rPr>
              <w:t>Non commercialisé</w:t>
            </w:r>
          </w:p>
        </w:tc>
      </w:tr>
      <w:tr>
        <w:tc>
          <w:tcPr>
            <w:tcW w:type="dxa" w:w="3118"/>
          </w:tcPr>
          <w:p>
            <w:r>
              <w:rPr>
                <w:sz w:val="20"/>
              </w:rPr>
              <w:t>Dosage standard</w:t>
            </w:r>
          </w:p>
        </w:tc>
        <w:tc>
          <w:tcPr>
            <w:tcW w:type="dxa" w:w="3118"/>
          </w:tcPr>
          <w:p>
            <w:r>
              <w:rPr>
                <w:sz w:val="20"/>
              </w:rPr>
              <w:t>5 mg/jour</w:t>
            </w:r>
          </w:p>
        </w:tc>
        <w:tc>
          <w:tcPr>
            <w:tcW w:type="dxa" w:w="3118"/>
          </w:tcPr>
          <w:p>
            <w:r>
              <w:rPr>
                <w:sz w:val="20"/>
              </w:rPr>
              <w:t>0,5 mg/jour</w:t>
            </w:r>
          </w:p>
        </w:tc>
      </w:tr>
    </w:tbl>
    <w:p/>
    <w:p>
      <w:r>
        <w:t xml:space="preserve">En pratique clinique, l'efficacité du dutastéride n'est pas significativement supérieure à celle du finastéride dans la majorité des études comparatives (équivalence sur les paramètres symptomatiques et volumiques), mais le dutastéride a une </w:t>
      </w:r>
      <w:r>
        <w:rPr>
          <w:b/>
        </w:rPr>
        <w:t>demi-vie très longue</w:t>
      </w:r>
      <w:r>
        <w:t xml:space="preserve"> (~5 semaines) qui impose une </w:t>
      </w:r>
      <w:r>
        <w:rPr>
          <w:b/>
        </w:rPr>
        <w:t>période de wash-out de 6 mois</w:t>
      </w:r>
      <w:r>
        <w:t xml:space="preserve"> avant d'envisager une grossesse chez la partenaire (vs 1 semaine pour le finastéride — recommandation RCP). Le finastéride reste donc la molécule de référence en Algérie.</w:t>
      </w:r>
    </w:p>
    <w:p>
      <w:r/>
      <w:r>
        <w:rPr>
          <w:b/>
        </w:rPr>
        <w:t>Sous-classe et Mécanisme d'action :</w:t>
      </w:r>
      <w:r/>
    </w:p>
    <w:p>
      <w:pPr>
        <w:pStyle w:val="ListBullet"/>
      </w:pPr>
      <w:r>
        <w:t xml:space="preserve">Sous-classe : </w:t>
      </w:r>
      <w:r>
        <w:rPr>
          <w:b/>
        </w:rPr>
        <w:t>Inhibiteur de la 5-alpha-réductase type II</w:t>
      </w:r>
      <w:r>
        <w:t xml:space="preserve"> — traitement de fond de la HBP </w:t>
      </w:r>
      <w:r>
        <w:rPr>
          <w:b/>
        </w:rPr>
        <w:t>volumineuse</w:t>
      </w:r>
      <w:r>
        <w:t xml:space="preserve"> (prostate ≥ 30-40 mL), agissant sur la composante </w:t>
      </w:r>
      <w:r>
        <w:rPr>
          <w:b/>
        </w:rPr>
        <w:t>statique</w:t>
      </w:r>
      <w:r>
        <w:t xml:space="preserve"> (mécanique) de l'obstruction en réduisant le volume prostatique. Utilisé en monothérapie pour HBP volumineuse avec SBAU modérés, ou en bithérapie avec un alpha-bloquant pour HBP volumineuse avec SBAU sévères (étude MTOPS — réduction de 66 % du risque de rétention et chirurgie à 4 ans).</w:t>
      </w:r>
    </w:p>
    <w:p>
      <w:pPr>
        <w:pStyle w:val="ListBullet"/>
      </w:pPr>
      <w:r>
        <w:t xml:space="preserve">Mécanisme d'action : le finastéride est un </w:t>
      </w:r>
      <w:r>
        <w:rPr>
          <w:b/>
        </w:rPr>
        <w:t>inhibiteur compétitif</w:t>
      </w:r>
      <w:r>
        <w:t xml:space="preserve"> de la </w:t>
      </w:r>
      <w:r>
        <w:rPr>
          <w:b/>
        </w:rPr>
        <w:t>5-alpha-réductase de type II</w:t>
      </w:r>
      <w:r>
        <w:t xml:space="preserve"> (NADPH-dépendante), enzyme qui catalyse la conversion de la </w:t>
      </w:r>
      <w:r>
        <w:rPr>
          <w:b/>
        </w:rPr>
        <w:t>testostérone</w:t>
      </w:r>
      <w:r>
        <w:t xml:space="preserve"> en </w:t>
      </w:r>
      <w:r>
        <w:rPr>
          <w:b/>
        </w:rPr>
        <w:t>dihydrotestostérone (DHT)</w:t>
      </w:r>
      <w:r>
        <w:t xml:space="preserve"> dans la prostate (zone transitionnelle et péri-urétrale), la peau, le foie et les vésicules séminales. La DHT est un </w:t>
      </w:r>
      <w:r>
        <w:rPr>
          <w:b/>
        </w:rPr>
        <w:t>androgène 2 à 10 fois plus puissant</w:t>
      </w:r>
      <w:r>
        <w:t xml:space="preserve"> que la testostérone, qui se lie avec une haute affinité au </w:t>
      </w:r>
      <w:r>
        <w:rPr>
          <w:b/>
        </w:rPr>
        <w:t>récepteur androgénique nucléaire</w:t>
      </w:r>
      <w:r>
        <w:t xml:space="preserve"> des cellules stromales et épithéliales prostatiques, activant la transcription de facteurs de croissance (TGF-β, FGF-7, IGF-1, EGF) qui stimulent la prolifération cellulaire et la synthèse de matrice extracellulaire. En bloquant la conversion de la testostérone en DHT, le finastéride </w:t>
      </w:r>
      <w:r>
        <w:rPr>
          <w:b/>
        </w:rPr>
        <w:t>réduit l'activation des récepteurs androgéniques prostatiques</w:t>
      </w:r>
      <w:r>
        <w:t xml:space="preserve">, entraînant une </w:t>
      </w:r>
      <w:r>
        <w:rPr>
          <w:b/>
        </w:rPr>
        <w:t>involution de l'hyperplasie stromo-épithéliale</w:t>
      </w:r>
      <w:r>
        <w:t xml:space="preserve"> (apoptose des cellules épithéliales, réduction de la synthèse de matrice extracellulaire) et une </w:t>
      </w:r>
      <w:r>
        <w:rPr>
          <w:b/>
        </w:rPr>
        <w:t>réduction du volume prostatique</w:t>
      </w:r>
      <w:r>
        <w:t xml:space="preserve"> de 20-30 % après 6-12 mois. La </w:t>
      </w:r>
      <w:r>
        <w:rPr>
          <w:b/>
        </w:rPr>
        <w:t>testostérone sérique</w:t>
      </w:r>
      <w:r>
        <w:t xml:space="preserve"> est conservée (et peut légèrement augmenter par rétrocontrôle hypothalamo-hypophyso-gonadique) — ce qui permet de préserver les fonctions androgéniques systémiques (libido, érection, masse musculaire,caractères sexuels secondaires) chez la majorité des patients. Le finastéride n'a </w:t>
      </w:r>
      <w:r>
        <w:rPr>
          <w:b/>
        </w:rPr>
        <w:t>pas d'effet sur la libido, l'érection ou l'éjaculation chez la majorité des patients</w:t>
      </w:r>
      <w:r>
        <w:t xml:space="preserve"> — néanmoins, 5-10 % des patients rapportent une </w:t>
      </w:r>
      <w:r>
        <w:rPr>
          <w:b/>
        </w:rPr>
        <w:t>baisse de libido</w:t>
      </w:r>
      <w:r>
        <w:t xml:space="preserve">, des </w:t>
      </w:r>
      <w:r>
        <w:rPr>
          <w:b/>
        </w:rPr>
        <w:t>troubles de l'érection</w:t>
      </w:r>
      <w:r>
        <w:t xml:space="preserve">, ou des </w:t>
      </w:r>
      <w:r>
        <w:rPr>
          <w:b/>
        </w:rPr>
        <w:t>troubles de l'éjaculation</w:t>
      </w:r>
      <w:r>
        <w:t xml:space="preserve"> (généralement réversibles à l'arrêt, mais des cas de </w:t>
      </w:r>
      <w:r>
        <w:rPr>
          <w:b/>
        </w:rPr>
        <w:t>persistance après arrêt</w:t>
      </w:r>
      <w:r>
        <w:t xml:space="preserve"> ont été rapportés — *Post-Finasteride Syndrome* — syndrome controversé mais reconnu par certaines autorités).</w:t>
      </w:r>
    </w:p>
    <w:p>
      <w:pPr>
        <w:pStyle w:val="ListBullet"/>
      </w:pPr>
      <w:r>
        <w:t xml:space="preserve">Délai d'action : </w:t>
      </w:r>
      <w:r>
        <w:rPr>
          <w:b/>
        </w:rPr>
        <w:t>lent</w:t>
      </w:r>
      <w:r>
        <w:t xml:space="preserve"> — aucun effet symptomatique avant 3-6 mois (le patient doit être informé pour éviter l'inobservance par découragement) ; effet maximal à 12-24 mois. La réduction du volume prostatique est progressive et se stabilise après 12-24 mois de traitement continu. À l'arrêt, le volume prostatique reaugmente en 3-6 mois et revient au niveau initial en 12 mois — le traitement est donc </w:t>
      </w:r>
      <w:r>
        <w:rPr>
          <w:b/>
        </w:rPr>
        <w:t>chronique à vie</w:t>
      </w:r>
      <w:r>
        <w:t>.</w:t>
      </w:r>
    </w:p>
    <w:p>
      <w:r/>
      <w:r>
        <w:rPr>
          <w:b/>
        </w:rPr>
        <w:t>Profil Pharmacologique :</w:t>
      </w:r>
      <w:r/>
    </w:p>
    <w:p>
      <w:pPr>
        <w:pStyle w:val="ListBullet"/>
      </w:pPr>
      <w:r>
        <w:t xml:space="preserve">Indications : (i) </w:t>
      </w:r>
      <w:r>
        <w:rPr>
          <w:b/>
        </w:rPr>
        <w:t>Traitement des symptômes modérés à sévères de la HBP</w:t>
      </w:r>
      <w:r>
        <w:t xml:space="preserve"> chez l'homme adulte avec </w:t>
      </w:r>
      <w:r>
        <w:rPr>
          <w:b/>
        </w:rPr>
        <w:t>prostate volumineuse</w:t>
      </w:r>
      <w:r>
        <w:t xml:space="preserve"> (≥ 30-40 mL) ou </w:t>
      </w:r>
      <w:r>
        <w:rPr>
          <w:b/>
        </w:rPr>
        <w:t>PSA &gt; 1,5 ng/mL</w:t>
      </w:r>
      <w:r>
        <w:t xml:space="preserve"> (corrélé au volume prostatique) — en monothérapie ; (ii) </w:t>
      </w:r>
      <w:r>
        <w:rPr>
          <w:b/>
        </w:rPr>
        <w:t>bithérapie</w:t>
      </w:r>
      <w:r>
        <w:t xml:space="preserve"> avec un alpha-bloquant (alfuzosine, tamsulosine, doxazosine) pour HBP volumineuse avec SBAU sévères (étude MTOPS — réduction de 66 % du risque de rétention aiguë d'urine et de chirurgie prostatique à 4 ans en bithérapie vs monothérapie alpha-bloquant) ; (iii) </w:t>
      </w:r>
      <w:r>
        <w:rPr>
          <w:b/>
        </w:rPr>
        <w:t>prévention</w:t>
      </w:r>
      <w:r>
        <w:t xml:space="preserve"> de la rétention aiguë d'urine et de la chirurgie prostatique chez les patients à haut risque (prostate volumineuse, antécédents de rétention) ; (iv) </w:t>
      </w:r>
      <w:r>
        <w:rPr>
          <w:b/>
        </w:rPr>
        <w:t>traitement des saignements prostatiques récidivants</w:t>
      </w:r>
      <w:r>
        <w:t xml:space="preserve"> (réduction de la vascularisation prostatique) ; (v) hors AMM : </w:t>
      </w:r>
      <w:r>
        <w:rPr>
          <w:b/>
        </w:rPr>
        <w:t>alopécie androgénique masculine</w:t>
      </w:r>
      <w:r>
        <w:t xml:space="preserve"> au dosage 1 mg/jour (Propecia® — non commercialisé en Algérie à ce dosage).</w:t>
      </w:r>
    </w:p>
    <w:p>
      <w:pPr>
        <w:pStyle w:val="ListBullet"/>
      </w:pPr>
      <w:r>
        <w:t xml:space="preserve">Contre-indications : (i) </w:t>
      </w:r>
      <w:r>
        <w:rPr>
          <w:b/>
        </w:rPr>
        <w:t>hypersensibilité au finastéride</w:t>
      </w:r>
      <w:r>
        <w:t xml:space="preserve"> ; (ii) </w:t>
      </w:r>
      <w:r>
        <w:rPr>
          <w:b/>
        </w:rPr>
        <w:t>femme enceinte ou susceptible de l'être</w:t>
      </w:r>
      <w:r>
        <w:t xml:space="preserve"> — </w:t>
      </w:r>
      <w:r>
        <w:rPr>
          <w:b/>
        </w:rPr>
        <w:t>CI absolue</w:t>
      </w:r>
      <w:r>
        <w:t xml:space="preserve"> (tératogénicité sur les organes génitaux externes masculins du fœtus — pseudo-hermaphrodisme) ; (iii) </w:t>
      </w:r>
      <w:r>
        <w:rPr>
          <w:b/>
        </w:rPr>
        <w:t>femme allaitant</w:t>
      </w:r>
      <w:r>
        <w:t xml:space="preserve"> — CI (passage dans le lait, toxicité pour le nouveau-né masculin) ; (iv) </w:t>
      </w:r>
      <w:r>
        <w:rPr>
          <w:b/>
        </w:rPr>
        <w:t>enfant</w:t>
      </w:r>
      <w:r>
        <w:t xml:space="preserve"> — CI (perturbation du développement sexuel) ; (v) </w:t>
      </w:r>
      <w:r>
        <w:rPr>
          <w:b/>
        </w:rPr>
        <w:t>insuffisance hépatique sévère</w:t>
      </w:r>
      <w:r>
        <w:t xml:space="preserve"> (Child-Pugh C) — métabolisme hépatique dominant, risque d'accumulation ; (vi) </w:t>
      </w:r>
      <w:r>
        <w:rPr>
          <w:b/>
        </w:rPr>
        <w:t>allaitement</w:t>
      </w:r>
      <w:r>
        <w:t xml:space="preserve"> — non applicable (homme), mais CI chez la femme allaitant par mesure de sécurité.</w:t>
      </w:r>
    </w:p>
    <w:p>
      <w:pPr>
        <w:pStyle w:val="ListBullet"/>
      </w:pPr>
      <w:r>
        <w:t>Effets Indésirables :</w:t>
      </w:r>
    </w:p>
    <w:p>
      <w:pPr>
        <w:pStyle w:val="ListBullet"/>
      </w:pPr>
      <w:r/>
      <w:r>
        <w:rPr>
          <w:b/>
        </w:rPr>
        <w:t>Fréquents (≥ 1/100 à &lt; 1/10)</w:t>
      </w:r>
      <w:r>
        <w:t xml:space="preserve"> : </w:t>
      </w:r>
      <w:r>
        <w:rPr>
          <w:b/>
        </w:rPr>
        <w:t>baisse de libido</w:t>
      </w:r>
      <w:r>
        <w:t xml:space="preserve"> (5-10 %), </w:t>
      </w:r>
      <w:r>
        <w:rPr>
          <w:b/>
        </w:rPr>
        <w:t>troubles de l'érection</w:t>
      </w:r>
      <w:r>
        <w:t xml:space="preserve"> (5-8 %), </w:t>
      </w:r>
      <w:r>
        <w:rPr>
          <w:b/>
        </w:rPr>
        <w:t>troubles de l'éjaculation</w:t>
      </w:r>
      <w:r>
        <w:t xml:space="preserve"> (éjaculation rétrograde, baisse du volume éjaculatoire — 5-10 %), </w:t>
      </w:r>
      <w:r>
        <w:rPr>
          <w:b/>
        </w:rPr>
        <w:t>gynécomastie</w:t>
      </w:r>
      <w:r>
        <w:t xml:space="preserve"> (hypertrophie bénigne du tissu mammaire, parfois douloureuse — 2-4 %), </w:t>
      </w:r>
      <w:r>
        <w:rPr>
          <w:b/>
        </w:rPr>
        <w:t>douleurs mammaires</w:t>
      </w:r>
      <w:r>
        <w:t xml:space="preserve"> (mastodynie).</w:t>
      </w:r>
    </w:p>
    <w:p>
      <w:pPr>
        <w:pStyle w:val="ListBullet"/>
      </w:pPr>
      <w:r/>
      <w:r>
        <w:rPr>
          <w:b/>
        </w:rPr>
        <w:t>Peu fréquents (≥ 1/1000 à &lt; 1/100)</w:t>
      </w:r>
      <w:r>
        <w:t xml:space="preserve"> : </w:t>
      </w:r>
      <w:r>
        <w:rPr>
          <w:b/>
        </w:rPr>
        <w:t>dépression</w:t>
      </w:r>
      <w:r>
        <w:t xml:space="preserve"> (signal de pharmacovigilance renforcé post-2017, notamment chez les jeunes patients traités pour alopécie — à signaler à l'ANSM / pharmacovigilance), </w:t>
      </w:r>
      <w:r>
        <w:rPr>
          <w:b/>
        </w:rPr>
        <w:t>pensées suicidaires</w:t>
      </w:r>
      <w:r>
        <w:t xml:space="preserve"> (rares mais rapportées — surveillance psychiatrique si antécédents dépressifs), réactions d'hypersensibilité (urticaire, éruption cutanée, prurit, angio-œdème), troubles hépatiques (cytolyse, cholestase — rares).</w:t>
      </w:r>
    </w:p>
    <w:p>
      <w:pPr>
        <w:pStyle w:val="ListBullet"/>
      </w:pPr>
      <w:r/>
      <w:r>
        <w:rPr>
          <w:b/>
        </w:rPr>
        <w:t>Rares</w:t>
      </w:r>
      <w:r>
        <w:t xml:space="preserve"> : syndrome de Stevens-Johnson, érythrodermie, hépatite cytolytique sévère.</w:t>
      </w:r>
    </w:p>
    <w:p>
      <w:pPr>
        <w:pStyle w:val="ListBullet"/>
      </w:pPr>
      <w:r/>
      <w:r>
        <w:rPr>
          <w:b/>
        </w:rPr>
        <w:t>Très rares et controversés</w:t>
      </w:r>
      <w:r>
        <w:t xml:space="preserve"> : </w:t>
      </w:r>
      <w:r>
        <w:rPr>
          <w:b/>
        </w:rPr>
        <w:t>Post-Finasteride Syndrome (PFS)</w:t>
      </w:r>
      <w:r>
        <w:t xml:space="preserve"> — syndrome controversé caractérisé par la </w:t>
      </w:r>
      <w:r>
        <w:rPr>
          <w:b/>
        </w:rPr>
        <w:t>persistance</w:t>
      </w:r>
      <w:r>
        <w:t xml:space="preserve"> des effets indésirables sexuels (baisse de libido, troubles de l'érection), psychiatriques (dépression, anxiété) et cognitifs (brouillard mental) </w:t>
      </w:r>
      <w:r>
        <w:rPr>
          <w:b/>
        </w:rPr>
        <w:t>après l'arrêt</w:t>
      </w:r>
      <w:r>
        <w:t xml:space="preserve"> du finastéride, parfois pendant des années. La réalité et la physiopathologie du PFS font l'objet de débats scientifiques, mais le signal de pharmacovigilance a conduit l'ANSM (France) et la FDA (USA) à renforcer les mentions du RCP en 2015 et 2017. La prévalence est estimée à 1-3 % des patients traités au long cours.</w:t>
      </w:r>
    </w:p>
    <w:p>
      <w:pPr>
        <w:pStyle w:val="ListBullet"/>
      </w:pPr>
      <w:r/>
      <w:r>
        <w:rPr>
          <w:b/>
        </w:rPr>
        <w:t>Spécifique</w:t>
      </w:r>
      <w:r>
        <w:t xml:space="preserve"> : </w:t>
      </w:r>
      <w:r>
        <w:rPr>
          <w:b/>
        </w:rPr>
        <w:t>baisse du PSA</w:t>
      </w:r>
      <w:r>
        <w:t xml:space="preserve"> d'environ 50 % après 6 mois de traitement continu (conséquence directe de la réduction du volume prostatique et de l'activité métabolique épithéliale prostatique). Cette baisse du PSA est un </w:t>
      </w:r>
      <w:r>
        <w:rPr>
          <w:b/>
        </w:rPr>
        <w:t>piège diagnostique majeur</w:t>
      </w:r>
      <w:r>
        <w:t xml:space="preserve"> : si le clinicien n'est pas informé que le patient est sous finastéride, il peut méconnaître un </w:t>
      </w:r>
      <w:r>
        <w:rPr>
          <w:b/>
        </w:rPr>
        <w:t>cancer prostatique sous-jacent</w:t>
      </w:r>
      <w:r>
        <w:t xml:space="preserve">. La règle est de </w:t>
      </w:r>
      <w:r>
        <w:rPr>
          <w:b/>
        </w:rPr>
        <w:t>multiplier par 2 la valeur du PSA</w:t>
      </w:r>
      <w:r>
        <w:t xml:space="preserve"> mesurée chez un patient sous finastéride depuis ≥ 6 mois, et d'interpréter cette valeur corrigée selon les seuils standards.</w:t>
      </w:r>
    </w:p>
    <w:p>
      <w:pPr>
        <w:pStyle w:val="ListBullet"/>
      </w:pPr>
      <w:r>
        <w:t xml:space="preserve">Effet sur la testostérone : le finastéride </w:t>
      </w:r>
      <w:r>
        <w:rPr>
          <w:b/>
        </w:rPr>
        <w:t>n'abaisse pas la testostérone sérique</w:t>
      </w:r>
      <w:r>
        <w:t xml:space="preserve"> (qui peut même légèrement augmenter par rétrocontrôle hypophysaire) — c'est ce qui le distingue de la castration (chirurgicale ou chimique par agonistes LH-RH) qui, elle, abaisse à la fois testostérone et DHT, et expose à une perte massive des fonctions androgéniques (bouffées de chaleur, ostéoporose, perte musculaire, fatigue). Le finastéride préserve donc les fonctions androgéniques systémiques chez la majorité des patients — c'est un atout majeur.</w:t>
      </w:r>
    </w:p>
    <w:p>
      <w:r/>
      <w:r>
        <w:rPr>
          <w:b/>
        </w:rPr>
        <w:t>Prévention et Gestion des Effets Indésirables :</w:t>
      </w:r>
      <w:r/>
    </w:p>
    <w:p>
      <w:pPr>
        <w:pStyle w:val="ListBullet"/>
      </w:pPr>
      <w:r>
        <w:t xml:space="preserve">Mesures Préventives : (i) </w:t>
      </w:r>
      <w:r>
        <w:rPr>
          <w:b/>
        </w:rPr>
        <w:t>information du patient sur le délai d'action</w:t>
      </w:r>
      <w:r>
        <w:t xml:space="preserve"> — prévenir 3-6 mois pour effet symptomatique, 6-12 mois pour effet maximal sur le volume ; éviter l'inobservance par découragement (le patient ne ressent pas d'effet immédiat) ; (ii) </w:t>
      </w:r>
      <w:r>
        <w:rPr>
          <w:b/>
        </w:rPr>
        <w:t>PSA de référence avant l'initiation</w:t>
      </w:r>
      <w:r>
        <w:t xml:space="preserve"> — mesurer le PSA avant le début du traitement pour disposer d'une baseline ; (iii) </w:t>
      </w:r>
      <w:r>
        <w:rPr>
          <w:b/>
        </w:rPr>
        <w:t>information du patient sur la baisse du PSA</w:t>
      </w:r>
      <w:r>
        <w:t xml:space="preserve"> — recommander au patient de </w:t>
      </w:r>
      <w:r>
        <w:rPr>
          <w:b/>
        </w:rPr>
        <w:t>signaler son traitement par finastéride à tout médecin prescrivant un dosage de PSA</w:t>
      </w:r>
      <w:r>
        <w:t xml:space="preserve"> (urologue, médecin généraliste, médecin du travail) ; règle du </w:t>
      </w:r>
      <w:r>
        <w:rPr>
          <w:b/>
        </w:rPr>
        <w:t>PSA × 2</w:t>
      </w:r>
      <w:r>
        <w:t xml:space="preserve"> sous traitement depuis ≥ 6 mois ; (iv) </w:t>
      </w:r>
      <w:r>
        <w:rPr>
          <w:b/>
        </w:rPr>
        <w:t>surveillance du PSA à 6 mois</w:t>
      </w:r>
      <w:r>
        <w:t xml:space="preserve"> puis annuellement — interpréter le PSA corrigé (× 2) selon les seuils standards ; toute </w:t>
      </w:r>
      <w:r>
        <w:rPr>
          <w:b/>
        </w:rPr>
        <w:t>élévation du PSA corrigé</w:t>
      </w:r>
      <w:r>
        <w:t xml:space="preserve"> sous traitement doit alerter (suspicion de cancer prostatique — biopsie discutée) ; (v) </w:t>
      </w:r>
      <w:r>
        <w:rPr>
          <w:b/>
        </w:rPr>
        <w:t>information sur les effets indésirables sexuels</w:t>
      </w:r>
      <w:r>
        <w:t xml:space="preserve"> — prévenir le patient de la possibilité d'une baisse de libido, de troubles de l'érection et de troubles de l'éjaculation (généralement réversibles à l'arrêt mais persistance possible — PFS) ; demander au patient de signaler tout symptôme dépressif ou trouble de l'humeur (signal de pharmacovigilance renforcé) ; (vi) </w:t>
      </w:r>
      <w:r>
        <w:rPr>
          <w:b/>
        </w:rPr>
        <w:t>information du patient et de sa partenaire sur le risque tératogène</w:t>
      </w:r>
      <w:r>
        <w:t xml:space="preserve"> — CI absolue chez la femme enceinte ou susceptible de l'être ; recommander l'</w:t>
      </w:r>
      <w:r>
        <w:rPr>
          <w:b/>
        </w:rPr>
        <w:t>utilisation d'un préservatif pendant le traitement et pendant 1 semaine après l'arrêt</w:t>
      </w:r>
      <w:r>
        <w:t xml:space="preserve"> en cas de rapports sexuels avec une femme enceinte ou susceptible de l'être (par mesure de prudence, bien que le passage du finastéride dans le sperme soit très faible) ; (vii) </w:t>
      </w:r>
      <w:r>
        <w:rPr>
          <w:b/>
        </w:rPr>
        <w:t>précautions de manipulation</w:t>
      </w:r>
      <w:r>
        <w:t xml:space="preserve"> — les comprimés de finastéride ne doivent pas être manipulés (notamment cassés ou écrasés) par une femme enceinte ou susceptible de l'être ; port de gants recommandé pour le personnel soignant féminin enceinte ou en âge de procréer manipulant le médicament.</w:t>
      </w:r>
    </w:p>
    <w:p>
      <w:pPr>
        <w:pStyle w:val="ListBullet"/>
      </w:pPr>
      <w:r>
        <w:t xml:space="preserve">Conduite à Tenir : (i) en cas de </w:t>
      </w:r>
      <w:r>
        <w:rPr>
          <w:b/>
        </w:rPr>
        <w:t>baisse de libido, troubles de l'érection ou troubles de l'éjaculation mal tolérés</w:t>
      </w:r>
      <w:r>
        <w:t xml:space="preserve"> : évaluation urologique et psychiatrique, discussion d'une alternative (alpha-bloquant seul si prostate &lt; 30 mL, ou chirurgie si HBP sévère), arrêt du finastéride en respectant un wash-out de 1 semaine avant d'envisager une grossesse chez la partenaire ; (ii) en cas de </w:t>
      </w:r>
      <w:r>
        <w:rPr>
          <w:b/>
        </w:rPr>
        <w:t>gynécomastie</w:t>
      </w:r>
      <w:r>
        <w:t xml:space="preserve"> douloureuse ou inesthétique : examen clinique (palpation, recherche d'écoulement mamelonnaire), échographie mammaire, dosage des hormones (testostérone, œstradiol, prolactine) ; arrêt du finastéride si gêne majeure (généralement régression à l'arrêt, mais persistance possible) ; (iii) en cas de </w:t>
      </w:r>
      <w:r>
        <w:rPr>
          <w:b/>
        </w:rPr>
        <w:t>symptômes dépressifs ou pensées suicidaires</w:t>
      </w:r>
      <w:r>
        <w:t xml:space="preserve"> : arrêt immédiat du finastéride, prise en charge psychiatrique, déclaration de pharmacovigilance ; (iv) en cas d'</w:t>
      </w:r>
      <w:r>
        <w:rPr>
          <w:b/>
        </w:rPr>
        <w:t>élévation du PSA corrigé</w:t>
      </w:r>
      <w:r>
        <w:t xml:space="preserve"> sous traitement : adresser en urgence à l'urologue pour biopsie prostatique (suspicion de cancer) ; (v) en cas d'</w:t>
      </w:r>
      <w:r>
        <w:rPr>
          <w:b/>
        </w:rPr>
        <w:t>exposition accidentelle pendant la grossesse</w:t>
      </w:r>
      <w:r>
        <w:t xml:space="preserve"> (femme enceinte ayant manipulé ou pris du finastéride) : adresser en urgence en consultation spécialisée de pharmacotoxicologie (CRAT) pour évaluation du risque fœtal et surveillance échographique spécialisée des organes génitaux externes du fœtus ; (vi) en cas d'</w:t>
      </w:r>
      <w:r>
        <w:rPr>
          <w:b/>
        </w:rPr>
        <w:t>aggravation des SBAU ou de rétention aiguë d'urine</w:t>
      </w:r>
      <w:r>
        <w:t xml:space="preserve"> sous finastéride après 6-12 mois : adresser à l'urologue (échec pharmacologique — le finastéride peut ne pas être suffisant pour prostates très volumineuses ou en cas de composante dynamique prédominante ; indication chirurgicale à discuter).</w:t>
      </w:r>
    </w:p>
    <w:p>
      <w:r/>
      <w:r>
        <w:rPr>
          <w:b/>
        </w:rPr>
        <w:t>Interactions Importantes :</w:t>
      </w:r>
      <w:r/>
    </w:p>
    <w:p>
      <w:pPr>
        <w:pStyle w:val="ListBullet"/>
      </w:pPr>
      <w:r/>
      <w:r>
        <w:rPr>
          <w:b/>
        </w:rPr>
        <w:t>Finastéride + femme enceinte ou susceptible de l'être</w:t>
      </w:r>
      <w:r>
        <w:t xml:space="preserve"> : </w:t>
      </w:r>
      <w:r>
        <w:rPr>
          <w:b/>
        </w:rPr>
        <w:t>CI absolue</w:t>
      </w:r>
      <w:r>
        <w:t xml:space="preserve"> — tératogénicité (pseudo-hermaphrodisme masculin du fœtus) ; le finastéride ne doit pas être manipulé (notamment cassé ou écrasé) par une femme enceinte ; le patient masculin traité doit utiliser un préservatif pendant les rapports sexuels avec une femme enceinte ou susceptible de l'être (par mesure de prudence).</w:t>
      </w:r>
    </w:p>
    <w:p>
      <w:pPr>
        <w:pStyle w:val="ListBullet"/>
      </w:pPr>
      <w:r/>
      <w:r>
        <w:rPr>
          <w:b/>
        </w:rPr>
        <w:t>Finastéride + autre inhibiteur de la 5-alpha-réductase</w:t>
      </w:r>
      <w:r>
        <w:t xml:space="preserve"> (dutastéride — non commercialisé en Algérie) : pas d'association (redondance thérapeutique).</w:t>
      </w:r>
    </w:p>
    <w:p>
      <w:pPr>
        <w:pStyle w:val="ListBullet"/>
      </w:pPr>
      <w:r/>
      <w:r>
        <w:rPr>
          <w:b/>
        </w:rPr>
        <w:t>Finastéride + alpha-bloquant</w:t>
      </w:r>
      <w:r>
        <w:t xml:space="preserve"> (alfuzosine, tamsulosine, doxazosine) : </w:t>
      </w:r>
      <w:r>
        <w:rPr>
          <w:b/>
        </w:rPr>
        <w:t>association synergique recommandée</w:t>
      </w:r>
      <w:r>
        <w:t xml:space="preserve"> (bithérapie MTOPS) — le finastéride agit sur la composante statique (réduction du volume prostatique), l'alpha-bloquant sur la composante dynamique (relaxation du muscle lisse) — synergie d'action et réduction du risque de rétention et de chirurgie à 4 ans.</w:t>
      </w:r>
    </w:p>
    <w:p>
      <w:pPr>
        <w:pStyle w:val="ListBullet"/>
      </w:pPr>
      <w:r/>
      <w:r>
        <w:rPr>
          <w:b/>
        </w:rPr>
        <w:t>Finastéride + inhibiteurs de la PDE5</w:t>
      </w:r>
      <w:r>
        <w:t xml:space="preserve"> (sildénafil, tadalafil, vardénafil — voir Chapitre 72) : pas d'interaction pharmacocinétique significative ; association logique chez le patient présentant HBP + dysfonction érectile (le finastéride pouvant induire des troubles de l'érection, l'iPDE5 peut compenser).</w:t>
      </w:r>
    </w:p>
    <w:p>
      <w:pPr>
        <w:pStyle w:val="ListBullet"/>
      </w:pPr>
      <w:r/>
      <w:r>
        <w:rPr>
          <w:b/>
        </w:rPr>
        <w:t>Finastéride + anticoagulants oraux (warfarine)</w:t>
      </w:r>
      <w:r>
        <w:t xml:space="preserve"> : pas d'interaction significative documentée aux doses thérapeutiques.</w:t>
      </w:r>
    </w:p>
    <w:p>
      <w:pPr>
        <w:pStyle w:val="ListBullet"/>
      </w:pPr>
      <w:r/>
      <w:r>
        <w:rPr>
          <w:b/>
        </w:rPr>
        <w:t>Finastéride + inhibiteurs puissants du CYP3A4</w:t>
      </w:r>
      <w:r>
        <w:t xml:space="preserve"> : le finastéride est principalement métabolisé par le CYP3A4 — risque théorique d'augmentation de l'exposition en cas d'association avec les inhibiteurs puissants (kétoconazole, itraconazole, ritonavir, clarithromycine) — surveiller les EI (notamment sexuels) en cas d'association.</w:t>
      </w:r>
    </w:p>
    <w:p>
      <w:pPr>
        <w:pStyle w:val="ListBullet"/>
      </w:pPr>
      <w:r/>
      <w:r>
        <w:rPr>
          <w:b/>
        </w:rPr>
        <w:t>Finastéride + testostérone</w:t>
      </w:r>
      <w:r>
        <w:t xml:space="preserve"> (androginothérapie substitutive chez le patient hypogonadique) : pas d'interaction significative — le finastéride bloque la conversion de la testostérone en DHT mais n'antagonise pas l'effet de la testostérone systémique.</w:t>
      </w:r>
    </w:p>
    <w:p>
      <w:r/>
      <w:r>
        <w:rPr>
          <w:b/>
        </w:rPr>
        <w:t>Grossesse et Allaitement :</w:t>
      </w:r>
      <w:r/>
    </w:p>
    <w:p>
      <w:pPr>
        <w:pStyle w:val="ListBullet"/>
      </w:pPr>
      <w:r>
        <w:t xml:space="preserve">Grossesse : </w:t>
      </w:r>
      <w:r>
        <w:rPr>
          <w:b/>
        </w:rPr>
        <w:t>CI absolue chez la femme enceinte ou susceptible de l'être</w:t>
      </w:r>
      <w:r>
        <w:t xml:space="preserve"> — tératogénicité majeure (catégorie X FDA) sur les organes génitaux externes masculins du fœtus (pseudo-hermaphrodisme : hypospadias périnéal, micropénis, scrotum bifide, cryptorchidie) — la 5-alpha-réductase de type II est indispensable au développement des organes génitaux externes masculins pendant la période critique de differentiation sexuelle (semaines 8-14 de gestation). Le finastéride ne doit jamais être prescrit à une femme enceinte ou susceptible de l'être. Selon le CRAT, en cas de manipulation accidentelle (cassation d'un comprimé) par une femme enceinte, le risque est considéré comme </w:t>
      </w:r>
      <w:r>
        <w:rPr>
          <w:b/>
        </w:rPr>
        <w:t>nul à négligeable</w:t>
      </w:r>
      <w:r>
        <w:t xml:space="preserve"> (la quantité absorbée par voie transcutanée ou inhalée est trop faible pour atteindre des concentrations fœtales tératogènes), mais une consultation de pharmacotoxicologie est recommandée par mesure de prudence. Le partenaire masculin d'une femme enceinte traité par finastéride ne pose pas de problème selon le CRAT (le passage du finastéride dans le sperme est très faible — concentration spermatique &lt; 1/1000 de la dose thérapeutique — et n'expose pas la femme enceinte au risque tératogène), mais le RCP recommande par mesure de prudence l'utilisation d'un préservatif pendant le traitement et pendant 1 semaine après l'arrêt (wash-out) en cas de rapports avec une femme enceinte ou susceptible de l'être.</w:t>
      </w:r>
    </w:p>
    <w:p>
      <w:pPr>
        <w:pStyle w:val="ListBullet"/>
      </w:pPr>
      <w:r>
        <w:t xml:space="preserve">Allaitement : </w:t>
      </w:r>
      <w:r>
        <w:rPr>
          <w:b/>
        </w:rPr>
        <w:t>CI chez la femme allaitant</w:t>
      </w:r>
      <w:r>
        <w:t xml:space="preserve"> (passage dans le lait maternel, toxicité théorique pour le nouveau-né masculin — non applicable chez l'homme traité).</w:t>
      </w:r>
    </w:p>
    <w:p>
      <w:pPr>
        <w:pStyle w:val="ListBullet"/>
      </w:pPr>
      <w:r>
        <w:t>Précautions de manipulation : les comprimés de finastéride ne doivent pas être cassés, écrasés ou manipulés sans gants par une femme enceinte ou susceptible de l'être (personnel soignant féminin enceinte, pharmaciennes enceintes) ; port de gants recommandé pour la cassation éventuelle (qui n'est pas recommandée en pratique — les comprimés sont à 5 mg et ne se divisent pas).</w:t>
      </w:r>
    </w:p>
    <w:p>
      <w:r/>
      <w:r>
        <w:rPr>
          <w:b/>
        </w:rPr>
        <w:t>Posologie et Mode d'administration (Standard) :</w:t>
      </w:r>
      <w:r/>
    </w:p>
    <w:p>
      <w:pPr>
        <w:pStyle w:val="ListBullet"/>
      </w:pPr>
      <w:r>
        <w:t xml:space="preserve">Adulte : </w:t>
      </w:r>
      <w:r>
        <w:rPr>
          <w:b/>
        </w:rPr>
        <w:t>finastéride 5 mg/jour, 1 comprimé par jour, par voie orale</w:t>
      </w:r>
      <w:r>
        <w:t>. Pas de titration nécessaire — dose fixe de 5 mg/jour dès l'initiation.</w:t>
      </w:r>
    </w:p>
    <w:p>
      <w:pPr>
        <w:pStyle w:val="ListBullet"/>
      </w:pPr>
      <w:r>
        <w:t>Sujet âgé (&gt; 65 ans) : pas d'adaptation posologique — la pharmacocinétique n'est pas significativement modifiée chez le sujet âgé ; le finastéride est généralement bien toléré chez le sujet âgé (profil d'EI cardiovasculaire neutre, pas d'hypotension orthostatique).</w:t>
      </w:r>
    </w:p>
    <w:p>
      <w:pPr>
        <w:pStyle w:val="ListBullet"/>
      </w:pPr>
      <w:r>
        <w:t>Insuffisant rénal : pas d'adaptation pour ClCr &gt; 30 mL/min ; prudence en cas d'IR sévère (ClCr &lt; 30 mL/min) — données limitées.</w:t>
      </w:r>
    </w:p>
    <w:p>
      <w:pPr>
        <w:pStyle w:val="ListBullet"/>
      </w:pPr>
      <w:r>
        <w:t xml:space="preserve">Insuffisant hépatique léger à modéré : prudence, envisager une surveillance hépatique (ALAT, ASAT) à l'initiation et à 3 mois ; </w:t>
      </w:r>
      <w:r>
        <w:rPr>
          <w:b/>
        </w:rPr>
        <w:t>CI en cas d'insuffisance hépatique sévère</w:t>
      </w:r>
      <w:r>
        <w:t xml:space="preserve"> (Child-Pugh C).</w:t>
      </w:r>
    </w:p>
    <w:p>
      <w:pPr>
        <w:pStyle w:val="ListBullet"/>
      </w:pPr>
      <w:r>
        <w:t xml:space="preserve">Durée : </w:t>
      </w:r>
      <w:r>
        <w:rPr>
          <w:b/>
        </w:rPr>
        <w:t>au long cours — traitement chronique à vie</w:t>
      </w:r>
      <w:r>
        <w:t xml:space="preserve"> — la HBP est une pathologie chronique progressive, et le finastéride ne fait que stabiliser le volume prostatique (à l'arrêt, le volume prostatique reaugmente en 3-6 mois et revient au niveau initial en 12 mois). Le traitement doit être poursuivi tant que les symptômes persistent et que la tolérance est bonne. Réévaluation urologique annuelle (IPSS, débitmétrie, échographie vésico-prostatique avec résidu post-mictionnel, </w:t>
      </w:r>
      <w:r>
        <w:rPr>
          <w:b/>
        </w:rPr>
        <w:t>PSA corrigé × 2 sous traitement</w:t>
      </w:r>
      <w:r>
        <w:t>).</w:t>
      </w:r>
    </w:p>
    <w:p>
      <w:pPr>
        <w:pStyle w:val="ListBullet"/>
      </w:pPr>
      <w:r>
        <w:t xml:space="preserve">Moment de la prise : </w:t>
      </w:r>
      <w:r>
        <w:rPr>
          <w:b/>
        </w:rPr>
        <w:t>indifférent</w:t>
      </w:r>
      <w:r>
        <w:t xml:space="preserve"> — le finastéride peut être pris à n'importe quel moment de la journée, avec ou sans nourriture (la prise alimentaire n'a pas d'impact significatif sur l'absorption). Recommander une </w:t>
      </w:r>
      <w:r>
        <w:rPr>
          <w:b/>
        </w:rPr>
        <w:t>prise à heure fixe</w:t>
      </w:r>
      <w:r>
        <w:t xml:space="preserve"> pour optimiser l'observance (par exemple le matin après le petit-déjeuner, ou le soir avant le coucher).</w:t>
      </w:r>
    </w:p>
    <w:p>
      <w:r/>
      <w:r>
        <w:rPr>
          <w:b/>
        </w:rPr>
        <w:t>Arbitrage et Bénéfices des Formes Galéniques :</w:t>
      </w:r>
      <w:r/>
    </w:p>
    <w:p>
      <w:r>
        <w:t xml:space="preserve">Le finastéride est commercialisé en </w:t>
      </w:r>
      <w:r>
        <w:rPr>
          <w:b/>
        </w:rPr>
        <w:t>comprimé classique</w:t>
      </w:r>
      <w:r>
        <w:t xml:space="preserve"> (FINCAR, PROSTACARE forme Comprimé) ou en </w:t>
      </w:r>
      <w:r>
        <w:rPr>
          <w:b/>
        </w:rPr>
        <w:t>comprimé pelliculé</w:t>
      </w:r>
      <w:r>
        <w:t xml:space="preserve"> (NOVASTERIDE, UROSTERIDE, PROSTACARE forme CP, PROSTADOZ, PROSTAMED), au dosage unique de </w:t>
      </w:r>
      <w:r>
        <w:rPr>
          <w:b/>
        </w:rPr>
        <w:t>5 mg</w:t>
      </w:r>
      <w:r>
        <w:t xml:space="preserve">. Le comprimé pelliculé présente l'avantage d'un </w:t>
      </w:r>
      <w:r>
        <w:rPr>
          <w:b/>
        </w:rPr>
        <w:t>masquage du goût</w:t>
      </w:r>
      <w:r>
        <w:t xml:space="preserve"> et d'une </w:t>
      </w:r>
      <w:r>
        <w:rPr>
          <w:b/>
        </w:rPr>
        <w:t>protection gastro-resistante</w:t>
      </w:r>
      <w:r>
        <w:t xml:space="preserve"> légère, mais n'a pas d'impact pharmacocinétique significatif. Le comprimé </w:t>
      </w:r>
      <w:r>
        <w:rPr>
          <w:b/>
        </w:rPr>
        <w:t>ne doit pas être cassé ni écrasé</w:t>
      </w:r>
      <w:r>
        <w:t xml:space="preserve"> (la cassation expose au risque de manipulation du principe actif par une femme enceinte ou susceptible de l'être — tératogénicité ; la dose de 5 mg est indivisible). Pour les patients incapables de swallowing le comprimé entier (dysphagie du sujet âgé), il n'existe pas de forme alternative (ni liquide, ni dispersible) — envisager une alternative thérapeutique (alpha-bloquant seul) ou discuter l'indication chirurgicale.</w:t>
      </w:r>
    </w:p>
    <w:p>
      <w:r/>
      <w:r>
        <w:rPr>
          <w:b/>
        </w:rPr>
        <w:t>Instructions et Conseils au Patient :</w:t>
      </w:r>
      <w:r/>
    </w:p>
    <w:p>
      <w:pPr>
        <w:pStyle w:val="ListBullet"/>
      </w:pPr>
      <w:r>
        <w:t xml:space="preserve">Communication au comptoir : « Ce médicament traite l'élargissement bénin de la prostate en </w:t>
      </w:r>
      <w:r>
        <w:rPr>
          <w:b/>
        </w:rPr>
        <w:t>réduisant son volume</w:t>
      </w:r>
      <w:r>
        <w:t xml:space="preserve">. </w:t>
      </w:r>
      <w:r>
        <w:rPr>
          <w:b/>
        </w:rPr>
        <w:t>L'effet n'est pas immédiat</w:t>
      </w:r>
      <w:r>
        <w:t xml:space="preserve"> — il faut </w:t>
      </w:r>
      <w:r>
        <w:rPr>
          <w:b/>
        </w:rPr>
        <w:t>3 à 6 mois</w:t>
      </w:r>
      <w:r>
        <w:t xml:space="preserve"> pour ressentir une amélioration, et </w:t>
      </w:r>
      <w:r>
        <w:rPr>
          <w:b/>
        </w:rPr>
        <w:t>6 à 12 mois</w:t>
      </w:r>
      <w:r>
        <w:t xml:space="preserve"> pour obtenir l'effet maximal. Ne vous découragez pas — c'est normal. </w:t>
      </w:r>
      <w:r>
        <w:rPr>
          <w:b/>
        </w:rPr>
        <w:t>Prenez-le tous les jours, à heure fixe, avec ou sans nourriture</w:t>
      </w:r>
      <w:r>
        <w:t xml:space="preserve">. </w:t>
      </w:r>
      <w:r>
        <w:rPr>
          <w:b/>
        </w:rPr>
        <w:t>Important</w:t>
      </w:r>
      <w:r>
        <w:t xml:space="preserve"> : ce médicament fait </w:t>
      </w:r>
      <w:r>
        <w:rPr>
          <w:b/>
        </w:rPr>
        <w:t>baisser d'environ 50 %</w:t>
      </w:r>
      <w:r>
        <w:t xml:space="preserve"> le taux de PSA dans le sang — c'est un test de dépistage du cancer de la prostate. </w:t>
      </w:r>
      <w:r>
        <w:rPr>
          <w:b/>
        </w:rPr>
        <w:t>Avertissez toujours votre médecin que vous prenez ce médicament</w:t>
      </w:r>
      <w:r>
        <w:t xml:space="preserve"> avant un dosage de PSA — sinon le résultat pourrait être faussement rassurant. </w:t>
      </w:r>
      <w:r>
        <w:rPr>
          <w:b/>
        </w:rPr>
        <w:t>Prévenez votre médecin si vous avez une baisse de libido, des troubles de l'érection, une gynécomastie (gonflement des seins), des signes dépressifs ou des idées noires</w:t>
      </w:r>
      <w:r>
        <w:t xml:space="preserve"> — ces effets peuvent survenir et sont généralement réversibles à l'arrêt. </w:t>
      </w:r>
      <w:r>
        <w:rPr>
          <w:b/>
        </w:rPr>
        <w:t>Si votre partenaire est enceinte ou susceptible de l'être, utilisez un préservatif pendant le traitement et 1 semaine après l'arrêt</w:t>
      </w:r>
      <w:r>
        <w:t xml:space="preserve"> — ce médicament peut être dangereux pour le développement sexuel d'un fœtus masculin. </w:t>
      </w:r>
      <w:r>
        <w:rPr>
          <w:b/>
        </w:rPr>
        <w:t>Les femmes enceintes ne doivent pas manipuler les comprimés</w:t>
      </w:r>
      <w:r>
        <w:t xml:space="preserve"> (notamment les casser ou les écraser). »</w:t>
      </w:r>
    </w:p>
    <w:p>
      <w:pPr>
        <w:pStyle w:val="ListBullet"/>
      </w:pPr>
      <w:r>
        <w:t xml:space="preserve">Mode d'utilisation pratique : (i) avaler le comprimé entier avec un grand verre d'eau, à heure fixe (matin ou soir, avec ou sans nourriture) ; (ii) ne pas casser ni écraser le comprimé (risque de manipulation tératogène) ; (iii) en cas d'oubli d'une prise, ne pas doubler la dose suivante — prendre la dose suivante à l'heure habituelle ; (iv) ne pas arrêter brutalement sans avis médical (le volume prostatique reaugmente à l'arrêt) ; (v) consultation de contrôle à </w:t>
      </w:r>
      <w:r>
        <w:rPr>
          <w:b/>
        </w:rPr>
        <w:t>3 mois</w:t>
      </w:r>
      <w:r>
        <w:t xml:space="preserve"> (tolérance — EI sexuels, hépatiques, gynécomastie), à </w:t>
      </w:r>
      <w:r>
        <w:rPr>
          <w:b/>
        </w:rPr>
        <w:t>6 mois</w:t>
      </w:r>
      <w:r>
        <w:t xml:space="preserve"> (première évaluation de l'efficacité — IPSS, débitmétrie, échographie vésico-prostatique, </w:t>
      </w:r>
      <w:r>
        <w:rPr>
          <w:b/>
        </w:rPr>
        <w:t>PSA corrigé × 2</w:t>
      </w:r>
      <w:r>
        <w:t xml:space="preserve">), puis </w:t>
      </w:r>
      <w:r>
        <w:rPr>
          <w:b/>
        </w:rPr>
        <w:t>annuelle</w:t>
      </w:r>
      <w:r>
        <w:t xml:space="preserve"> (réévaluation urologique complète avec PSA corrigé) ; (vi) en cas de chirurgie de la cataracte programmée — pas d'arrêt systématique du finastéride (l'IFIS est spécifique aux alpha-bloquants, le finastéride n'est pas concerné) ; (vii) information du patient et de sa partenaire sur le risque tératogène et l'utilisation du préservatif ; (viii) information de tout médecin prescrivant un dosage de PSA sur le traitement en cours par finastéride (règle du × 2).</w:t>
      </w:r>
    </w:p>
    <w:p>
      <w:r/>
      <w:r>
        <w:rPr>
          <w:b/>
        </w:rPr>
        <w:t>Notes, Règles d'Or &amp; Pièges au Comptoir :</w:t>
      </w:r>
      <w:r/>
    </w:p>
    <w:p>
      <w:pPr>
        <w:pStyle w:val="ListBullet"/>
      </w:pPr>
      <w:r>
        <w:t xml:space="preserve">Piège classique : (i) </w:t>
      </w:r>
      <w:r>
        <w:rPr>
          <w:b/>
        </w:rPr>
        <w:t>oubli de l'information sur le PSA divisé par 2</w:t>
      </w:r>
      <w:r>
        <w:t xml:space="preserve"> — c'est le piège majeur du finastéride. Si le patient ne signale pas son traitement, un cancer prostatique sous-jacent peut être méconnu (le PSA « normalisé » masque une élévation pathologique) — le pharmacien doit </w:t>
      </w:r>
      <w:r>
        <w:rPr>
          <w:b/>
        </w:rPr>
        <w:t>systématiquement</w:t>
      </w:r>
      <w:r>
        <w:t xml:space="preserve"> informer le patient de la règle du </w:t>
      </w:r>
      <w:r>
        <w:rPr>
          <w:b/>
        </w:rPr>
        <w:t>PSA × 2 sous finastéride</w:t>
      </w:r>
      <w:r>
        <w:t xml:space="preserve"> et lui recommander de signaler son traitement à tout médecin prescrivant un dosage de PSA ; (ii) </w:t>
      </w:r>
      <w:r>
        <w:rPr>
          <w:b/>
        </w:rPr>
        <w:t>oubli de l'information sur le risque tératogène</w:t>
      </w:r>
      <w:r>
        <w:t xml:space="preserve"> — le finastéride est </w:t>
      </w:r>
      <w:r>
        <w:rPr>
          <w:b/>
        </w:rPr>
        <w:t>catégorie X FDA</w:t>
      </w:r>
      <w:r>
        <w:t xml:space="preserve"> (CI absolue chez la femme enceinte) ; le pharmacien doit </w:t>
      </w:r>
      <w:r>
        <w:rPr>
          <w:b/>
        </w:rPr>
        <w:t>systématiquement</w:t>
      </w:r>
      <w:r>
        <w:t xml:space="preserve"> informer le patient et sa partenaire du risque tératogène (pseudo-hermaphrodisme masculin du fœtus), de l'utilisation du préservatif pendant le traitement et 1 semaine après l'arrêt, et des précautions de manipulation (femmes enceintes ne doivent pas manipuler les comprimés) ; (iii) </w:t>
      </w:r>
      <w:r>
        <w:rPr>
          <w:b/>
        </w:rPr>
        <w:t>oubli de l'information sur le délai d'action</w:t>
      </w:r>
      <w:r>
        <w:t xml:space="preserve"> — le patient risque de stopper le traitement par découragement s'il ne ressent pas d'effet immédiat ; le pharmacien doit insister sur le délai de 3-6 mois pour l'effet symptomatique et 6-12 mois pour l'effet maximal ; (iv) </w:t>
      </w:r>
      <w:r>
        <w:rPr>
          <w:b/>
        </w:rPr>
        <w:t>oubli de l'information sur les effets indésirables sexuels et psychiatriques</w:t>
      </w:r>
      <w:r>
        <w:t xml:space="preserve"> — baisse de libido, troubles de l'érection, troubles de l'éjaculation, gynécomastie, et signal de pharmacovigilance renforcé sur la dépression et les pensées suicidaires ; le pharmacien doit informer le patient de signaler tout symptôme dépressif ; (v) </w:t>
      </w:r>
      <w:r>
        <w:rPr>
          <w:b/>
        </w:rPr>
        <w:t>patient présentant une HBP + dysfonction érectile</w:t>
      </w:r>
      <w:r>
        <w:t xml:space="preserve"> — vérifier la prescription concomitante d'un iPDE5 (sildénafil, tadalafil — voir Chapitre 72) et le bénéfice de l'association (le finastéride peut induire des troubles de l'érection, l'iPDE5 peut compenser) ; (vi) </w:t>
      </w:r>
      <w:r>
        <w:rPr>
          <w:b/>
        </w:rPr>
        <w:t>patient présentant une HBP volumineuse traitée par finastéride seul sans alpha-bloquant</w:t>
      </w:r>
      <w:r>
        <w:t xml:space="preserve"> — vérifier que le volume prostatique justifie le finastéride seul (≥ 30-40 mL) et que les symptômes ne sont pas sévères (sinon, bithérapie recommandée selon MTOPS) ; (vii) </w:t>
      </w:r>
      <w:r>
        <w:rPr>
          <w:b/>
        </w:rPr>
        <w:t>patient jeune (&lt; 50 ans) traité par finastéride pour alopécie androgénique au dosage 1 mg</w:t>
      </w:r>
      <w:r>
        <w:t xml:space="preserve"> — non commercialisé en Algérie à ce dosage (Propecia® 1 mg non référencé) ; si le patient se procure le finastéride 5 mg pour le diviser en 4 (≈ 1,25 mg/jour), le pharmacien doit l'alerter sur le risque tératogène de la cassation et l'informar que la prise est « off-label » (alopécie non inscrit à l'AMM du 5 mg en Algérie) ; (viii) </w:t>
      </w:r>
      <w:r>
        <w:rPr>
          <w:b/>
        </w:rPr>
        <w:t>oubli de la surveillance hépatique</w:t>
      </w:r>
      <w:r>
        <w:t xml:space="preserve"> en cas d'association avec un inhibiteur puissant du CYP3A4.</w:t>
      </w:r>
    </w:p>
    <w:p>
      <w:pPr>
        <w:pStyle w:val="ListBullet"/>
      </w:pPr>
      <w:r>
        <w:t xml:space="preserve">Règle de prise : </w:t>
      </w:r>
      <w:r>
        <w:rPr>
          <w:b/>
        </w:rPr>
        <w:t>1 comprimé 5 mg/jour, à heure fixe, avec ou sans nourriture, au long cours, sans cassation ni écrasement, avec information systématique sur le PSA × 2 et le risque tératogène féminin</w:t>
      </w:r>
      <w:r>
        <w:t>.</w:t>
      </w:r>
    </w:p>
    <w:p>
      <w:pPr>
        <w:pStyle w:val="ListBullet"/>
      </w:pPr>
      <w:r>
        <w:t xml:space="preserve">Préparation et Conservation : conserver à température inférieure à 25°C, à l'abri de l'humidité et de la lumière, dans l'emballage d'origine. Durée de validité : 24-36 mois. Tenir hors de portée des enfants et </w:t>
      </w:r>
      <w:r>
        <w:rPr>
          <w:b/>
        </w:rPr>
        <w:t>hors de portée des femmes enceintes ou susceptibles de l'être</w:t>
      </w:r>
      <w:r>
        <w:t>.</w:t>
      </w:r>
    </w:p>
    <w:p>
      <w:pPr>
        <w:pStyle w:val="ListBullet"/>
      </w:pPr>
      <w:r>
        <w:t xml:space="preserve">Piège du surdosage / Substitution : (i) </w:t>
      </w:r>
      <w:r>
        <w:rPr>
          <w:b/>
        </w:rPr>
        <w:t>surdosage</w:t>
      </w:r>
      <w:r>
        <w:t xml:space="preserve"> : pas de toxicité aiguë significative décrite jusqu'à 80 mg en prise unique (5 fois la dose thérapeutique) — traitement symptomatique, surveillance clinique ; (ii) </w:t>
      </w:r>
      <w:r>
        <w:rPr>
          <w:b/>
        </w:rPr>
        <w:t>substitution entre génériques</w:t>
      </w:r>
      <w:r>
        <w:t xml:space="preserve"> : possible entre les 7 marques algériennes (FINCAR, NOVASTERIDE, UROSTERIDE, PROSTACARE, PROSTADOZ, PROSTAMED) — informer le patient de l'équivalence et de l'absence d'impact sur l'efficacité/tolérance ; (iii) </w:t>
      </w:r>
      <w:r>
        <w:rPr>
          <w:b/>
        </w:rPr>
        <w:t>substitution finastéride ↔ dutastéride</w:t>
      </w:r>
      <w:r>
        <w:t xml:space="preserve"> non applicable en Algérie (dutastéride non commercialisé) — si le patient a vu prescrire du dutastéride à l'étranger, orienter vers le finastéride (alternative algérienne disponible) à dose équivalente (finastéride 5 mg/jour ≈ dutastéride 0,5 mg/jour) ; (iv) </w:t>
      </w:r>
      <w:r>
        <w:rPr>
          <w:b/>
        </w:rPr>
        <w:t>ne jamais substituer par un alpha-bloquant</w:t>
      </w:r>
      <w:r>
        <w:t xml:space="preserve"> sans réévaluation clinique (le finastéride agit sur la composante statique, l'alpha-bloquant sur la composante dynamique — mécanismes d'action différents, indications distinctes, posologies différentes) ; (v) </w:t>
      </w:r>
      <w:r>
        <w:rPr>
          <w:b/>
        </w:rPr>
        <w:t>association finastéride + alpha-bloquant</w:t>
      </w:r>
      <w:r>
        <w:t xml:space="preserve"> (bithérapie MTOPS) — à encourager si HBP volumineuse avec SBAU sévères (réduction de 66 % du risque de rétention et chirurgie à 4 ans).</w:t>
      </w:r>
    </w:p>
    <w:p>
      <w:pPr>
        <w:pStyle w:val="Heading2"/>
      </w:pPr>
      <w:r>
        <w:t>8. Tableau comparatif synthétique des 4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Sélectivité α1</w:t>
            </w:r>
          </w:p>
        </w:tc>
        <w:tc>
          <w:tcPr>
            <w:tcW w:type="dxa" w:w="1336"/>
          </w:tcPr>
          <w:p>
            <w:r>
              <w:rPr>
                <w:b/>
                <w:sz w:val="20"/>
              </w:rPr>
              <w:t>Posologie standard adulte</w:t>
            </w:r>
          </w:p>
        </w:tc>
        <w:tc>
          <w:tcPr>
            <w:tcW w:type="dxa" w:w="1336"/>
          </w:tcPr>
          <w:p>
            <w:r>
              <w:rPr>
                <w:b/>
                <w:sz w:val="20"/>
              </w:rPr>
              <w:t>EI majeur</w:t>
            </w:r>
          </w:p>
        </w:tc>
        <w:tc>
          <w:tcPr>
            <w:tcW w:type="dxa" w:w="1336"/>
          </w:tcPr>
          <w:p>
            <w:r>
              <w:rPr>
                <w:b/>
                <w:sz w:val="20"/>
              </w:rPr>
              <w:t>CI principales</w:t>
            </w:r>
          </w:p>
        </w:tc>
        <w:tc>
          <w:tcPr>
            <w:tcW w:type="dxa" w:w="1336"/>
          </w:tcPr>
          <w:p>
            <w:r>
              <w:rPr>
                <w:b/>
                <w:sz w:val="20"/>
              </w:rPr>
              <w:t>Grossesse / Partenaire</w:t>
            </w:r>
          </w:p>
        </w:tc>
      </w:tr>
      <w:tr>
        <w:tc>
          <w:tcPr>
            <w:tcW w:type="dxa" w:w="1336"/>
          </w:tcPr>
          <w:p>
            <w:r>
              <w:rPr>
                <w:sz w:val="20"/>
              </w:rPr>
              <w:t>**Alfuzosine**</w:t>
            </w:r>
          </w:p>
        </w:tc>
        <w:tc>
          <w:tcPr>
            <w:tcW w:type="dxa" w:w="1336"/>
          </w:tcPr>
          <w:p>
            <w:r>
              <w:rPr>
                <w:sz w:val="20"/>
              </w:rPr>
              <w:t>Alpha-bloquant urosélectif (quinazoline)</w:t>
            </w:r>
          </w:p>
        </w:tc>
        <w:tc>
          <w:tcPr>
            <w:tcW w:type="dxa" w:w="1336"/>
          </w:tcPr>
          <w:p>
            <w:r>
              <w:rPr>
                <w:sz w:val="20"/>
              </w:rPr>
              <w:t>Fonctionnelle (α1A prostatique in vivo par distribution tissulaire, mais affinité comparable α1A/α1B/α1D in vitro)</w:t>
            </w:r>
          </w:p>
        </w:tc>
        <w:tc>
          <w:tcPr>
            <w:tcW w:type="dxa" w:w="1336"/>
          </w:tcPr>
          <w:p>
            <w:r>
              <w:rPr>
                <w:sz w:val="20"/>
              </w:rPr>
              <w:t>10 mg LP / jour, après le repas du soir (forme LP 5 mg matin + soir alternative)</w:t>
            </w:r>
          </w:p>
        </w:tc>
        <w:tc>
          <w:tcPr>
            <w:tcW w:type="dxa" w:w="1336"/>
          </w:tcPr>
          <w:p>
            <w:r>
              <w:rPr>
                <w:sz w:val="20"/>
              </w:rPr>
              <w:t>Vertiges, éjaculation rétrograde (~2-4 %), hypotension orthostatique (faible), IFIS (incidence modérée), priapisme (rare)</w:t>
            </w:r>
          </w:p>
        </w:tc>
        <w:tc>
          <w:tcPr>
            <w:tcW w:type="dxa" w:w="1336"/>
          </w:tcPr>
          <w:p>
            <w:r>
              <w:rPr>
                <w:sz w:val="20"/>
              </w:rPr>
              <w:t>CI autre alpha-bloquant, IH sévère, IR sévère (forme LP), hypotension orthostatique, association iPDE5 à surveiller</w:t>
            </w:r>
          </w:p>
        </w:tc>
        <w:tc>
          <w:tcPr>
            <w:tcW w:type="dxa" w:w="1336"/>
          </w:tcPr>
          <w:p>
            <w:r>
              <w:rPr>
                <w:sz w:val="20"/>
              </w:rPr>
              <w:t>Non applicable (homme) ; pas de passage significatif dans le sperme — pas de risque pour la partenaire enceinte</w:t>
            </w:r>
          </w:p>
        </w:tc>
      </w:tr>
      <w:tr>
        <w:tc>
          <w:tcPr>
            <w:tcW w:type="dxa" w:w="1336"/>
          </w:tcPr>
          <w:p>
            <w:r>
              <w:rPr>
                <w:sz w:val="20"/>
              </w:rPr>
              <w:t>**Tamsulosine**</w:t>
            </w:r>
          </w:p>
        </w:tc>
        <w:tc>
          <w:tcPr>
            <w:tcW w:type="dxa" w:w="1336"/>
          </w:tcPr>
          <w:p>
            <w:r>
              <w:rPr>
                <w:sz w:val="20"/>
              </w:rPr>
              <w:t>Alpha-bloquant urosélectif (sulfonamide)</w:t>
            </w:r>
          </w:p>
        </w:tc>
        <w:tc>
          <w:tcPr>
            <w:tcW w:type="dxa" w:w="1336"/>
          </w:tcPr>
          <w:p>
            <w:r>
              <w:rPr>
                <w:sz w:val="20"/>
              </w:rPr>
              <w:t>Pharmacologique — haute sélectivité α1A (rapport α1A:α1B ≈ 20:1)</w:t>
            </w:r>
          </w:p>
        </w:tc>
        <w:tc>
          <w:tcPr>
            <w:tcW w:type="dxa" w:w="1336"/>
          </w:tcPr>
          <w:p>
            <w:r>
              <w:rPr>
                <w:sz w:val="20"/>
              </w:rPr>
              <w:t>0,4 mg LP / jour, après le petit-déjeuner (0,8 mg/jour en 2e intention rare)</w:t>
            </w:r>
          </w:p>
        </w:tc>
        <w:tc>
          <w:tcPr>
            <w:tcW w:type="dxa" w:w="1336"/>
          </w:tcPr>
          <w:p>
            <w:r>
              <w:rPr>
                <w:sz w:val="20"/>
              </w:rPr>
              <w:t>Éjaculation rétrograde (~8-18 %), **IFIS** (incidence élevée, dose-dépendante, partiellement irréversible), vertiges (faible), hypotension orthostatique (très faible)</w:t>
            </w:r>
          </w:p>
        </w:tc>
        <w:tc>
          <w:tcPr>
            <w:tcW w:type="dxa" w:w="1336"/>
          </w:tcPr>
          <w:p>
            <w:r>
              <w:rPr>
                <w:sz w:val="20"/>
              </w:rPr>
              <w:t>CI autre alpha-bloquant, IH sévère, hypotension orthostatique, prudence allergie sulfamides</w:t>
            </w:r>
          </w:p>
        </w:tc>
        <w:tc>
          <w:tcPr>
            <w:tcW w:type="dxa" w:w="1336"/>
          </w:tcPr>
          <w:p>
            <w:r>
              <w:rPr>
                <w:sz w:val="20"/>
              </w:rPr>
              <w:t>Non applicable (homme) ; pas de passage significatif dans le sperme — pas de risque pour la partenaire enceinte</w:t>
            </w:r>
          </w:p>
        </w:tc>
      </w:tr>
      <w:tr>
        <w:tc>
          <w:tcPr>
            <w:tcW w:type="dxa" w:w="1336"/>
          </w:tcPr>
          <w:p>
            <w:r>
              <w:rPr>
                <w:sz w:val="20"/>
              </w:rPr>
              <w:t>**Doxazosine**</w:t>
            </w:r>
          </w:p>
        </w:tc>
        <w:tc>
          <w:tcPr>
            <w:tcW w:type="dxa" w:w="1336"/>
          </w:tcPr>
          <w:p>
            <w:r>
              <w:rPr>
                <w:sz w:val="20"/>
              </w:rPr>
              <w:t>Alpha-bloquant non sélectif (quinazoline)</w:t>
            </w:r>
          </w:p>
        </w:tc>
        <w:tc>
          <w:tcPr>
            <w:tcW w:type="dxa" w:w="1336"/>
          </w:tcPr>
          <w:p>
            <w:r>
              <w:rPr>
                <w:sz w:val="20"/>
              </w:rPr>
              <w:t>Non sélective — affinité comparable α1A/α1B/α1D</w:t>
            </w:r>
          </w:p>
        </w:tc>
        <w:tc>
          <w:tcPr>
            <w:tcW w:type="dxa" w:w="1336"/>
          </w:tcPr>
          <w:p>
            <w:r>
              <w:rPr>
                <w:sz w:val="20"/>
              </w:rPr>
              <w:t>**Forme immédiate** : titration 1→2→4→8 mg/jour (paliers 1 semaine, 1re prise au coucher) ; **forme LP** : 4 mg ou 8 mg LP/jour après petit-déjeuner, sans titration</w:t>
            </w:r>
          </w:p>
        </w:tc>
        <w:tc>
          <w:tcPr>
            <w:tcW w:type="dxa" w:w="1336"/>
          </w:tcPr>
          <w:p>
            <w:r>
              <w:rPr>
                <w:sz w:val="20"/>
              </w:rPr>
              <w:t>**Hypotension orthostatique** (10-15 %), **effet de 1re dose** (syncope 1-3 %), vertiges (10-20 %), éjaculation rétrograde (~2-6 %), signal ALLHAT (insuffisance cardiaque en HTA), IFIS (incidence modérée)</w:t>
            </w:r>
          </w:p>
        </w:tc>
        <w:tc>
          <w:tcPr>
            <w:tcW w:type="dxa" w:w="1336"/>
          </w:tcPr>
          <w:p>
            <w:r>
              <w:rPr>
                <w:sz w:val="20"/>
              </w:rPr>
              <w:t>CI autre alpha-bloquant, IH sévère, hypotension orthostatique, obstruction VG, **obstruction GI (forme LP)**, association iPDE5 à risque majeur</w:t>
            </w:r>
          </w:p>
        </w:tc>
        <w:tc>
          <w:tcPr>
            <w:tcW w:type="dxa" w:w="1336"/>
          </w:tcPr>
          <w:p>
            <w:r>
              <w:rPr>
                <w:sz w:val="20"/>
              </w:rPr>
              <w:t>Non applicable (homme) ; selon CRAT acceptable chez la femme enceinte pour HTA (données limitées) — mais à éviter en pratique (préférence labétalol, méthyldopa, nifédipine)</w:t>
            </w:r>
          </w:p>
        </w:tc>
      </w:tr>
      <w:tr>
        <w:tc>
          <w:tcPr>
            <w:tcW w:type="dxa" w:w="1336"/>
          </w:tcPr>
          <w:p>
            <w:r>
              <w:rPr>
                <w:sz w:val="20"/>
              </w:rPr>
              <w:t>**Finastéride**</w:t>
            </w:r>
          </w:p>
        </w:tc>
        <w:tc>
          <w:tcPr>
            <w:tcW w:type="dxa" w:w="1336"/>
          </w:tcPr>
          <w:p>
            <w:r>
              <w:rPr>
                <w:sz w:val="20"/>
              </w:rPr>
              <w:t>Inhibiteur 5-alpha-réductase type II (azastéroïde)</w:t>
            </w:r>
          </w:p>
        </w:tc>
        <w:tc>
          <w:tcPr>
            <w:tcW w:type="dxa" w:w="1336"/>
          </w:tcPr>
          <w:p>
            <w:r>
              <w:rPr>
                <w:sz w:val="20"/>
              </w:rPr>
              <w:t>N/A (cible enzymatique — pas un récepteur α1)</w:t>
            </w:r>
          </w:p>
        </w:tc>
        <w:tc>
          <w:tcPr>
            <w:tcW w:type="dxa" w:w="1336"/>
          </w:tcPr>
          <w:p>
            <w:r>
              <w:rPr>
                <w:sz w:val="20"/>
              </w:rPr>
              <w:t>5 mg/jour, à heure fixe, avec ou sans nourriture</w:t>
            </w:r>
          </w:p>
        </w:tc>
        <w:tc>
          <w:tcPr>
            <w:tcW w:type="dxa" w:w="1336"/>
          </w:tcPr>
          <w:p>
            <w:r>
              <w:rPr>
                <w:sz w:val="20"/>
              </w:rPr>
              <w:t>Baisse libido (5-10 %), troubles érection (5-8 %), troubles éjaculation (5-10 %), **gynécomastie** (2-4 %), **dépression** / pensées suicidaires (signal renforcé), **baisse PSA 50 %** (piège diagnostique), **Post-Finasteride Syndrome** (controversé)</w:t>
            </w:r>
          </w:p>
        </w:tc>
        <w:tc>
          <w:tcPr>
            <w:tcW w:type="dxa" w:w="1336"/>
          </w:tcPr>
          <w:p>
            <w:r>
              <w:rPr>
                <w:sz w:val="20"/>
              </w:rPr>
              <w:t>**CI absolue femme enceinte ou susceptible de l'être** (tératogénicité), femme allaitante, enfant, IH sévère</w:t>
            </w:r>
          </w:p>
        </w:tc>
        <w:tc>
          <w:tcPr>
            <w:tcW w:type="dxa" w:w="1336"/>
          </w:tcPr>
          <w:p>
            <w:r>
              <w:rPr>
                <w:sz w:val="20"/>
              </w:rPr>
              <w:t>**CI absolue chez la femme enceinte** (catégorie X FDA — pseudo-hermaphrodisme masculin du fœtus) ; préservatif recommandé pendant le traitement et 1 semaine après l'arrêt si partenaire enceinte ou susceptible de l'être ; pas de manipulation des comprimés par une femme enceinte</w:t>
            </w:r>
          </w:p>
        </w:tc>
      </w:tr>
    </w:tbl>
    <w:p/>
    <w:p>
      <w:pPr>
        <w:pStyle w:val="Heading3"/>
      </w:pPr>
      <w:r>
        <w:t>Synthèse comparative pour la pratique officinale</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Caractéristique</w:t>
            </w:r>
          </w:p>
        </w:tc>
        <w:tc>
          <w:tcPr>
            <w:tcW w:type="dxa" w:w="1871"/>
          </w:tcPr>
          <w:p>
            <w:r>
              <w:rPr>
                <w:b/>
                <w:sz w:val="20"/>
              </w:rPr>
              <w:t>Alfuzosine</w:t>
            </w:r>
          </w:p>
        </w:tc>
        <w:tc>
          <w:tcPr>
            <w:tcW w:type="dxa" w:w="1871"/>
          </w:tcPr>
          <w:p>
            <w:r>
              <w:rPr>
                <w:b/>
                <w:sz w:val="20"/>
              </w:rPr>
              <w:t>Tamsulosine</w:t>
            </w:r>
          </w:p>
        </w:tc>
        <w:tc>
          <w:tcPr>
            <w:tcW w:type="dxa" w:w="1871"/>
          </w:tcPr>
          <w:p>
            <w:r>
              <w:rPr>
                <w:b/>
                <w:sz w:val="20"/>
              </w:rPr>
              <w:t>Doxazosine</w:t>
            </w:r>
          </w:p>
        </w:tc>
        <w:tc>
          <w:tcPr>
            <w:tcW w:type="dxa" w:w="1871"/>
          </w:tcPr>
          <w:p>
            <w:r>
              <w:rPr>
                <w:b/>
                <w:sz w:val="20"/>
              </w:rPr>
              <w:t>Finastéride</w:t>
            </w:r>
          </w:p>
        </w:tc>
      </w:tr>
      <w:tr>
        <w:tc>
          <w:tcPr>
            <w:tcW w:type="dxa" w:w="1871"/>
          </w:tcPr>
          <w:p>
            <w:r>
              <w:rPr>
                <w:sz w:val="20"/>
              </w:rPr>
              <w:t>Délai d'action</w:t>
            </w:r>
          </w:p>
        </w:tc>
        <w:tc>
          <w:tcPr>
            <w:tcW w:type="dxa" w:w="1871"/>
          </w:tcPr>
          <w:p>
            <w:r>
              <w:rPr>
                <w:sz w:val="20"/>
              </w:rPr>
              <w:t>1-2 semaines</w:t>
            </w:r>
          </w:p>
        </w:tc>
        <w:tc>
          <w:tcPr>
            <w:tcW w:type="dxa" w:w="1871"/>
          </w:tcPr>
          <w:p>
            <w:r>
              <w:rPr>
                <w:sz w:val="20"/>
              </w:rPr>
              <w:t>1-2 semaines</w:t>
            </w:r>
          </w:p>
        </w:tc>
        <w:tc>
          <w:tcPr>
            <w:tcW w:type="dxa" w:w="1871"/>
          </w:tcPr>
          <w:p>
            <w:r>
              <w:rPr>
                <w:sz w:val="20"/>
              </w:rPr>
              <w:t>1-2 semaines</w:t>
            </w:r>
          </w:p>
        </w:tc>
        <w:tc>
          <w:tcPr>
            <w:tcW w:type="dxa" w:w="1871"/>
          </w:tcPr>
          <w:p>
            <w:r>
              <w:rPr>
                <w:sz w:val="20"/>
              </w:rPr>
              <w:t>3-6 mois</w:t>
            </w:r>
          </w:p>
        </w:tc>
      </w:tr>
      <w:tr>
        <w:tc>
          <w:tcPr>
            <w:tcW w:type="dxa" w:w="1871"/>
          </w:tcPr>
          <w:p>
            <w:r>
              <w:rPr>
                <w:sz w:val="20"/>
              </w:rPr>
              <w:t>Effet sur volume prostatique</w:t>
            </w:r>
          </w:p>
        </w:tc>
        <w:tc>
          <w:tcPr>
            <w:tcW w:type="dxa" w:w="1871"/>
          </w:tcPr>
          <w:p>
            <w:r>
              <w:rPr>
                <w:sz w:val="20"/>
              </w:rPr>
              <w:t>Aucun</w:t>
            </w:r>
          </w:p>
        </w:tc>
        <w:tc>
          <w:tcPr>
            <w:tcW w:type="dxa" w:w="1871"/>
          </w:tcPr>
          <w:p>
            <w:r>
              <w:rPr>
                <w:sz w:val="20"/>
              </w:rPr>
              <w:t>Aucun</w:t>
            </w:r>
          </w:p>
        </w:tc>
        <w:tc>
          <w:tcPr>
            <w:tcW w:type="dxa" w:w="1871"/>
          </w:tcPr>
          <w:p>
            <w:r>
              <w:rPr>
                <w:sz w:val="20"/>
              </w:rPr>
              <w:t>Aucun</w:t>
            </w:r>
          </w:p>
        </w:tc>
        <w:tc>
          <w:tcPr>
            <w:tcW w:type="dxa" w:w="1871"/>
          </w:tcPr>
          <w:p>
            <w:r>
              <w:rPr>
                <w:sz w:val="20"/>
              </w:rPr>
              <w:t>-20 à -30 %</w:t>
            </w:r>
          </w:p>
        </w:tc>
      </w:tr>
      <w:tr>
        <w:tc>
          <w:tcPr>
            <w:tcW w:type="dxa" w:w="1871"/>
          </w:tcPr>
          <w:p>
            <w:r>
              <w:rPr>
                <w:sz w:val="20"/>
              </w:rPr>
              <w:t>Effet sur PSA</w:t>
            </w:r>
          </w:p>
        </w:tc>
        <w:tc>
          <w:tcPr>
            <w:tcW w:type="dxa" w:w="1871"/>
          </w:tcPr>
          <w:p>
            <w:r>
              <w:rPr>
                <w:sz w:val="20"/>
              </w:rPr>
              <w:t>Aucun</w:t>
            </w:r>
          </w:p>
        </w:tc>
        <w:tc>
          <w:tcPr>
            <w:tcW w:type="dxa" w:w="1871"/>
          </w:tcPr>
          <w:p>
            <w:r>
              <w:rPr>
                <w:sz w:val="20"/>
              </w:rPr>
              <w:t>Aucun</w:t>
            </w:r>
          </w:p>
        </w:tc>
        <w:tc>
          <w:tcPr>
            <w:tcW w:type="dxa" w:w="1871"/>
          </w:tcPr>
          <w:p>
            <w:r>
              <w:rPr>
                <w:sz w:val="20"/>
              </w:rPr>
              <w:t>Aucun</w:t>
            </w:r>
          </w:p>
        </w:tc>
        <w:tc>
          <w:tcPr>
            <w:tcW w:type="dxa" w:w="1871"/>
          </w:tcPr>
          <w:p>
            <w:r>
              <w:rPr>
                <w:sz w:val="20"/>
              </w:rPr>
              <w:t>-50 % (×2 pour interprétation)</w:t>
            </w:r>
          </w:p>
        </w:tc>
      </w:tr>
      <w:tr>
        <w:tc>
          <w:tcPr>
            <w:tcW w:type="dxa" w:w="1871"/>
          </w:tcPr>
          <w:p>
            <w:r>
              <w:rPr>
                <w:sz w:val="20"/>
              </w:rPr>
              <w:t>Effet de 1re dose</w:t>
            </w:r>
          </w:p>
        </w:tc>
        <w:tc>
          <w:tcPr>
            <w:tcW w:type="dxa" w:w="1871"/>
          </w:tcPr>
          <w:p>
            <w:r>
              <w:rPr>
                <w:sz w:val="20"/>
              </w:rPr>
              <w:t>Non (forme LP)</w:t>
            </w:r>
          </w:p>
        </w:tc>
        <w:tc>
          <w:tcPr>
            <w:tcW w:type="dxa" w:w="1871"/>
          </w:tcPr>
          <w:p>
            <w:r>
              <w:rPr>
                <w:sz w:val="20"/>
              </w:rPr>
              <w:t>Non (urosélectivité)</w:t>
            </w:r>
          </w:p>
        </w:tc>
        <w:tc>
          <w:tcPr>
            <w:tcW w:type="dxa" w:w="1871"/>
          </w:tcPr>
          <w:p>
            <w:r>
              <w:rPr>
                <w:sz w:val="20"/>
              </w:rPr>
              <w:t>**Oui (forme immédiate)**</w:t>
            </w:r>
          </w:p>
        </w:tc>
        <w:tc>
          <w:tcPr>
            <w:tcW w:type="dxa" w:w="1871"/>
          </w:tcPr>
          <w:p>
            <w:r>
              <w:rPr>
                <w:sz w:val="20"/>
              </w:rPr>
              <w:t>Non</w:t>
            </w:r>
          </w:p>
        </w:tc>
      </w:tr>
      <w:tr>
        <w:tc>
          <w:tcPr>
            <w:tcW w:type="dxa" w:w="1871"/>
          </w:tcPr>
          <w:p>
            <w:r>
              <w:rPr>
                <w:sz w:val="20"/>
              </w:rPr>
              <w:t>Titration requise</w:t>
            </w:r>
          </w:p>
        </w:tc>
        <w:tc>
          <w:tcPr>
            <w:tcW w:type="dxa" w:w="1871"/>
          </w:tcPr>
          <w:p>
            <w:r>
              <w:rPr>
                <w:sz w:val="20"/>
              </w:rPr>
              <w:t>Non</w:t>
            </w:r>
          </w:p>
        </w:tc>
        <w:tc>
          <w:tcPr>
            <w:tcW w:type="dxa" w:w="1871"/>
          </w:tcPr>
          <w:p>
            <w:r>
              <w:rPr>
                <w:sz w:val="20"/>
              </w:rPr>
              <w:t>Non</w:t>
            </w:r>
          </w:p>
        </w:tc>
        <w:tc>
          <w:tcPr>
            <w:tcW w:type="dxa" w:w="1871"/>
          </w:tcPr>
          <w:p>
            <w:r>
              <w:rPr>
                <w:sz w:val="20"/>
              </w:rPr>
              <w:t>**Oui (forme immédiate)** / Non (forme LP)</w:t>
            </w:r>
          </w:p>
        </w:tc>
        <w:tc>
          <w:tcPr>
            <w:tcW w:type="dxa" w:w="1871"/>
          </w:tcPr>
          <w:p>
            <w:r>
              <w:rPr>
                <w:sz w:val="20"/>
              </w:rPr>
              <w:t>Non</w:t>
            </w:r>
          </w:p>
        </w:tc>
      </w:tr>
      <w:tr>
        <w:tc>
          <w:tcPr>
            <w:tcW w:type="dxa" w:w="1871"/>
          </w:tcPr>
          <w:p>
            <w:r>
              <w:rPr>
                <w:sz w:val="20"/>
              </w:rPr>
              <w:t>Hypotension orthostatique</w:t>
            </w:r>
          </w:p>
        </w:tc>
        <w:tc>
          <w:tcPr>
            <w:tcW w:type="dxa" w:w="1871"/>
          </w:tcPr>
          <w:p>
            <w:r>
              <w:rPr>
                <w:sz w:val="20"/>
              </w:rPr>
              <w:t>Faible</w:t>
            </w:r>
          </w:p>
        </w:tc>
        <w:tc>
          <w:tcPr>
            <w:tcW w:type="dxa" w:w="1871"/>
          </w:tcPr>
          <w:p>
            <w:r>
              <w:rPr>
                <w:sz w:val="20"/>
              </w:rPr>
              <w:t>Très faible</w:t>
            </w:r>
          </w:p>
        </w:tc>
        <w:tc>
          <w:tcPr>
            <w:tcW w:type="dxa" w:w="1871"/>
          </w:tcPr>
          <w:p>
            <w:r>
              <w:rPr>
                <w:sz w:val="20"/>
              </w:rPr>
              <w:t>**Élevée**</w:t>
            </w:r>
          </w:p>
        </w:tc>
        <w:tc>
          <w:tcPr>
            <w:tcW w:type="dxa" w:w="1871"/>
          </w:tcPr>
          <w:p>
            <w:r>
              <w:rPr>
                <w:sz w:val="20"/>
              </w:rPr>
              <w:t>Aucune</w:t>
            </w:r>
          </w:p>
        </w:tc>
      </w:tr>
      <w:tr>
        <w:tc>
          <w:tcPr>
            <w:tcW w:type="dxa" w:w="1871"/>
          </w:tcPr>
          <w:p>
            <w:r>
              <w:rPr>
                <w:sz w:val="20"/>
              </w:rPr>
              <w:t>IFIS</w:t>
            </w:r>
          </w:p>
        </w:tc>
        <w:tc>
          <w:tcPr>
            <w:tcW w:type="dxa" w:w="1871"/>
          </w:tcPr>
          <w:p>
            <w:r>
              <w:rPr>
                <w:sz w:val="20"/>
              </w:rPr>
              <w:t>Possible (modéré)</w:t>
            </w:r>
          </w:p>
        </w:tc>
        <w:tc>
          <w:tcPr>
            <w:tcW w:type="dxa" w:w="1871"/>
          </w:tcPr>
          <w:p>
            <w:r>
              <w:rPr>
                <w:sz w:val="20"/>
              </w:rPr>
              <w:t>**Élevé**</w:t>
            </w:r>
          </w:p>
        </w:tc>
        <w:tc>
          <w:tcPr>
            <w:tcW w:type="dxa" w:w="1871"/>
          </w:tcPr>
          <w:p>
            <w:r>
              <w:rPr>
                <w:sz w:val="20"/>
              </w:rPr>
              <w:t>Possible (modéré)</w:t>
            </w:r>
          </w:p>
        </w:tc>
        <w:tc>
          <w:tcPr>
            <w:tcW w:type="dxa" w:w="1871"/>
          </w:tcPr>
          <w:p>
            <w:r>
              <w:rPr>
                <w:sz w:val="20"/>
              </w:rPr>
              <w:t>Non concerné</w:t>
            </w:r>
          </w:p>
        </w:tc>
      </w:tr>
      <w:tr>
        <w:tc>
          <w:tcPr>
            <w:tcW w:type="dxa" w:w="1871"/>
          </w:tcPr>
          <w:p>
            <w:r>
              <w:rPr>
                <w:sz w:val="20"/>
              </w:rPr>
              <w:t>Éjaculation rétrograde</w:t>
            </w:r>
          </w:p>
        </w:tc>
        <w:tc>
          <w:tcPr>
            <w:tcW w:type="dxa" w:w="1871"/>
          </w:tcPr>
          <w:p>
            <w:r>
              <w:rPr>
                <w:sz w:val="20"/>
              </w:rPr>
              <w:t>2-4 %</w:t>
            </w:r>
          </w:p>
        </w:tc>
        <w:tc>
          <w:tcPr>
            <w:tcW w:type="dxa" w:w="1871"/>
          </w:tcPr>
          <w:p>
            <w:r>
              <w:rPr>
                <w:sz w:val="20"/>
              </w:rPr>
              <w:t>**8-18 %**</w:t>
            </w:r>
          </w:p>
        </w:tc>
        <w:tc>
          <w:tcPr>
            <w:tcW w:type="dxa" w:w="1871"/>
          </w:tcPr>
          <w:p>
            <w:r>
              <w:rPr>
                <w:sz w:val="20"/>
              </w:rPr>
              <w:t>2-6 %</w:t>
            </w:r>
          </w:p>
        </w:tc>
        <w:tc>
          <w:tcPr>
            <w:tcW w:type="dxa" w:w="1871"/>
          </w:tcPr>
          <w:p>
            <w:r>
              <w:rPr>
                <w:sz w:val="20"/>
              </w:rPr>
              <w:t>5-10 % (troubles éjaculation)</w:t>
            </w:r>
          </w:p>
        </w:tc>
      </w:tr>
      <w:tr>
        <w:tc>
          <w:tcPr>
            <w:tcW w:type="dxa" w:w="1871"/>
          </w:tcPr>
          <w:p>
            <w:r>
              <w:rPr>
                <w:sz w:val="20"/>
              </w:rPr>
              <w:t>Effet antihypertenseur</w:t>
            </w:r>
          </w:p>
        </w:tc>
        <w:tc>
          <w:tcPr>
            <w:tcW w:type="dxa" w:w="1871"/>
          </w:tcPr>
          <w:p>
            <w:r>
              <w:rPr>
                <w:sz w:val="20"/>
              </w:rPr>
              <w:t>Non significatif</w:t>
            </w:r>
          </w:p>
        </w:tc>
        <w:tc>
          <w:tcPr>
            <w:tcW w:type="dxa" w:w="1871"/>
          </w:tcPr>
          <w:p>
            <w:r>
              <w:rPr>
                <w:sz w:val="20"/>
              </w:rPr>
              <w:t>Non significatif</w:t>
            </w:r>
          </w:p>
        </w:tc>
        <w:tc>
          <w:tcPr>
            <w:tcW w:type="dxa" w:w="1871"/>
          </w:tcPr>
          <w:p>
            <w:r>
              <w:rPr>
                <w:sz w:val="20"/>
              </w:rPr>
              <w:t>**Significatif** (peut être utilisé pour HTA)</w:t>
            </w:r>
          </w:p>
        </w:tc>
        <w:tc>
          <w:tcPr>
            <w:tcW w:type="dxa" w:w="1871"/>
          </w:tcPr>
          <w:p>
            <w:r>
              <w:rPr>
                <w:sz w:val="20"/>
              </w:rPr>
              <w:t>Aucun</w:t>
            </w:r>
          </w:p>
        </w:tc>
      </w:tr>
      <w:tr>
        <w:tc>
          <w:tcPr>
            <w:tcW w:type="dxa" w:w="1871"/>
          </w:tcPr>
          <w:p>
            <w:r>
              <w:rPr>
                <w:sz w:val="20"/>
              </w:rPr>
              <w:t>Indication HBP volumineuse</w:t>
            </w:r>
          </w:p>
        </w:tc>
        <w:tc>
          <w:tcPr>
            <w:tcW w:type="dxa" w:w="1871"/>
          </w:tcPr>
          <w:p>
            <w:r>
              <w:rPr>
                <w:sz w:val="20"/>
              </w:rPr>
              <w:t>Possible</w:t>
            </w:r>
          </w:p>
        </w:tc>
        <w:tc>
          <w:tcPr>
            <w:tcW w:type="dxa" w:w="1871"/>
          </w:tcPr>
          <w:p>
            <w:r>
              <w:rPr>
                <w:sz w:val="20"/>
              </w:rPr>
              <w:t>Possible</w:t>
            </w:r>
          </w:p>
        </w:tc>
        <w:tc>
          <w:tcPr>
            <w:tcW w:type="dxa" w:w="1871"/>
          </w:tcPr>
          <w:p>
            <w:r>
              <w:rPr>
                <w:sz w:val="20"/>
              </w:rPr>
              <w:t>Possible</w:t>
            </w:r>
          </w:p>
        </w:tc>
        <w:tc>
          <w:tcPr>
            <w:tcW w:type="dxa" w:w="1871"/>
          </w:tcPr>
          <w:p>
            <w:r>
              <w:rPr>
                <w:sz w:val="20"/>
              </w:rPr>
              <w:t>**Indication privilégiée**</w:t>
            </w:r>
          </w:p>
        </w:tc>
      </w:tr>
      <w:tr>
        <w:tc>
          <w:tcPr>
            <w:tcW w:type="dxa" w:w="1871"/>
          </w:tcPr>
          <w:p>
            <w:r>
              <w:rPr>
                <w:sz w:val="20"/>
              </w:rPr>
              <w:t>Risque tératogène féminin</w:t>
            </w:r>
          </w:p>
        </w:tc>
        <w:tc>
          <w:tcPr>
            <w:tcW w:type="dxa" w:w="1871"/>
          </w:tcPr>
          <w:p>
            <w:r>
              <w:rPr>
                <w:sz w:val="20"/>
              </w:rPr>
              <w:t>Non</w:t>
            </w:r>
          </w:p>
        </w:tc>
        <w:tc>
          <w:tcPr>
            <w:tcW w:type="dxa" w:w="1871"/>
          </w:tcPr>
          <w:p>
            <w:r>
              <w:rPr>
                <w:sz w:val="20"/>
              </w:rPr>
              <w:t>Non</w:t>
            </w:r>
          </w:p>
        </w:tc>
        <w:tc>
          <w:tcPr>
            <w:tcW w:type="dxa" w:w="1871"/>
          </w:tcPr>
          <w:p>
            <w:r>
              <w:rPr>
                <w:sz w:val="20"/>
              </w:rPr>
              <w:t>Non</w:t>
            </w:r>
          </w:p>
        </w:tc>
        <w:tc>
          <w:tcPr>
            <w:tcW w:type="dxa" w:w="1871"/>
          </w:tcPr>
          <w:p>
            <w:r>
              <w:rPr>
                <w:sz w:val="20"/>
              </w:rPr>
              <w:t>**Oui (catégorie X)**</w:t>
            </w:r>
          </w:p>
        </w:tc>
      </w:tr>
      <w:tr>
        <w:tc>
          <w:tcPr>
            <w:tcW w:type="dxa" w:w="1871"/>
          </w:tcPr>
          <w:p>
            <w:r>
              <w:rPr>
                <w:sz w:val="20"/>
              </w:rPr>
              <w:t>Co-prescription iPDE5</w:t>
            </w:r>
          </w:p>
        </w:tc>
        <w:tc>
          <w:tcPr>
            <w:tcW w:type="dxa" w:w="1871"/>
          </w:tcPr>
          <w:p>
            <w:r>
              <w:rPr>
                <w:sz w:val="20"/>
              </w:rPr>
              <w:t>Possible (prudence)</w:t>
            </w:r>
          </w:p>
        </w:tc>
        <w:tc>
          <w:tcPr>
            <w:tcW w:type="dxa" w:w="1871"/>
          </w:tcPr>
          <w:p>
            <w:r>
              <w:rPr>
                <w:sz w:val="20"/>
              </w:rPr>
              <w:t>Possible (prudence)</w:t>
            </w:r>
          </w:p>
        </w:tc>
        <w:tc>
          <w:tcPr>
            <w:tcW w:type="dxa" w:w="1871"/>
          </w:tcPr>
          <w:p>
            <w:r>
              <w:rPr>
                <w:sz w:val="20"/>
              </w:rPr>
              <w:t>**Risque majeur**</w:t>
            </w:r>
          </w:p>
        </w:tc>
        <w:tc>
          <w:tcPr>
            <w:tcW w:type="dxa" w:w="1871"/>
          </w:tcPr>
          <w:p>
            <w:r>
              <w:rPr>
                <w:sz w:val="20"/>
              </w:rPr>
              <w:t>Possible (logique)</w:t>
            </w:r>
          </w:p>
        </w:tc>
      </w:tr>
    </w:tbl>
    <w:p/>
    <w:p>
      <w:pPr>
        <w:pStyle w:val="Heading2"/>
      </w:pPr>
      <w:r>
        <w:t>9. Règles d'Or et points-clés au comptoir</w:t>
      </w:r>
    </w:p>
    <w:p>
      <w:pPr>
        <w:pStyle w:val="Heading3"/>
      </w:pPr>
      <w:r>
        <w:t>Règles d'Or absolues</w:t>
      </w:r>
    </w:p>
    <w:p>
      <w:pPr>
        <w:pStyle w:val="ListNumber"/>
      </w:pPr>
      <w:r/>
      <w:r>
        <w:rPr>
          <w:b/>
        </w:rPr>
        <w:t>Jamais d'association de deux alpha-bloquants</w:t>
      </w:r>
      <w:r>
        <w:t xml:space="preserve"> — contre-indication absolue : alfuzosine + tamsulosine, alfuzosine + doxazosine, tamsulosine + doxazosine → hypotension additive sévère, malaise, syncope. Le pharmacien doit </w:t>
      </w:r>
      <w:r>
        <w:rPr>
          <w:b/>
        </w:rPr>
        <w:t>systématiquement</w:t>
      </w:r>
      <w:r>
        <w:t xml:space="preserve"> vérifier l'absence de co-prescription de plusieurs alpha-bloquants, notamment en cas de double prescription (urologue + médecin généraliste) ou de patient consultant plusieurs prescripteurs.</w:t>
      </w:r>
    </w:p>
    <w:p>
      <w:pPr>
        <w:pStyle w:val="ListNumber"/>
      </w:pPr>
      <w:r/>
      <w:r>
        <w:rPr>
          <w:b/>
        </w:rPr>
        <w:t>Doxazosine forme immédiate = titration obligatoire</w:t>
      </w:r>
      <w:r>
        <w:t xml:space="preserve"> — débuter à 1 mg/jour pendant 1 semaine, puis 2 mg, puis 4 mg, puis éventuellement 8 mg ; 1re prise de chaque palier au coucher. Ne jamais délivrer de la doxazosine forme immédiate à dose pleine sans titration — risque d'hypotension sévère, syncope, chute (particulièrement dangereuse chez le sujet âgé ostéoporotique). Privilégier la forme LP 4 mg ou 8 mg si pas de titration prescrite.</w:t>
      </w:r>
    </w:p>
    <w:p>
      <w:pPr>
        <w:pStyle w:val="ListNumber"/>
      </w:pPr>
      <w:r/>
      <w:r>
        <w:rPr>
          <w:b/>
        </w:rPr>
        <w:t>Tamsulosine + chirurgie de la cataracte = IFIS</w:t>
      </w:r>
      <w:r>
        <w:t xml:space="preserve"> — informer systématiquement le patient du risque d'</w:t>
      </w:r>
      <w:r>
        <w:rPr>
          <w:b/>
        </w:rPr>
        <w:t>Intraoperative Floppy Iris Syndrome</w:t>
      </w:r>
      <w:r>
        <w:t xml:space="preserve"> (syndrome de l'iris flasque per-opératoire) en cas de chirurgie de la cataracte programmée. Le patient doit </w:t>
      </w:r>
      <w:r>
        <w:rPr>
          <w:b/>
        </w:rPr>
        <w:t>informer son ophtalmologiste</w:t>
      </w:r>
      <w:r>
        <w:t>. Le pharmacien doit remettre idéalement un document écrit. L'arrêt pré-opératoire est discuté au cas par cas (l'IFIS peut survenir même après arrêt prolongé), mais l'information est cruciale pour adapter la technique chirurgicale.</w:t>
      </w:r>
    </w:p>
    <w:p>
      <w:pPr>
        <w:pStyle w:val="ListNumber"/>
      </w:pPr>
      <w:r/>
      <w:r>
        <w:rPr>
          <w:b/>
        </w:rPr>
        <w:t>Finastéride = PSA divisé par 2</w:t>
      </w:r>
      <w:r>
        <w:t xml:space="preserve"> — sous finastéride depuis ≥ 6 mois, le PSA sérique est réduit d'environ 50 %. Pour interpréter correctement le PSA : </w:t>
      </w:r>
      <w:r>
        <w:rPr>
          <w:b/>
        </w:rPr>
        <w:t>multiplier par 2</w:t>
      </w:r>
      <w:r>
        <w:t xml:space="preserve"> la valeur mesurée et appliquer les seuils standards (&gt; 4 ng/mL = biopsie discutée ; &gt; 10 ng/mL = biopsie indiquée). Le patient doit </w:t>
      </w:r>
      <w:r>
        <w:rPr>
          <w:b/>
        </w:rPr>
        <w:t>signaler son traitement par finastéride à tout médecin prescrivant un dosage de PSA</w:t>
      </w:r>
      <w:r>
        <w:t xml:space="preserve">. Un </w:t>
      </w:r>
      <w:r>
        <w:rPr>
          <w:b/>
        </w:rPr>
        <w:t>PSA de référence</w:t>
      </w:r>
      <w:r>
        <w:t xml:space="preserve"> doit être mesuré avant l'initiation.</w:t>
      </w:r>
    </w:p>
    <w:p>
      <w:pPr>
        <w:pStyle w:val="ListNumber"/>
      </w:pPr>
      <w:r/>
      <w:r>
        <w:rPr>
          <w:b/>
        </w:rPr>
        <w:t>Finastéride = CI absolue chez la femme enceinte</w:t>
      </w:r>
      <w:r>
        <w:t xml:space="preserve"> — tératogénicité majeure (catégorie X FDA) sur les organes génitaux externes masculins du fœtus (pseudo-hermaphrodisme). Le finastéride ne doit pas être manipulé (notamment cassé ou écrasé) par une femme enceinte ou susceptible de l'être. Le patient masculin traité doit utiliser un préservatif pendant les rapports sexuels avec une femme enceinte ou susceptible de l'être, pendant le traitement et 1 semaine après l'arrêt (wash-out).</w:t>
      </w:r>
    </w:p>
    <w:p>
      <w:pPr>
        <w:pStyle w:val="ListNumber"/>
      </w:pPr>
      <w:r/>
      <w:r>
        <w:rPr>
          <w:b/>
        </w:rPr>
        <w:t>Effet non immédiat du finastéride</w:t>
      </w:r>
      <w:r>
        <w:t xml:space="preserve"> — prévenir le patient d'un délai de 3-6 mois pour l'effet symptomatique et 6-12 mois pour l'effet maximal sur le volume prostatique. Éviter l'inobservance par découragement. Le traitement est chronique à vie (à l'arrêt, le volume prostatique reaugmente en 3-6 mois).</w:t>
      </w:r>
    </w:p>
    <w:p>
      <w:pPr>
        <w:pStyle w:val="ListNumber"/>
      </w:pPr>
      <w:r/>
      <w:r>
        <w:rPr>
          <w:b/>
        </w:rPr>
        <w:t>Co-prescription alpha-bloquant + iPDE5</w:t>
      </w:r>
      <w:r>
        <w:t xml:space="preserve"> (sildénafil, tadalafil, vardénafil — voir Chapitre 72 Dysfonction Érectile) — risque d'hypotension additive, particulièrement marqué avec la doxazosine. Débuter l'iPDE5 à dose minimale, espacer les prises (4-6 h), surveiller la PA. Préférer un urosélectif (alfuzosine, tamsulosine) à la doxazosine en cas d'association prévue.</w:t>
      </w:r>
    </w:p>
    <w:p>
      <w:pPr>
        <w:pStyle w:val="ListNumber"/>
      </w:pPr>
      <w:r/>
      <w:r>
        <w:rPr>
          <w:b/>
        </w:rPr>
        <w:t>Surveillance urologique annuelle</w:t>
      </w:r>
      <w:r>
        <w:t xml:space="preserve"> — tout patient sous traitement pharmacologique de la HBP doit bénéficier d'une réévaluation urologique annuelle : IPSS (International Prostate Symptom Score), débitmétrie, échographie vésico-prostatique avec résidu post-mictionnel, </w:t>
      </w:r>
      <w:r>
        <w:rPr>
          <w:b/>
        </w:rPr>
        <w:t>PSA</w:t>
      </w:r>
      <w:r>
        <w:t xml:space="preserve"> (corrigé × 2 sous finastéride). Le pharmacien doit rappeler l'importance de cette surveillance au patient.</w:t>
      </w:r>
    </w:p>
    <w:p>
      <w:pPr>
        <w:pStyle w:val="Heading3"/>
      </w:pPr>
      <w:r>
        <w:t>Pièges spécifiques à chaque molécule</w:t>
      </w:r>
    </w:p>
    <w:p>
      <w:pPr>
        <w:pStyle w:val="ListBullet"/>
      </w:pPr>
      <w:r/>
      <w:r>
        <w:rPr>
          <w:b/>
        </w:rPr>
        <w:t>Alfuzosine</w:t>
      </w:r>
      <w:r>
        <w:t xml:space="preserve"> : oubli de l'information sur l'IFIS (moindre incidence mais possible) ; oubli de la prise alimentaire (le comprimé LP doit être pris après un repas) ; substitution par une forme immédiate qui n'existe plus commercialement (mais erreur possible sur la prescription).</w:t>
      </w:r>
    </w:p>
    <w:p>
      <w:pPr>
        <w:pStyle w:val="ListBullet"/>
      </w:pPr>
      <w:r/>
      <w:r>
        <w:rPr>
          <w:b/>
        </w:rPr>
        <w:t>Tamsulosine</w:t>
      </w:r>
      <w:r>
        <w:t xml:space="preserve"> : oubli de l'information sur l'IFIS (le piège majeur) ; prise à jeun (augmente la Cmax et le risque d'EI) ; patient allergique aux sulfamides (prudence accrue — la tamsulosine est un sulfonamide) ; dose de 0,8 mg/jour à ne pas initier en 1re intention.</w:t>
      </w:r>
    </w:p>
    <w:p>
      <w:pPr>
        <w:pStyle w:val="ListBullet"/>
      </w:pPr>
      <w:r/>
      <w:r>
        <w:rPr>
          <w:b/>
        </w:rPr>
        <w:t>Doxazosine</w:t>
      </w:r>
      <w:r>
        <w:t xml:space="preserve"> : oubli de la titration avec la forme immédiate (le piège majeur) ; oubli de la 1re prise au coucher ; patient sous antihypertenseurs multiples sans adaptation ; forme LP et obstruction GI (CI relative) ; comprimé LP visible dans les selles (information à donner au patient).</w:t>
      </w:r>
    </w:p>
    <w:p>
      <w:pPr>
        <w:pStyle w:val="ListBullet"/>
      </w:pPr>
      <w:r/>
      <w:r>
        <w:rPr>
          <w:b/>
        </w:rPr>
        <w:t>Finastéride</w:t>
      </w:r>
      <w:r>
        <w:t xml:space="preserve"> : oubli de l'information sur le PSA × 2 (le piège majeur) ; oubli du risque tératogène féminin ; oubli du délai d'action ; oubli des effets indésirables sexuels et psychiatriques ; patient jeune traité pour alopécie (off-label — Propecia® 1 mg non commercialisé en Algérie).</w:t>
      </w:r>
    </w:p>
    <w:p>
      <w:pPr>
        <w:pStyle w:val="Heading3"/>
      </w:pPr>
      <w:r>
        <w:t>Messages-clés au comptoir</w:t>
      </w:r>
    </w:p>
    <w:p>
      <w:pPr>
        <w:pStyle w:val="ListNumber"/>
      </w:pPr>
      <w:r/>
      <w:r>
        <w:rPr>
          <w:b/>
        </w:rPr>
        <w:t>« Pas d'effet immédiat du finastéride — il faut 3 à 6 mois »</w:t>
      </w:r>
      <w:r>
        <w:t xml:space="preserve"> — prévenir le patient pour éviter l'inobservance par découragement.</w:t>
      </w:r>
    </w:p>
    <w:p>
      <w:pPr>
        <w:pStyle w:val="ListNumber"/>
      </w:pPr>
      <w:r/>
      <w:r>
        <w:rPr>
          <w:b/>
        </w:rPr>
        <w:t>« Votre PSA est divisé par 2 sous finastéride — signalez-le à tout médecin »</w:t>
      </w:r>
      <w:r>
        <w:t xml:space="preserve"> — piège diagnostique majeur à anticiper.</w:t>
      </w:r>
    </w:p>
    <w:p>
      <w:pPr>
        <w:pStyle w:val="ListNumber"/>
      </w:pPr>
      <w:r/>
      <w:r>
        <w:rPr>
          <w:b/>
        </w:rPr>
        <w:t>« Prévenez votre ophtalmologiste que vous prenez de la tamsulosine si vous devez être opéré de la cataracte »</w:t>
      </w:r>
      <w:r>
        <w:t xml:space="preserve"> — information systématique sur l'IFIS.</w:t>
      </w:r>
    </w:p>
    <w:p>
      <w:pPr>
        <w:pStyle w:val="ListNumber"/>
      </w:pPr>
      <w:r/>
      <w:r>
        <w:rPr>
          <w:b/>
        </w:rPr>
        <w:t>« Si vous prenez de la doxazosine comprimé normal (pas LP), il faut commencer par 1 mg puis 2 mg puis 4 mg — ne jamais commencer à dose pleine »</w:t>
      </w:r>
      <w:r>
        <w:t xml:space="preserve"> — titration obligatoire.</w:t>
      </w:r>
    </w:p>
    <w:p>
      <w:pPr>
        <w:pStyle w:val="ListNumber"/>
      </w:pPr>
      <w:r/>
      <w:r>
        <w:rPr>
          <w:b/>
        </w:rPr>
        <w:t>« Ne jamais associer deux médicaments de la prostate du type alpha-bloquant »</w:t>
      </w:r>
      <w:r>
        <w:t xml:space="preserve"> — contre-indication absolue.</w:t>
      </w:r>
    </w:p>
    <w:p>
      <w:pPr>
        <w:pStyle w:val="ListNumber"/>
      </w:pPr>
      <w:r/>
      <w:r>
        <w:rPr>
          <w:b/>
        </w:rPr>
        <w:t>« Si votre partenaire est enceinte ou essaie de l'être, utilisez un préservatif sous finastéride »</w:t>
      </w:r>
      <w:r>
        <w:t xml:space="preserve"> — risque tératogène majeur.</w:t>
      </w:r>
    </w:p>
    <w:p>
      <w:pPr>
        <w:pStyle w:val="ListNumber"/>
      </w:pPr>
      <w:r/>
      <w:r>
        <w:rPr>
          <w:b/>
        </w:rPr>
        <w:t>« Levez-vous progressivement pour éviter les vertiges, surtout avec la doxazosine »</w:t>
      </w:r>
      <w:r>
        <w:t xml:space="preserve"> — prévention de l'hypotension orthostatique.</w:t>
      </w:r>
    </w:p>
    <w:p>
      <w:pPr>
        <w:pStyle w:val="ListNumber"/>
      </w:pPr>
      <w:r/>
      <w:r>
        <w:rPr>
          <w:b/>
        </w:rPr>
        <w:t>« Si vous prenez aussi des médicaments pour l'érection, parlez-en à votre médecin — risque de baisse de tension »</w:t>
      </w:r>
      <w:r>
        <w:t xml:space="preserve"> — interaction iPDE5.</w:t>
      </w:r>
    </w:p>
    <w:p>
      <w:pPr>
        <w:pStyle w:val="ListNumber"/>
      </w:pPr>
      <w:r/>
      <w:r>
        <w:rPr>
          <w:b/>
        </w:rPr>
        <w:t>« Le traitement est à vie — ne l'arrêtez pas sans avis médical »</w:t>
      </w:r>
      <w:r>
        <w:t xml:space="preserve"> — traitement chronique de la HBP.</w:t>
      </w:r>
    </w:p>
    <w:p>
      <w:pPr>
        <w:pStyle w:val="ListNumber"/>
      </w:pPr>
      <w:r/>
      <w:r>
        <w:rPr>
          <w:b/>
        </w:rPr>
        <w:t>« Surveillez votre PSA annuellement et faites une consultation urologique de contrôle »</w:t>
      </w:r>
      <w:r>
        <w:t xml:space="preserve"> — surveillance indispensable.</w:t>
      </w:r>
    </w:p>
    <w:p>
      <w:pPr>
        <w:pStyle w:val="Heading2"/>
      </w:pPr>
      <w:r>
        <w:t>10. Sources documentaires</w:t>
      </w:r>
    </w:p>
    <w:p>
      <w:pPr>
        <w:pStyle w:val="ListBullet"/>
      </w:pPr>
      <w:r/>
      <w:r>
        <w:rPr>
          <w:b/>
        </w:rPr>
        <w:t>VIDAL</w:t>
      </w:r>
      <w:r>
        <w:t xml:space="preserve"> (édition 2024-2025) — monographies Alfuzosine, Tamsulosine, Doxazosine, Finastéride.</w:t>
      </w:r>
    </w:p>
    <w:p>
      <w:pPr>
        <w:pStyle w:val="ListBullet"/>
      </w:pPr>
      <w:r/>
      <w:r>
        <w:rPr>
          <w:b/>
        </w:rPr>
        <w:t>ANSM (Agence Nationale de Sécurité du Médicament et des Produits de Santé, France)</w:t>
      </w:r>
      <w:r>
        <w:t xml:space="preserve"> — Résumés des Caractéristiques du Produit (RCP) Alfuzosine LP, Tamsulosine LP, Doxazosine (immédiate et LP), Finastéride 5 mg ; avis de pharmacovigilance Finastéride (dépression, syndrome post-finastéride) — mises à jour 2015 et 2017.</w:t>
      </w:r>
    </w:p>
    <w:p>
      <w:pPr>
        <w:pStyle w:val="ListBullet"/>
      </w:pPr>
      <w:r/>
      <w:r>
        <w:rPr>
          <w:b/>
        </w:rPr>
        <w:t>Thériaque</w:t>
      </w:r>
      <w:r>
        <w:t xml:space="preserve"> (banque de données française sur les médicaments) — interactions médicamenteuses, posologies, contre-indications.</w:t>
      </w:r>
    </w:p>
    <w:p>
      <w:pPr>
        <w:pStyle w:val="ListBullet"/>
      </w:pPr>
      <w:r/>
      <w:r>
        <w:rPr>
          <w:b/>
        </w:rPr>
        <w:t>CRAT (Centre de Renseignements sur les Agents Tératogènes)</w:t>
      </w:r>
      <w:r>
        <w:t xml:space="preserve"> — fiches Alfuzosine, Tamsulosine, Doxazosine, Finastéride — recommandations grossesse et allaitement.</w:t>
      </w:r>
    </w:p>
    <w:p>
      <w:pPr>
        <w:pStyle w:val="ListBullet"/>
      </w:pPr>
      <w:r/>
      <w:r>
        <w:rPr>
          <w:b/>
        </w:rPr>
        <w:t>EAU (European Association of Urology) Guidelines on Non-Neurogenic Male LUTS (2024)</w:t>
      </w:r>
      <w:r>
        <w:t xml:space="preserve"> — recommandations de bonne pratique pour la prise en charge des SBAU masculins.</w:t>
      </w:r>
    </w:p>
    <w:p>
      <w:pPr>
        <w:pStyle w:val="ListBullet"/>
      </w:pPr>
      <w:r/>
      <w:r>
        <w:rPr>
          <w:b/>
        </w:rPr>
        <w:t>AUA (American Urological Association) Guidelines on Management of Benign Prostatic Hyperplasia (2021, revised 2023)</w:t>
      </w:r>
      <w:r>
        <w:t>.</w:t>
      </w:r>
    </w:p>
    <w:p>
      <w:pPr>
        <w:pStyle w:val="ListBullet"/>
      </w:pPr>
      <w:r/>
      <w:r>
        <w:rPr>
          <w:b/>
        </w:rPr>
        <w:t>HAS (Haute Autorité de Santé, France)</w:t>
      </w:r>
      <w:r>
        <w:t xml:space="preserve"> — recommandations HBP (2018) ; fiches de transparence.</w:t>
      </w:r>
    </w:p>
    <w:p>
      <w:pPr>
        <w:pStyle w:val="ListBullet"/>
      </w:pPr>
      <w:r/>
      <w:r>
        <w:rPr>
          <w:b/>
        </w:rPr>
        <w:t>FDA (Food and Drug Administration, USA)</w:t>
      </w:r>
      <w:r>
        <w:t xml:space="preserve"> — Finasteride Label (modifications 2011, 2012, 2014 — risque de cancer du sein masculin, dépression, PFS).</w:t>
      </w:r>
    </w:p>
    <w:p>
      <w:pPr>
        <w:pStyle w:val="ListBullet"/>
      </w:pPr>
      <w:r/>
      <w:r>
        <w:rPr>
          <w:b/>
        </w:rPr>
        <w:t>UpToDate</w:t>
      </w:r>
      <w:r>
        <w:t xml:space="preserve"> (revue en ligne) — « Treatment of lower urinary tract symptoms suggestive of benign prostatic hyperplasia », « Intraoperative floppy iris syndrome ».</w:t>
      </w:r>
    </w:p>
    <w:p>
      <w:pPr>
        <w:pStyle w:val="ListBullet"/>
      </w:pPr>
      <w:r/>
      <w:r>
        <w:rPr>
          <w:b/>
        </w:rPr>
        <w:t>Micromedex</w:t>
      </w:r>
      <w:r>
        <w:t xml:space="preserve"> (IBM) — monographies Alfuzosine, Tamsulosine, Doxazosine, Finastéride.</w:t>
      </w:r>
    </w:p>
    <w:p>
      <w:pPr>
        <w:pStyle w:val="ListBullet"/>
      </w:pPr>
      <w:r/>
      <w:r>
        <w:rPr>
          <w:b/>
        </w:rPr>
        <w:t>Études cliniques pivot</w:t>
      </w:r>
      <w:r>
        <w:t xml:space="preserve"> : MTOPS (Medical Therapy of Prostatic Symptoms, McConnell et al., NEJM 2003), CombAT (Roehrborn et al., Eur Urol 2010 — dutastéride + tamsulosine), ALLHAT (Davis et al., JAMA 2000 — doxazosine vs chlorthalidone), Chang &amp; Campbell (Ophthalmology 2005 — première description de l'IFIS).</w:t>
      </w:r>
    </w:p>
    <w:p>
      <w:pPr>
        <w:pStyle w:val="ListBullet"/>
      </w:pPr>
      <w:r/>
      <w:r>
        <w:rPr>
          <w:b/>
        </w:rPr>
        <w:t>Nomenclature algérienne des médicaments — Avril 2026</w:t>
      </w:r>
      <w:r>
        <w:t xml:space="preserve"> (fichier source : COMPLETE LISTE.xlsx, feuilles « Nomenclature Avril 2026 », « Non Renouvelés », « Retraits ») — pour la liste exhaustive des marques, laboratoires, dosages et statuts.</w:t>
      </w:r>
    </w:p>
    <w:p>
      <w:pPr>
        <w:pStyle w:val="ListBullet"/>
      </w:pPr>
      <w:r/>
      <w:r>
        <w:rPr>
          <w:b/>
        </w:rPr>
        <w:t>Répertoire National des Médicaments — Ministère de la Santé de la République Algérienne Démocratique et Populaire</w:t>
      </w:r>
      <w:r>
        <w:t xml:space="preserve"> (registre officiel des spécialités pharmaceutiques disponibles).</w:t>
      </w:r>
    </w:p>
    <w:p>
      <w:r/>
      <w:r>
        <w:rPr>
          <w:i/>
        </w:rPr>
        <w:t xml:space="preserve">Fin du Chapitre 71 — Hypertrophie Bénigne de la Prostate (HBP). Le Chapitre 72 du Fascicule VIII traitera de la </w:t>
      </w:r>
      <w:r/>
      <w:r>
        <w:rPr>
          <w:i/>
        </w:rPr>
        <w:t>Dysfonction Érectile</w:t>
      </w:r>
      <w:r/>
      <w:r>
        <w:rPr>
          <w:i/>
        </w:rPr>
        <w:t xml:space="preserve"> (inhibiteurs de la PDE5, alprostadil), et le Chapitre 73 de l'</w:t>
      </w:r>
      <w:r/>
      <w:r>
        <w:rPr>
          <w:i/>
        </w:rPr>
        <w:t>Incontinence Urinaire</w:t>
      </w:r>
      <w:r/>
      <w:r>
        <w:rPr>
          <w:i/>
        </w:rPr>
        <w:t xml:space="preserve"> (anticholinergiques, mirabégron).</w:t>
      </w:r>
      <w:r/>
    </w:p>
    <w:p>
      <w:pPr>
        <w:pStyle w:val="Heading1"/>
      </w:pPr>
      <w:r>
        <w:t>Fascicule VIII – Urologie</w:t>
      </w:r>
    </w:p>
    <w:p>
      <w:pPr>
        <w:pStyle w:val="Heading2"/>
      </w:pPr>
      <w:r>
        <w:t>Chapitre 72 – Dysfonction érectile : Inhibiteurs de la PDE5, Prostaglandines E1 et Inhibiteurs non sélectifs de la PDE</w:t>
      </w:r>
    </w:p>
    <w:p>
      <w:pPr>
        <w:pStyle w:val="Heading3"/>
      </w:pPr>
      <w:r>
        <w:t>Introduction générale du chapitre</w:t>
      </w:r>
    </w:p>
    <w:p>
      <w:r>
        <w:t>La dysfonction érectile (DE), définie par l'incapacité persistante ou récurrente à obtenir ou maintenir une érection suffisante pour permettre une activité sexuelle satisfaisante pendant au moins trois mois, constitue un symptôme sentinelle dont la prise en charge dépasse très largement le simple trouble mécanique de la sexualité. Les données épidémiologiques disponibles, notamment l'étude MASS (Massachusetts Male Aging Study) et les méta-analyses plus récentes de la European Association of Urology (EAU), estiment la prévalence globale de la DE entre 15 % et 20 % chez l'homme adulte, avec une progression exponentielle après 50 ans pouvant atteindre 50–70 % chez les sujets de plus de 70 ans. En Algérie, comme dans l'ensemble du Maghreb, la sous-déclaration culturelle, la stigmatisation et le recours fréquent à l'automédication par produits non contrôlés rendent l'évaluation réelle difficile, mais l'expérience quotidienne d'officine confirme une demande croissante, notamment chez le patient diabétique, hypertendu, coronarien ou dépressif.</w:t>
      </w:r>
    </w:p>
    <w:p>
      <w:r>
        <w:t>Sur le plan physiopathologique, l'érection est un phénomène neuro-vasculaire complexe sous contrôle hormonal (testostérone), psychogène (voies limbiques) et endothélial. La stimulation sexuelle entraîne la libération d'oxyde nitrique (NO) au niveau des terminaisons nerveuses non adrénergiques non cholinergiques (NANC) et des cellules endothéliales des corps caverneux. Le NO active la guanylate cyclase soluble (sGC), qui convertit la GTP en GMP cyclique (GMPc). L'augmentation intracellulaire de GMPc active la protéine kinase G (PKG), laquelle phosphoryle des canaux ioniques entraînant une baisse du calcium intracytosolique et la relaxation des cellules musculaires lisses caverneuses. Cette relaxation autorise l'engorgement sinusoïdal, la compression veineuse contre l'albuginée et la rigidité pénienne. La voie de l'AMPc, médiée par les prostaglandines E1 (PGE1) via les réceptors EP2/EP4 couplés aux protéines Gs, constitue la seconde voie effectrice complémentaire. La phosphodiestérase de type 5 (PDE5), exprimée massivement dans le tissu caverneux, hydrolyse le GMPc en 5'-GMP et termine l'érection : son inhibition pharmacologique prolonge donc la vasodilatation caverneuse.</w:t>
      </w:r>
    </w:p>
    <w:p>
      <w:r>
        <w:t>Cinq DCI sont commercialisées ou disponibles en Algérie dans cette indication : trois inhibiteurs sélectifs de la PDE5 (sildénafil, tadalafil, vardénafil), une prostaglandine E1 injectable intracaverneuse (alprostadil) et un inhibiteur non sélectif des PDE à usage historique injectable (papavérine). L'enseignement pharmacologique de ce chapitre doit impérativement intégrer trois dimensions : (1) la dimension mécanistique fine des voies du GMPc et de l'AMPc ; (2) la dimension cardiovasculaire critique, l'interaction potentiellement mortelle avec les dérivés nitrés représentant le risque numéro un en officine ; (3) la dimension d'éducation thérapeutique, le patient requérant une information claire sur le caractère non aphrodisiaque de ces molécules, la nécessité d'une stimulation sexuelle préalable et la reconnaissance des signes d'alerte (priapisme, douleur thoracique, troubles visuels).</w:t>
      </w:r>
    </w:p>
    <w:p>
      <w:pPr>
        <w:pStyle w:val="Heading2"/>
      </w:pPr>
      <w:r>
        <w:t>Sous-classe 1 – Inhibiteurs sélectifs de la PDE5</w:t>
      </w:r>
    </w:p>
    <w:p>
      <w:r>
        <w:t>La sous-classe des inhibiteurs de la PDE5 représente la pierre angulaire du traitement pharmacologique de première intention de la DE depuis la mise sur marché du sildénafil en 1998 (première molécule orale efficace). Ces molécules agissent spécifiquement sur l'isoenzyme PDE5, responsable de la dégradation du GMPc dans le corps caverneux, tout en présentant une sélectivité variable vis-à-vis des autres phosphodiestérases : la PDE6 rétinienne (effets visuels du sildénafil), la PDE11 (effets musculaires du tadalafil) et la PDE1/PDE3 vasculaires. Trois molécules sont disponibles en Algérie : le sildénafil (princeps Viagra®, très largement génériqué sous une vingtaine de marques locales), le tadalafil (princeps Cialis®, retiré du marché algérien au profit de multiples génériques à 2,5/5/20 mg, dont la longue demi-vie de 17,5 heures autorise la famous « fenêtre de 36 heures ») et le vardénafil (princeps Levitra®, représenté en Algérie par une seule spécialité, le LIBIDOX® 10 mg).</w:t>
      </w:r>
    </w:p>
    <w:p>
      <w:r>
        <w:t xml:space="preserve">Les points communs pharmacologiques essentiels à retenir sont les suivants : (a) l'efficacité exige une stimulation sexuelle préalable, ces molécules ne sont pas des aphrodisiaques ; (b) l'interaction avec les dérivés nitrés (trinitrine, dinitrate d'isosorbide, mononitrate d'isosorbide, nicorandil, nitrites d'amyle poppers) est une </w:t>
      </w:r>
      <w:r>
        <w:rPr>
          <w:b/>
        </w:rPr>
        <w:t>contre-indication absolue, potentiellement mortelle</w:t>
      </w:r>
      <w:r>
        <w:t>, par potentialisation hypotensive extrême (chute tensionnelle parfois &gt;50 mmHg, choc cardiogénique, décès rapportés) ; (c) la prise alimentaire modifie la résorption du sildénafil (retard par repas riche en graisses) et du vardénafil, mais pas celle du tadalafil ; (d) les inhibiteurs puissants du CYP3A4 (ritonavir, saquinavir, itraconazole, kétoconazole, clarithromycine, érythromycine, jus de pamplemousse) majorent significativement les concentrations plasmatiques des trois molécules et imposent une réduction posologique ; (e) la fraction d'élimination est essentiellement hépatique par CYP3A4 et CYP2C9.</w:t>
      </w:r>
    </w:p>
    <w:p>
      <w:pPr>
        <w:pStyle w:val="Heading2"/>
      </w:pPr>
      <w:r>
        <w:t>Sous-classe 2 – Prostaglandines E1 (Alprostadil)</w:t>
      </w:r>
    </w:p>
    <w:p>
      <w:r>
        <w:t>L'alprostadil (PGE1) est un analogue synthétique de la prostaglandine E1 naturelle,commercialisé sous forme injectable intracaverneuse (IC) en Algérie (spécialité EDEX® 10 µg/mL et 20 µg/mL, laboratoire Schwarz Pharma). Il constitue la principale alternative non orale aux inhibiteurs de la PDE5, indiquée en deuxième intention chez les patients non répondeurs aux PDE5, contre-indiqués à ces derniers (notamment les patients sous dérivés nitrés pour lesquels le traitement de l'angor prime), ou ayant présenté des effets indésirables intolérables. Son mécanisme d'action est complémentaire de la voie du GMPc : la PGE1 se lie aux récepteurs EP2 et EP4 du muscle lisse caverneux, couplés aux protéines Gs, qui activent l'adénylate cyclase et augmentent l'AMPc intracellulaire, induisant la relaxation musculaire indépendamment de la voie NO-sGC. Cette voie indépendante explique son efficacité chez les patients atteints de neuropathie diabétique sévère ou de dysfonction endothéliale avancée, où la voie NO peut être altérée.</w:t>
      </w:r>
    </w:p>
    <w:p>
      <w:r>
        <w:t>L'administration intracaverneuse impose une formation technique rigoureuse du patient, une éducation aux risques de priapisme (érection &gt;4 heures nécessitant un recours urgent) et de fibrose des corps caverneux, et une remise en question de l'indication en cas d'antécédents de priapisme, de drépanocytose, de leucémie, de myélome multiple ou de déformation anatomique pénienne (Maladie de Peyronie, angulation congénitale). Le taux de réponse atteint 70–90 % indépendamment de l'étiologie. Une forme intra-urétrale (MUSE®, non commercialisée en Algérie) existe à l'étranger mais la voie injectable reste la référence disponible localement.</w:t>
      </w:r>
    </w:p>
    <w:p>
      <w:pPr>
        <w:pStyle w:val="Heading2"/>
      </w:pPr>
      <w:r>
        <w:t>Sous-classe 3 – Inhibiteurs non sélectifs de la PDE (Papavérine)</w:t>
      </w:r>
    </w:p>
    <w:p>
      <w:r>
        <w:t>La papavérine, alcaloïde opiacique isoquinoléique dépourvu d'action morphinique centrale, fut le premier agent pharmacologique injectable intracaverneux utilisé pour la DE dès 1982 (par Virag et al.), précédant de plus de quinze ans l'arrivée du sildénafil. Son mécanisme d'action est une inhibition non sélective des phosphodiestérases (PDE1, PDE3, PDE4, PDE5), augmentant simultanément l'AMPc et le GMPc intracaverneux et relaxant directement le muscle lisse. Sa disponibilité en Algérie reste limitée et essentiellement historique : la spécialité PAPAVERINE® 40 mg/mL solution injectable (Renaudin) figure au registre des non-renouvelables, et la spécialité ACTICARBINE® (papavérine 14 mg + charbon activé 70 mg, comprimé enrobé) est retirée du marché ; son utilisation était par ailleurs orientée troubles digestifs fonctionnels et spasmes viscéraux plutôt que DE en raison de la faible posologie et de la présence de charbon.</w:t>
      </w:r>
    </w:p>
    <w:p>
      <w:r>
        <w:t>La papavérine est aujourd'hui largement supplantée par les PDE5 oraux et par l'alprostadil IC, en raison de son profil d'effets indésirables : taux élevé de priapisme (jusqu'à 10 %), fibrose caverneuse et nodules indurés à l'usage répété (5–30 % selon les séries), hépatotoxicité rare mais possible, et flush. Elle reste mentionnée pour sa valeur historique et pédagogique, et peut encore être utilisée dans le cadre de protocoles hospitaliers d'érection pharmacologiquement induite (diagnostic étiologique, protocoles d'exploration neurovasculaire) ou dans le traitement d'érections prolongées iatrogènes.</w:t>
      </w:r>
    </w:p>
    <w:p>
      <w:pPr>
        <w:pStyle w:val="Heading3"/>
      </w:pPr>
      <w:r>
        <w:t>1. DCI : Sildénafil (Seule)</w:t>
      </w:r>
    </w:p>
    <w:p>
      <w:r/>
      <w:r>
        <w:rPr>
          <w:b/>
        </w:rPr>
        <w:t>Liste des Catégories :</w:t>
      </w:r>
      <w:r>
        <w:t xml:space="preserve"> Urologie – Dysfonction érectile – Inhibiteurs sélectifs de la PDE5 ; Hypertension artérielle pulmonaire (HTAP) – Vasodilatateur pulmonaire.</w:t>
      </w:r>
    </w:p>
    <w:p>
      <w:r>
        <w:t>Le sildénafil, premier inhibiteur sélectif de la PDE5 commercialisé (1998, Viagra® Pfizer), constitue la molécule de référence de la classe. Sa pharmacocinétique se caractérise par un délai d'action de 30 à 60 minutes après prise orale, une concentration plasmatique maximale (Cmax) atteinte en 60 minutes, une demi-vie d'élimination de 4 heures et une durée d'action clinique de 4 à 6 heures. La résorption est rapide mais significativement retardée et diminuée par un repas riche en graisses (baisse de la Cmax de 29 %, retard du Tmax de 60 minutes), ce qui impose une prise à jeun idéale ou après un repas léger. Le métabolisme est essentiellement hépatique par le CYP3A4 (voie principale) et le CYP2C9 (voie accessoire). Son métabolite actif N-déméthylé conserve environ 50 % de l'activité du composé mère. L'élimination est fécale (80 %) et urinaire (13 %). Le sildénafil dispose en Algérie d'une AMM dans la DE et, à plus forte posologie (20 mg trois fois par jour, formulation spécifique Revatio® non commercialisée localement mais accessible via ATU), dans l'HTAP.</w:t>
      </w:r>
    </w:p>
    <w:p>
      <w:r/>
      <w:r>
        <w:rPr>
          <w:b/>
        </w:rPr>
        <w:t>Médicaments disponibles en Algérie (Marques, Laboratoires, Formes et Dosages) :</w:t>
      </w:r>
      <w:r/>
    </w:p>
    <w:p>
      <w:pPr>
        <w:pStyle w:val="ListBullet"/>
      </w:pPr>
      <w:r/>
      <w:r>
        <w:rPr>
          <w:b/>
        </w:rPr>
        <w:t>APHRODIL</w:t>
      </w:r>
      <w:r>
        <w:t xml:space="preserve"> (DAR AL DAWA) – Comprimé pelliculé 50 mg – Boîte de 04 – Liste I – Statut : Actif</w:t>
      </w:r>
    </w:p>
    <w:p>
      <w:pPr>
        <w:pStyle w:val="ListBullet"/>
      </w:pPr>
      <w:r/>
      <w:r>
        <w:rPr>
          <w:b/>
        </w:rPr>
        <w:t>CILAGRA</w:t>
      </w:r>
      <w:r>
        <w:t xml:space="preserve"> (EL KENDI INDUSTRIE DU MEDICAMENT) – Comprimé pelliculé 50 mg – Boîtes de 02 et 04 – Liste I – Statut : Actif</w:t>
      </w:r>
    </w:p>
    <w:p>
      <w:pPr>
        <w:pStyle w:val="ListBullet"/>
      </w:pPr>
      <w:r/>
      <w:r>
        <w:rPr>
          <w:b/>
        </w:rPr>
        <w:t>ERECTA</w:t>
      </w:r>
      <w:r>
        <w:t xml:space="preserve"> (NOVAPHARM TRADING) – Comprimé pelliculé 50 mg – Boîtes de 02 et 08 ; Comprimé pelliculé 100 mg – Boîte de 04 – Liste I – Statut : Actif</w:t>
      </w:r>
    </w:p>
    <w:p>
      <w:pPr>
        <w:pStyle w:val="ListBullet"/>
      </w:pPr>
      <w:r/>
      <w:r>
        <w:rPr>
          <w:b/>
        </w:rPr>
        <w:t>FORCE MEN</w:t>
      </w:r>
      <w:r>
        <w:t xml:space="preserve"> (GEOPHARM) – Comprimé pelliculé 50 mg – Boîtes de 01, 04 et 08 ; Comprimé pelliculé 100 mg – Boîtes de 01 et 04 – Liste I – Statut : Actif</w:t>
      </w:r>
    </w:p>
    <w:p>
      <w:pPr>
        <w:pStyle w:val="ListBullet"/>
      </w:pPr>
      <w:r/>
      <w:r>
        <w:rPr>
          <w:b/>
        </w:rPr>
        <w:t>HEXOR</w:t>
      </w:r>
      <w:r>
        <w:t xml:space="preserve"> (BIOPHARM) – Comprimé enrobé 50 mg – Boîte de 02 – Liste I – Statut : Actif</w:t>
      </w:r>
    </w:p>
    <w:p>
      <w:pPr>
        <w:pStyle w:val="ListBullet"/>
      </w:pPr>
      <w:r/>
      <w:r>
        <w:rPr>
          <w:b/>
        </w:rPr>
        <w:t>INAGRA</w:t>
      </w:r>
      <w:r>
        <w:t xml:space="preserve"> (ABDI IBRAHIM REMEDE PHARMA) – Comprimé pelliculé 50 mg – Boîtes de 02 et 10 – Liste I – Statut : Actif</w:t>
      </w:r>
    </w:p>
    <w:p>
      <w:pPr>
        <w:pStyle w:val="ListBullet"/>
      </w:pPr>
      <w:r/>
      <w:r>
        <w:rPr>
          <w:b/>
        </w:rPr>
        <w:t>SILDEFAL</w:t>
      </w:r>
      <w:r>
        <w:t xml:space="preserve"> (SOCIETE PHARMACEUTIQUE ALGERIENNE SOPHAL) – Comprimé pelliculé 50 mg – Boîtes de 01 et 03 – Liste I – Statut : Actif</w:t>
      </w:r>
    </w:p>
    <w:p>
      <w:pPr>
        <w:pStyle w:val="ListBullet"/>
      </w:pPr>
      <w:r/>
      <w:r>
        <w:rPr>
          <w:b/>
        </w:rPr>
        <w:t>SILVEGRA</w:t>
      </w:r>
      <w:r>
        <w:t xml:space="preserve"> (NEOMEDIC) – Microgranule en gélule 50 mg – Boîtes de 03 et 07 – Liste I – Statut : Actif</w:t>
      </w:r>
    </w:p>
    <w:p>
      <w:pPr>
        <w:pStyle w:val="ListBullet"/>
      </w:pPr>
      <w:r/>
      <w:r>
        <w:rPr>
          <w:b/>
        </w:rPr>
        <w:t>VIABEK</w:t>
      </w:r>
      <w:r>
        <w:t xml:space="preserve"> (LABORATOIRES BEKER) – Comprimé pelliculé sécable 50 mg – Boîtes de 02 et 08 ; Comprimé pelliculé 100 mg – Boîte de 04 – Liste I – Statut : Actif</w:t>
      </w:r>
    </w:p>
    <w:p>
      <w:pPr>
        <w:pStyle w:val="ListBullet"/>
      </w:pPr>
      <w:r/>
      <w:r>
        <w:rPr>
          <w:b/>
        </w:rPr>
        <w:t>VIACTAL</w:t>
      </w:r>
      <w:r>
        <w:t xml:space="preserve"> (GROUPE SAIDAL) – Comprimé sécable 50 mg – Boîtes de 02 et 08 – Liste I – Statut : Actif</w:t>
      </w:r>
    </w:p>
    <w:p>
      <w:pPr>
        <w:pStyle w:val="ListBullet"/>
      </w:pPr>
      <w:r/>
      <w:r>
        <w:rPr>
          <w:b/>
        </w:rPr>
        <w:t>VIADIS</w:t>
      </w:r>
      <w:r>
        <w:t xml:space="preserve"> (INPHA-MEDIS) – Comprimé pelliculé 50 mg – Boîtes de 02 et 04 – Liste I – Statut : Actif</w:t>
      </w:r>
    </w:p>
    <w:p>
      <w:pPr>
        <w:pStyle w:val="ListBullet"/>
      </w:pPr>
      <w:r/>
      <w:r>
        <w:rPr>
          <w:b/>
        </w:rPr>
        <w:t>VIAFIL</w:t>
      </w:r>
      <w:r>
        <w:t xml:space="preserve"> (SARL GROUPE SANTE) – Comprimé pelliculé 50 mg – Boîte de 10 – Liste I – Statut : Actif</w:t>
      </w:r>
    </w:p>
    <w:p>
      <w:pPr>
        <w:pStyle w:val="ListBullet"/>
      </w:pPr>
      <w:r/>
      <w:r>
        <w:rPr>
          <w:b/>
        </w:rPr>
        <w:t>VIAFIL</w:t>
      </w:r>
      <w:r>
        <w:t xml:space="preserve"> (SARL WAHRAN PHARMA) – Comprimé pelliculé 50 mg – Boîte de 04 – Liste I – Statut : Actif</w:t>
      </w:r>
    </w:p>
    <w:p>
      <w:pPr>
        <w:pStyle w:val="ListBullet"/>
      </w:pPr>
      <w:r/>
      <w:r>
        <w:rPr>
          <w:b/>
        </w:rPr>
        <w:t>VIAGNAFIL</w:t>
      </w:r>
      <w:r>
        <w:t xml:space="preserve"> (HUPP PHARMA) – Comprimé pelliculé 50 mg – Boîtes de 02 et 04 – Liste I – Statut : Actif</w:t>
      </w:r>
    </w:p>
    <w:p>
      <w:pPr>
        <w:pStyle w:val="ListBullet"/>
      </w:pPr>
      <w:r/>
      <w:r>
        <w:rPr>
          <w:b/>
        </w:rPr>
        <w:t>VIAGRA</w:t>
      </w:r>
      <w:r>
        <w:t xml:space="preserve"> (UPJOHN SAIDAL PHARMA) – Comprimé pelliculé 50 mg – Boîte de 02 ; Comprimé pelliculé 100 mg – Boîte de 02 – Liste I – Statut : Actif (princeps)</w:t>
      </w:r>
    </w:p>
    <w:p>
      <w:pPr>
        <w:pStyle w:val="ListBullet"/>
      </w:pPr>
      <w:r/>
      <w:r>
        <w:rPr>
          <w:b/>
        </w:rPr>
        <w:t>VIANAFIL</w:t>
      </w:r>
      <w:r>
        <w:t xml:space="preserve"> (PHARMALLIANCE) – Comprimé pelliculé 50 mg – Boîte de 04 ; Comprimé pelliculé 100 mg – Boîte de 04 – Liste I – Statut : Actif</w:t>
      </w:r>
    </w:p>
    <w:p>
      <w:pPr>
        <w:pStyle w:val="ListBullet"/>
      </w:pPr>
      <w:r/>
      <w:r>
        <w:rPr>
          <w:b/>
        </w:rPr>
        <w:t>VIAREC</w:t>
      </w:r>
      <w:r>
        <w:t xml:space="preserve"> (LAD PHARMA) – Comprimé pelliculé 50 mg – Boîte de 04 ; Comprimé pelliculé 100 mg – Boîte de 04 – Liste I – Statut : Actif</w:t>
      </w:r>
    </w:p>
    <w:p>
      <w:pPr>
        <w:pStyle w:val="ListBullet"/>
      </w:pPr>
      <w:r/>
      <w:r>
        <w:rPr>
          <w:b/>
        </w:rPr>
        <w:t>VIRILOME</w:t>
      </w:r>
      <w:r>
        <w:t xml:space="preserve"> (LABORATOIRES MM) – Comprimé pelliculé 50 mg – Boîtes de 02 et 10 – Liste I – Statut : Actif</w:t>
      </w:r>
    </w:p>
    <w:p>
      <w:pPr>
        <w:pStyle w:val="ListBullet"/>
      </w:pPr>
      <w:r/>
      <w:r>
        <w:rPr>
          <w:b/>
        </w:rPr>
        <w:t>VYACTIR</w:t>
      </w:r>
      <w:r>
        <w:t xml:space="preserve"> (LABORATOIRES SAPHARM PRODUCTION/SARL) – Comprimé 50 mg – Boîte de 10 – Liste I – Statut : Actif</w:t>
      </w:r>
    </w:p>
    <w:p>
      <w:pPr>
        <w:pStyle w:val="ListBullet"/>
      </w:pPr>
      <w:r/>
      <w:r>
        <w:rPr>
          <w:b/>
        </w:rPr>
        <w:t>SILDAN 50</w:t>
      </w:r>
      <w:r>
        <w:t xml:space="preserve"> (TASSILI ARAB PHARMACEUTICAL CO) – Comprimé orodispersible 50 mg – Boîte de 04 – Liste I – Statut : Actif</w:t>
      </w:r>
    </w:p>
    <w:p>
      <w:pPr>
        <w:pStyle w:val="ListBullet"/>
      </w:pPr>
      <w:r/>
      <w:r>
        <w:rPr>
          <w:b/>
        </w:rPr>
        <w:t>VEGA 50</w:t>
      </w:r>
      <w:r>
        <w:t xml:space="preserve"> (SANAMED) – Comprimé pelliculé 50 mg – Boîte de 04 – Liste I – Statut : </w:t>
      </w:r>
      <w:r>
        <w:rPr>
          <w:b/>
        </w:rPr>
        <w:t>Retiré (R)</w:t>
      </w:r>
      <w:r/>
    </w:p>
    <w:p>
      <w:r/>
      <w:r>
        <w:rPr>
          <w:b/>
        </w:rPr>
        <w:t>Sous-classe et Mécanisme d'action :</w:t>
      </w:r>
      <w:r/>
    </w:p>
    <w:p>
      <w:pPr>
        <w:pStyle w:val="ListBullet"/>
      </w:pPr>
      <w:r>
        <w:t>Sous-classe : Inhibiteur sélectif et compétitif de la phosphodiestérase de type 5 (PDE5), chef de file de la classe, indiqué dans la dysfonction érectile et l'hypertension artérielle pulmonaire.</w:t>
      </w:r>
    </w:p>
    <w:p>
      <w:pPr>
        <w:pStyle w:val="ListBullet"/>
      </w:pPr>
      <w:r>
        <w:t>Mécanisme d'action : Lors de la stimulation sexuelle, le monoxyde d'azote (NO) est libéré par les terminaisons nerveuses NANC et les cellules endothéliales caverneuses. Le NO active la guanylate cyclase soluble (sGC) qui convertit la GTP en GMP cyclique (GMPc). L'élévation du GMPc intracellulaire active la protéine kinase G (PKG), provoquant la phosphorylation de canaux potassiques et calciques, la baisse du calcium cytosolique et la relaxation des cellules musculaires lisses des artères et sinus caverneux. Le sang artériel emplit les sinus, comprime les veinules sous-albuginées contre l'albuginée, et l'érection s'installe. La PDE5 hydrolyse normalement le GMPc en GMP inactive et termine l'érection. Le sildénafil, par inhibition compétitive et réversible du site catalytique de la PDE5, empêche cette hydrolyse, prolongeant et amplifiant la vasodilatation caverneuse en présence du NO endogène. La sélectivité pour la PDE5 est environ 10 fois supérieure à celle pour la PDE6 (rétine, responsable de la cyanopsie transitoire), 80 fois pour la PDE1 et 700 fois pour la PDE2/3/4. La molécule agit uniquement en présence d'une stimulation sexuelle : elle n'induit pas d'érection spontanée et n'est pas un aphrodisiaque.</w:t>
      </w:r>
    </w:p>
    <w:p>
      <w:r/>
      <w:r>
        <w:rPr>
          <w:b/>
        </w:rPr>
        <w:t>Profil Pharmacologique :</w:t>
      </w:r>
      <w:r/>
    </w:p>
    <w:p>
      <w:pPr>
        <w:pStyle w:val="ListBullet"/>
      </w:pPr>
      <w:r>
        <w:t>Indications : Dysfonction érectile (homme adulte) ; HTAP (à la posologie 20 mg × 3/j, spécialité Revatio® non commercialisée en Algérie mais accessible via ATU).</w:t>
      </w:r>
    </w:p>
    <w:p>
      <w:pPr>
        <w:pStyle w:val="ListBullet"/>
      </w:pPr>
      <w:r>
        <w:t xml:space="preserve">Contre-indications : </w:t>
      </w:r>
      <w:r>
        <w:rPr>
          <w:b/>
        </w:rPr>
        <w:t>Hypersensibilité au sildénafil</w:t>
      </w:r>
      <w:r>
        <w:t xml:space="preserve"> ; </w:t>
      </w:r>
      <w:r>
        <w:rPr>
          <w:b/>
        </w:rPr>
        <w:t>utilisation concomitante de dérivés nitrés sous quelque forme que ce soit (orale, sublinguale, transdermique, pulmonaire, IV) : contre-indication absolue, potentiellement mortelle</w:t>
      </w:r>
      <w:r>
        <w:t xml:space="preserve"> (délai d'espacement minimum 24 heures après sildénafil, 48 heures idéalement chez le coronarien) ; utilisation concomitante de donateurs de NO (nitrites d'amyle, « poppers ») ; utilisation concomitante de riociguat (stimulateur de la guanylate cyclase soluble) ou de guanylate cyclase activators ; antécédent récent d'infarctus du myocarde (&lt;90 jours), d'accident vasculaire cérébral (&lt;6 mois), d'hypotension sévère (&lt;90/50 mmHg) ou d'hypertension sévère non contrôlée (&gt;170/100 mmHg) ; instabilité hémodynamique ; insuffisance hépatique sévère (Child-Pugh C) ; insuffisance rénale sévère (Clcr &lt;30 mL/min) avec doses initiales réduites (25 mg) ; cardiopathies sévères (angor instable, insuffisance cardiaque NYHA IV, troubles du rythme non contrôlés) ; rétinopathie pigmentaire (rare prédisposition génétique avec PDE6) ; antécédent de neuropathie optique ischémique antérieure non artéritique (NOIAN) – déconseillé.</w:t>
      </w:r>
    </w:p>
    <w:p>
      <w:pPr>
        <w:pStyle w:val="ListBullet"/>
      </w:pPr>
      <w:r>
        <w:t>Effets Indésirables : Très fréquents (&gt;10 %) : céphalées (16 %), flush (vasodilatation faciale, 12 %), dyspepsie (7 %), rhinite (4 %) ; fréquents (1–10 %) : troubles visuels (cyanopsie – vision bleutée, hypersensibilité à la lumière, modification de la perception des couleurs, liés à l'inhibition de la PDE6 rétinienne), vertiges, myalgies, nausées, palpitations, tachycardie ; rares (&lt;1 %) : priapisme (érection &gt;4 heures – urgence urologique), NOIAN (perte brutale de vision d'un œil), surdité brutale neurosensorielle, hypotension, érections prolongées ; très rares : réactions cutanées sévères (Stevens-Johnson, Lyell), syndrome de Stevens-Johnson. Les effets indésirables sont dose-dépendants (25→50→100 mg) et souvent transitoires (1–2 heures).</w:t>
      </w:r>
    </w:p>
    <w:p>
      <w:r/>
      <w:r>
        <w:rPr>
          <w:b/>
        </w:rPr>
        <w:t>Prévention et Gestion des Effets Indésirables :</w:t>
      </w:r>
      <w:r/>
    </w:p>
    <w:p>
      <w:pPr>
        <w:pStyle w:val="ListBullet"/>
      </w:pPr>
      <w:r>
        <w:t>Mesures Préventives : Interrogatoire cardiovasculaire systématique avant dispensation (antécédents coronariens, IDM, AVC, insuffisance cardiaque, angor, traitement nitré concomitant, pression artérielle, capacité à l'effort physique équivalent à 6 METs – soit monter deux étages sans douleur). Vérification systématique de l'ordonnance : recherche de trinitrine, dinitrate d'isosorbide, mononitrate d'isosorbide, nicorandil dans le dossier patient. Information du patient : ne jamais associer sildénafil et dérivés nitrés, ne jamais cumuler plusieurs comprimés, ne jamais réutiliser une prescription périmée. Surveillance initiale : débuter à 50 mg et adapter selon efficacité et tolérance. Pour la cyanopsie : rassurer sur le caractère bénin et transitoire. Pour les céphalées : antalgiques de palier I (paracétamol), éviter AINS chroniques en cas d'insuffisance rénale.</w:t>
      </w:r>
    </w:p>
    <w:p>
      <w:pPr>
        <w:pStyle w:val="ListBullet"/>
      </w:pPr>
      <w:r>
        <w:t>Conduite à Tenir : En cas de priapisme (érection douloureuse &gt;4 heures) : orientation immédiate aux urgences urologiques (aspiration-irrigation des corps caverneux, injection IC d'étiléfrine ou phényléphrine). En cas de douleur thoracique survenant dans les 24 heures suivant la prise : ne JAMAIS administrer de trinitrine ; recours immédiat SAMU/urgences en précisant la prise de sildénafil. En cas de trouble visuel brutal ou de perte d'audition : arrêt définitif et avis ophtalmologique/ORL urgent. En cas d'hypotension symptomatique : décubitus dorsal, hydratation, surveillance TA.</w:t>
      </w:r>
    </w:p>
    <w:p>
      <w:r/>
      <w:r>
        <w:rPr>
          <w:b/>
        </w:rPr>
        <w:t>Interactions Importantes :</w:t>
      </w:r>
      <w:r/>
    </w:p>
    <w:p>
      <w:pPr>
        <w:pStyle w:val="ListBullet"/>
      </w:pPr>
      <w:r/>
      <w:r>
        <w:rPr>
          <w:b/>
        </w:rPr>
        <w:t>Sildénafil + dérivés nitrés (trinitrine, isosorbide, nicorandil, nitrites d'amyle) – CI ABSOLUE MORTELLE</w:t>
      </w:r>
      <w:r>
        <w:t xml:space="preserve"> : potentialisation majeure de la chute tensionnelle par synergie sur la voie NO-sGC-GMPc. Risque d'hypotension sévère, choc cardiogénique, décès. Délai d'espacement : 24 heures minimum après sildénafil (48 h idéales), réciproquement ne prendre sildénafil qu'au moins 24 h après arrêt d'un dérivé nitré à demi-vie courte, et 7 jours pour les formes retard.</w:t>
      </w:r>
    </w:p>
    <w:p>
      <w:pPr>
        <w:pStyle w:val="ListBullet"/>
      </w:pPr>
      <w:r>
        <w:t>Sildénafil + α-bloquants (alfuzosine, tamsulosine, doxazosine, prazosine, silodosine) : risque d'hypotension orthostatique symptomatique. Espacer les prises d'au moins 6 heures, débuter sildénafil à 25 mg, surveiller TA orthostatique.</w:t>
      </w:r>
    </w:p>
    <w:p>
      <w:pPr>
        <w:pStyle w:val="ListBullet"/>
      </w:pPr>
      <w:r>
        <w:t>Sildénafil + inhibiteurs puissants du CYP3A4 (ritonavir, saquinavir, indinavir, atazanavir, kétoconazole, itraconazole, clarithromycine, érythromycine, josamycine, jus de pamplemousse 250 mL) : multiplication par 2 à 11 des concentrations de sildénafil, majoration des EI. Réduire la dose initiale à 25 mg et espacer (48 h entre prises pour ritonavir/saquinavir). Ne pas dépasser 25 mg/48 h sous antiprotéases.</w:t>
      </w:r>
    </w:p>
    <w:p>
      <w:pPr>
        <w:pStyle w:val="ListBullet"/>
      </w:pPr>
      <w:r>
        <w:t>Sildénafil + inducteurs du CYP3A4 (rifampicine, phénytoïne, carbamazépine, phénobarbital, millepertuis) : baisse d'efficacité, augmentation possible des doses.</w:t>
      </w:r>
    </w:p>
    <w:p>
      <w:pPr>
        <w:pStyle w:val="ListBullet"/>
      </w:pPr>
      <w:r>
        <w:t>Sildénafil + bosentan (antagoniste de l'endothéline, HTAP) : baisse de l'AUC du sildénafil de 50 %, ajustement posologique.</w:t>
      </w:r>
    </w:p>
    <w:p>
      <w:pPr>
        <w:pStyle w:val="ListBullet"/>
      </w:pPr>
      <w:r>
        <w:t>Sildénafil + autres vasodilatateurs (diurétiques, IEC, ARA2) : majoration modérée de l'effet hypotenseur.</w:t>
      </w:r>
    </w:p>
    <w:p>
      <w:pPr>
        <w:pStyle w:val="ListBullet"/>
      </w:pPr>
      <w:r>
        <w:t>Sildénafil + alcool : potentialisation de l'hypotension et majoration des céphalées.</w:t>
      </w:r>
    </w:p>
    <w:p>
      <w:pPr>
        <w:pStyle w:val="ListBullet"/>
      </w:pPr>
      <w:r>
        <w:t>Sildénafil + riociguat : CI absolue (hypotension sévère par double stimulation de la voie GMPc).</w:t>
      </w:r>
    </w:p>
    <w:p>
      <w:r/>
      <w:r>
        <w:rPr>
          <w:b/>
        </w:rPr>
        <w:t>Grossesse et Allaitement :</w:t>
      </w:r>
      <w:r/>
    </w:p>
    <w:p>
      <w:pPr>
        <w:pStyle w:val="ListBullet"/>
      </w:pPr>
      <w:r>
        <w:t>Grossesse : Selon les données du CRAT, le sildénafil n'est pas indiqué chez la femme en dehors de l'HTAP. Dans l'HTAP féminine (formenelle), il est considéré comme compatible : données animales sans effet tératogène, données humaines limitées mais rassurantes. Le passage placentaire existe mais sans malformation rapportée. Pour la DE masculine, le sildénafil ne pose pas de problème chez le partenaire masculin (aucun effet sur sperme à dose thérapeutique, possible diminution de la mobilité à très haute dose in vitro).</w:t>
      </w:r>
    </w:p>
    <w:p>
      <w:pPr>
        <w:pStyle w:val="ListBullet"/>
      </w:pPr>
      <w:r>
        <w:t>Allaitement : Selon CRAT, passage dans le lait maternel documenté mais à concentrations très faibles, sans effet attendu chez le nouveau-né. Compatible en cas d'HTAP maternelle. Non indiqué chez l'homme (pas d'impact sur le sperme à dose thérapeutique).</w:t>
      </w:r>
    </w:p>
    <w:p>
      <w:pPr>
        <w:pStyle w:val="ListBullet"/>
      </w:pPr>
      <w:r>
        <w:t>Précisions : Le sildénafil est utilisé hors AMM dans certaines HTAP de l'enfant, dans la prévention de la prééclampsie sévère (essais cliniques), dans le retard de croissance intra-utérin (essais cliniques) – ces usages restent hospitaliers et ne concernent pas la pratique courante d'officine.</w:t>
      </w:r>
    </w:p>
    <w:p>
      <w:r/>
      <w:r>
        <w:rPr>
          <w:b/>
        </w:rPr>
        <w:t>Posologie et Mode d'administration (Standard) :</w:t>
      </w:r>
      <w:r/>
    </w:p>
    <w:p>
      <w:pPr>
        <w:pStyle w:val="ListBullet"/>
      </w:pPr>
      <w:r>
        <w:t>Adulte &lt;65 ans : Dose initiale recommandée 50 mg, à prendre environ 1 heure (30–60 min) avant l'activité sexuelle. Adaptation selon efficacité/tolérance : 25 mg (sujets sensibles, insuffisants hépatiques légers, sous α-bloquants, sous inhibiteurs modérés du CYP3A4) à 100 mg (dose maximale par prise). Fréquence maximale : 1 prise par 24 heures, sans dépasser 100 mg/j.</w:t>
      </w:r>
    </w:p>
    <w:p>
      <w:pPr>
        <w:pStyle w:val="ListBullet"/>
      </w:pPr>
      <w:r>
        <w:t>Sujet âgé ≥65 ans : Débuter à 25 mg, adapter à 50 mg puis 100 mg si nécessaire et toléré.</w:t>
      </w:r>
    </w:p>
    <w:p>
      <w:pPr>
        <w:pStyle w:val="ListBullet"/>
      </w:pPr>
      <w:r>
        <w:t>Insuffisance hépatique légère à modérée (Child-Pugh A et B) : débuter à 25 mg. Sévère (C) : CI.</w:t>
      </w:r>
    </w:p>
    <w:p>
      <w:pPr>
        <w:pStyle w:val="ListBullet"/>
      </w:pPr>
      <w:r>
        <w:t>Insuffisance rénale (Clcr 30–80) : pas d'ajustement. Clcr &lt;30 : débuter à 25 mg.</w:t>
      </w:r>
    </w:p>
    <w:p>
      <w:pPr>
        <w:pStyle w:val="ListBullet"/>
      </w:pPr>
      <w:r>
        <w:t>Sous α-bloquants stables : débuter à 25 mg, espacer de 6 h.</w:t>
      </w:r>
    </w:p>
    <w:p>
      <w:pPr>
        <w:pStyle w:val="ListBullet"/>
      </w:pPr>
      <w:r>
        <w:t>Sous antiprotéases : 25 mg toutes les 48 h maximum.</w:t>
      </w:r>
    </w:p>
    <w:p>
      <w:pPr>
        <w:pStyle w:val="ListBullet"/>
      </w:pPr>
      <w:r>
        <w:t>Durée : Prise à la demande, uniquement lorsqu'une activité sexuelle est prévue. Aucun traitement continu (à la différence du tadalafil 2,5/5 mg/j).</w:t>
      </w:r>
    </w:p>
    <w:p>
      <w:pPr>
        <w:pStyle w:val="ListBullet"/>
      </w:pPr>
      <w:r>
        <w:t>Moment de la prise : À jeun ou après repas léger. Un repas riche en graisses retarde et diminue l'absorption. Conservation à température &lt;25 °C, à l'abri de l'humidité.</w:t>
      </w:r>
    </w:p>
    <w:p>
      <w:r/>
      <w:r>
        <w:rPr>
          <w:b/>
        </w:rPr>
        <w:t>Arbitrage et Bénéfices des Formes Galéniques :</w:t>
      </w:r>
      <w:r/>
    </w:p>
    <w:p>
      <w:r>
        <w:t>La quasi-totalité des spécialités algériennes sont des comprimés pelliculés à 50 et 100 mg, offerts dans une large diversité de conditionnements (boîtes de 1, 2, 3, 4, 7, 8, 10 comprimés), permettant au patient un démarrage à dose modulable (sécabilité du comprimé 50 mg) et une adaptation posologique par paliers. Le comprimé orodispersible (SILDAN 50, Tassili) présente un intérêt chez le patient dysphagique, le patient âgé, ou souhaitant s'affranchir d'un repas proche (biodisponibilité conservée, délai d'action potentiellement raccourci à 20–30 min). La galénique microgranule en gélule (SILVEGRA 50, Neomedic) offre une libération potentiellement plus régulière. La multiplicité des marques locales (une vingtaine) permet une couverture économique large, mais doit s'accompagner d'une vigilance sur la traçabilité du produit, le risque de contrefaçon sur le marché parallèle étant majeur pour cette classe thérapeutique. Le pharmacien doit impérativement rappeler au patient de ne jamais acquérir ce type de produit hors circuit pharmaceutique officiel (marché noir, sites internet non régulés).</w:t>
      </w:r>
    </w:p>
    <w:p>
      <w:r/>
      <w:r>
        <w:rPr>
          <w:b/>
        </w:rPr>
        <w:t>Instructions et Conseils au Patient :</w:t>
      </w:r>
      <w:r/>
    </w:p>
    <w:p>
      <w:pPr>
        <w:pStyle w:val="ListBullet"/>
      </w:pPr>
      <w:r>
        <w:t>Communication au comptoir : Expliquer clairement que le sildénafil n'est pas un aphrodisiaque et qu'il requiert une stimulation sexuelle pour être actif. La prise d'un comprimé seule ne provoque pas d'érection. Préciser le délai d'action (30–60 min), la durée d'efficacité (4–6 h, sans érection continue pendant cette période mais possibilité de plusieurs rapports), et l'absence d'effet sur la libido. Insister sur les signes d'alerte : douleur thoracique, érection &gt;4 h (priapisme), perte brutale de vision ou d'audition → arrêt immédiat et recours urgent. Interroger sur les nitrés (trinitrine, Risordan®, Corodral®) : si oui, ne pas délivrer. Préciser que la prise d'alcool ou d'un repas très gras peut réduire l'efficacité.</w:t>
      </w:r>
    </w:p>
    <w:p>
      <w:pPr>
        <w:pStyle w:val="ListBullet"/>
      </w:pPr>
      <w:r>
        <w:t>Mode d'utilisation pratique : 1 comprimé 30–60 minutes avant le rapport, à jeun idéalement. Ne pas dépasser 1 prise par 24 heures, ne pas doubler la dose en cas d'échec (augmentation des EI sans gain d'efficacité). Conserver les comprimés à température ambiante, à l'abri de l'humidité. Si oublie d'une prise avant le rapport, ne pas prendre rétroactivement. Prévenir le patient qu'un délai d'adaptation de quelques jours à quelques semaines peut être nécessaire avant de trouver la dose optimale. Si inefficacité après 4–6 essais à dose maximale, consulter pour réévaluation (cause organique sévère, hypogonadisme, complication vasculaire).</w:t>
      </w:r>
    </w:p>
    <w:p>
      <w:r/>
      <w:r>
        <w:rPr>
          <w:b/>
        </w:rPr>
        <w:t>Notes, Règles d'Or &amp; Pièges au Comptoir :</w:t>
      </w:r>
      <w:r/>
    </w:p>
    <w:p>
      <w:pPr>
        <w:pStyle w:val="ListBullet"/>
      </w:pPr>
      <w:r>
        <w:t xml:space="preserve">Piège classique n°1 (le plus grave) : Le patient coronarien ou angoreux sous dérivés nitrés au long cours (Risordan, Trinipatch, Minitran, Pentacard, Nitrédose, Nicoran, etc.) qui consulte pour DE. L'association sildénafil-nitré est une </w:t>
      </w:r>
      <w:r>
        <w:rPr>
          <w:b/>
        </w:rPr>
        <w:t>contre-indication absolue, potentiellement mortelle</w:t>
      </w:r>
      <w:r>
        <w:t>. Le pharmacien doit systématiquement demander : « Prenez-vous ou avez-vous récemment pris un médicament pour le cœur ou la poitrine, en comprimés, en patch, ou en bombe sous la langue ? » En cas de doute, ne pas délivrer et renvoyer au médecin prescripteur.</w:t>
      </w:r>
    </w:p>
    <w:p>
      <w:pPr>
        <w:pStyle w:val="ListBullet"/>
      </w:pPr>
      <w:r>
        <w:t>Piège classique n°2 : Le patient qui souhaite « booster » l'effet en prenant 2 comprimés ou en l'associant à un autre PDE5 (tadalafil, vardénafil) – risques d'hypotension et de priapisme majeurs.</w:t>
      </w:r>
    </w:p>
    <w:p>
      <w:pPr>
        <w:pStyle w:val="ListBullet"/>
      </w:pPr>
      <w:r>
        <w:t>Piège classique n°3 : L'automédication par produits achetés sur internet ou marché noir, fréquemment contrefaits, contenant parfois des analogues non contrôlés ou des toxiques.</w:t>
      </w:r>
    </w:p>
    <w:p>
      <w:pPr>
        <w:pStyle w:val="ListBullet"/>
      </w:pPr>
      <w:r>
        <w:t>Piège classique n°4 : Le jus de pamplemousse, souvent ignoré du patient, peut multiplier par 2 les concentrations.</w:t>
      </w:r>
    </w:p>
    <w:p>
      <w:pPr>
        <w:pStyle w:val="ListBullet"/>
      </w:pPr>
      <w:r>
        <w:t>Règle de prise : 1 cp 30–60 min avant rapport, à jeun, 1 fois/j max, jamais avec nitré.</w:t>
      </w:r>
    </w:p>
    <w:p>
      <w:pPr>
        <w:pStyle w:val="ListBullet"/>
      </w:pPr>
      <w:r>
        <w:t>Préparation et Conservation : Conservation à température &lt;25 °C, à l'abri de l'humidité et de la lumière, hors de portée des enfants. Ne pas fractionner un comprimé non sécable. Le comprimé orodispersible doit être posé sur la langue, dégage sans eau, à jeun.</w:t>
      </w:r>
    </w:p>
    <w:p>
      <w:pPr>
        <w:pStyle w:val="ListBullet"/>
      </w:pPr>
      <w:r>
        <w:t>Piège du surdosage / Substitution : Risque de contrefaçon sur les spécialités à forte valeur perçue (Viagra® princeps). La substitution par générique algérien est possible et économique, mais le pharmacien doit s'assurer de la traçabilité. Ne pas délivrer sans ordonnance ( Liste I en Algérie), même si la pratique est parfois relâchée. Mentionner au patient que la DE peut être le premier symptôme d'une pathologie cardiovasculaire sous-jacente, justifiant un bilan cardiovasculaire et métabolique (HTA, diabète, dyslipidémie, tabac).</w:t>
      </w:r>
    </w:p>
    <w:p>
      <w:pPr>
        <w:pStyle w:val="Heading3"/>
      </w:pPr>
      <w:r>
        <w:t>2. DCI : Tadalafil (Seule)</w:t>
      </w:r>
    </w:p>
    <w:p>
      <w:r/>
      <w:r>
        <w:rPr>
          <w:b/>
        </w:rPr>
        <w:t>Liste des Catégories :</w:t>
      </w:r>
      <w:r>
        <w:t xml:space="preserve"> Urologie – Dysfonction érectile – Inhibiteurs sélectifs de la PDE5 ; Urologie – Hypertrophie bénigne de la prostate (HBP) – Inhibiteur PDE5 ; Hypertension artérielle pulmonaire (à l'étranger, formulation non commercialisée en Algérie).</w:t>
      </w:r>
    </w:p>
    <w:p>
      <w:r>
        <w:t>Le tadalafil, deuxième inhibiteur de la PDE5 arrivé sur le marché (2003, Cialis®, Eli Lilly), se distingue fondamentalement du sildénafil et du vardénafil par sa pharmacocinétique à longue demi-vie. La demi-vie d'élimination terminale est de 17,5 heures en moyenne (extrêmes 14–22 h), contre 4 h pour le sildénafil et 4–6 h pour le vardénafil. Cette particularité autorise une « fenêtre d'efficacité clinique » s'étendant jusqu'à 36 heures après la prise, permettant une plus grande spontanéité sexuelle sans planification stricte. Le délai d'action est de 30 minutes en moyenne (parfois 20 min), la Cmax est atteinte en 2 heures. La résorption n'est pas influencée par l'alimentation (à la différence du sildénafil), ce qui autorise une prise au cours ou hors repas. Le métabolisme est hépatique essentiellement par CYP3A4. Une particularité pharmacologique majeure est la possibilité d'un schéma posologique continu à faible dose (2,5 mg ou 5 mg une fois par jour), autorisant un traitement de fond sans planification temporelle du rapport. Le tadalafil est par ailleurs indiqué dans l'hypertrophie bénigne de la prostate (HBP) à 5 mg/j (effet sur la PDE5 vésico-prostatique) et, en association avec finastéride, dans la HBP associée à une DE.</w:t>
      </w:r>
    </w:p>
    <w:p>
      <w:r/>
      <w:r>
        <w:rPr>
          <w:b/>
        </w:rPr>
        <w:t>Médicaments disponibles en Algérie (Marques, Laboratoires, Formes et Dosages) :</w:t>
      </w:r>
      <w:r/>
    </w:p>
    <w:p>
      <w:r>
        <w:t>Dosage 20 mg (à la demande) :</w:t>
      </w:r>
    </w:p>
    <w:p>
      <w:pPr>
        <w:pStyle w:val="ListBullet"/>
      </w:pPr>
      <w:r/>
      <w:r>
        <w:rPr>
          <w:b/>
        </w:rPr>
        <w:t>CIAFAL</w:t>
      </w:r>
      <w:r>
        <w:t xml:space="preserve"> (SOCIETE PHARMACEUTIQUE ALGERIENNE SOPHAL) – Comprimé pelliculé 20 mg – Boîtes de 01, 02, 04 et 08 – Liste I – Statut : Actif</w:t>
      </w:r>
    </w:p>
    <w:p>
      <w:pPr>
        <w:pStyle w:val="ListBullet"/>
      </w:pPr>
      <w:r/>
      <w:r>
        <w:rPr>
          <w:b/>
        </w:rPr>
        <w:t>CYALEX</w:t>
      </w:r>
      <w:r>
        <w:t xml:space="preserve"> (LABORATOIRES MM) – Comprimé pelliculé 20 mg – Boîte de 10 – Liste I – Statut : Actif</w:t>
      </w:r>
    </w:p>
    <w:p>
      <w:pPr>
        <w:pStyle w:val="ListBullet"/>
      </w:pPr>
      <w:r/>
      <w:r>
        <w:rPr>
          <w:b/>
        </w:rPr>
        <w:t>ERIXIUM</w:t>
      </w:r>
      <w:r>
        <w:t xml:space="preserve"> (EL KENDI INDUSTRIE DU MEDICAMENT) – Comprimé pelliculé 20 mg – Boîtes de 02 et 04 – Liste I – Statut : Actif</w:t>
      </w:r>
    </w:p>
    <w:p>
      <w:pPr>
        <w:pStyle w:val="ListBullet"/>
      </w:pPr>
      <w:r/>
      <w:r>
        <w:rPr>
          <w:b/>
        </w:rPr>
        <w:t>MEGALIS</w:t>
      </w:r>
      <w:r>
        <w:t xml:space="preserve"> (SARL NOVO MEDIS) – Comprimé pelliculé 20 mg – Boîtes de 04 et 10 – Liste I – Statut : Actif</w:t>
      </w:r>
    </w:p>
    <w:p>
      <w:pPr>
        <w:pStyle w:val="ListBullet"/>
      </w:pPr>
      <w:r/>
      <w:r>
        <w:rPr>
          <w:b/>
        </w:rPr>
        <w:t>NOVALIS</w:t>
      </w:r>
      <w:r>
        <w:t xml:space="preserve"> (NOVAPHARM TRADING) – Comprimé pelliculé 20 mg – Boîte de 02 – Liste I – Statut : Actif</w:t>
      </w:r>
    </w:p>
    <w:p>
      <w:pPr>
        <w:pStyle w:val="ListBullet"/>
      </w:pPr>
      <w:r/>
      <w:r>
        <w:rPr>
          <w:b/>
        </w:rPr>
        <w:t>TABLAFIL</w:t>
      </w:r>
      <w:r>
        <w:t xml:space="preserve"> (TABUK ALGERIE) – Comprimé pelliculé 20 mg – Boîtes de 02 et 04 – </w:t>
      </w:r>
      <w:r>
        <w:rPr>
          <w:b/>
        </w:rPr>
        <w:t>Liste II</w:t>
      </w:r>
      <w:r>
        <w:t xml:space="preserve"> – Statut : Actif</w:t>
      </w:r>
    </w:p>
    <w:p>
      <w:pPr>
        <w:pStyle w:val="ListBullet"/>
      </w:pPr>
      <w:r/>
      <w:r>
        <w:rPr>
          <w:b/>
        </w:rPr>
        <w:t>TADAFORS</w:t>
      </w:r>
      <w:r>
        <w:t xml:space="preserve"> (WORLD MEDECINE LIMITED) – Comprimé pelliculé 20 mg – Boîtes de 04 et 08 – Liste I – Statut : Actif</w:t>
      </w:r>
    </w:p>
    <w:p>
      <w:pPr>
        <w:pStyle w:val="ListBullet"/>
      </w:pPr>
      <w:r/>
      <w:r>
        <w:rPr>
          <w:b/>
        </w:rPr>
        <w:t>TADALIS</w:t>
      </w:r>
      <w:r>
        <w:t xml:space="preserve"> (LABORATOIRES BEKER) – Comprimé pelliculé sécable 20 mg – Boîtes de 02 et 08 – Liste I – Statut : Actif</w:t>
      </w:r>
    </w:p>
    <w:p>
      <w:pPr>
        <w:pStyle w:val="ListBullet"/>
      </w:pPr>
      <w:r/>
      <w:r>
        <w:rPr>
          <w:b/>
        </w:rPr>
        <w:t>TAFIALYS</w:t>
      </w:r>
      <w:r>
        <w:t xml:space="preserve"> (PHARMALLIANCE) – Comprimé pelliculé sécable 20 mg – Boîtes de 02 et 08 – Liste I – Statut : Actif</w:t>
      </w:r>
    </w:p>
    <w:p>
      <w:pPr>
        <w:pStyle w:val="ListBullet"/>
      </w:pPr>
      <w:r/>
      <w:r>
        <w:rPr>
          <w:b/>
        </w:rPr>
        <w:t>TALAN</w:t>
      </w:r>
      <w:r>
        <w:t xml:space="preserve"> (TASSILI ARAB PHARMACEUTICAL CO) – Comprimé pelliculé 20 mg – Boîte de 04 – Liste I – Statut : Actif</w:t>
      </w:r>
    </w:p>
    <w:p>
      <w:pPr>
        <w:pStyle w:val="ListBullet"/>
      </w:pPr>
      <w:r/>
      <w:r>
        <w:rPr>
          <w:b/>
        </w:rPr>
        <w:t>VITALIS</w:t>
      </w:r>
      <w:r>
        <w:t xml:space="preserve"> (INPHA-MEDIS) – Comprimé pelliculé 20 mg – Boîte de 30 – Liste I – Statut : Actif</w:t>
      </w:r>
    </w:p>
    <w:p>
      <w:r>
        <w:t>Dosage 5 mg (continu ou à la demande) :</w:t>
      </w:r>
    </w:p>
    <w:p>
      <w:pPr>
        <w:pStyle w:val="ListBullet"/>
      </w:pPr>
      <w:r/>
      <w:r>
        <w:rPr>
          <w:b/>
        </w:rPr>
        <w:t>ADONIS</w:t>
      </w:r>
      <w:r>
        <w:t xml:space="preserve"> (ABDI IBRAHIM REMEDE PHARMA) – Comprimé pelliculé 5 mg – Boîte de 28 – Liste I – Statut : Actif</w:t>
      </w:r>
    </w:p>
    <w:p>
      <w:pPr>
        <w:pStyle w:val="ListBullet"/>
      </w:pPr>
      <w:r/>
      <w:r>
        <w:rPr>
          <w:b/>
        </w:rPr>
        <w:t>CIAFAL</w:t>
      </w:r>
      <w:r>
        <w:t xml:space="preserve"> (SOPHAL) – Comprimé pelliculé 5 mg – Boîte de 28 – Liste I – Statut : Actif</w:t>
      </w:r>
    </w:p>
    <w:p>
      <w:pPr>
        <w:pStyle w:val="ListBullet"/>
      </w:pPr>
      <w:r/>
      <w:r>
        <w:rPr>
          <w:b/>
        </w:rPr>
        <w:t>ERIXIUM</w:t>
      </w:r>
      <w:r>
        <w:t xml:space="preserve"> (EL KENDI) – Comprimé pelliculé 5 mg – Boîte de 30 – Liste I – Statut : Actif</w:t>
      </w:r>
    </w:p>
    <w:p>
      <w:pPr>
        <w:pStyle w:val="ListBullet"/>
      </w:pPr>
      <w:r/>
      <w:r>
        <w:rPr>
          <w:b/>
        </w:rPr>
        <w:t>NOVALIS</w:t>
      </w:r>
      <w:r>
        <w:t xml:space="preserve"> (NOVAPHARM) – Comprimé pelliculé 5 mg – Boîte de 30 – Liste I – Statut : Actif</w:t>
      </w:r>
    </w:p>
    <w:p>
      <w:pPr>
        <w:pStyle w:val="ListBullet"/>
      </w:pPr>
      <w:r/>
      <w:r>
        <w:rPr>
          <w:b/>
        </w:rPr>
        <w:t>TABLAFIL</w:t>
      </w:r>
      <w:r>
        <w:t xml:space="preserve"> (TABUK ALGERIE) – Comprimé pelliculé 5 mg – Boîte de 30 – Liste I – Statut : Actif</w:t>
      </w:r>
    </w:p>
    <w:p>
      <w:pPr>
        <w:pStyle w:val="ListBullet"/>
      </w:pPr>
      <w:r/>
      <w:r>
        <w:rPr>
          <w:b/>
        </w:rPr>
        <w:t>TADAFORS</w:t>
      </w:r>
      <w:r>
        <w:t xml:space="preserve"> (WORLD MEDECINE) – Comprimé pelliculé 5 mg – Boîte de 30 – Liste I – Statut : Actif</w:t>
      </w:r>
    </w:p>
    <w:p>
      <w:pPr>
        <w:pStyle w:val="ListBullet"/>
      </w:pPr>
      <w:r/>
      <w:r>
        <w:rPr>
          <w:b/>
        </w:rPr>
        <w:t>TADALIS</w:t>
      </w:r>
      <w:r>
        <w:t xml:space="preserve"> (BEKER) – Comprimé pelliculé 5 mg – Boîtes de 30 et 90 – Liste I – Statut : Actif</w:t>
      </w:r>
    </w:p>
    <w:p>
      <w:pPr>
        <w:pStyle w:val="ListBullet"/>
      </w:pPr>
      <w:r/>
      <w:r>
        <w:rPr>
          <w:b/>
        </w:rPr>
        <w:t>TADILIX</w:t>
      </w:r>
      <w:r>
        <w:t xml:space="preserve"> (LABORATOIRES SAPHARM PRODUCTION/SARL) – Comprimé pelliculé 5 mg – Boîte de 30 – Liste I – Statut : Actif</w:t>
      </w:r>
    </w:p>
    <w:p>
      <w:pPr>
        <w:pStyle w:val="ListBullet"/>
      </w:pPr>
      <w:r/>
      <w:r>
        <w:rPr>
          <w:b/>
        </w:rPr>
        <w:t>TYRA</w:t>
      </w:r>
      <w:r>
        <w:t xml:space="preserve"> (DAR AL DAWA) – Comprimé pelliculé 5 mg – Boîte de 28 – Liste I – Statut : Actif</w:t>
      </w:r>
    </w:p>
    <w:p>
      <w:r>
        <w:t>Dosage 2,5 mg (continu) :</w:t>
      </w:r>
    </w:p>
    <w:p>
      <w:pPr>
        <w:pStyle w:val="ListBullet"/>
      </w:pPr>
      <w:r/>
      <w:r>
        <w:rPr>
          <w:b/>
        </w:rPr>
        <w:t>CIAFAL</w:t>
      </w:r>
      <w:r>
        <w:t xml:space="preserve"> (SOPHAL) – Comprimé pelliculé 2,5 mg – Boîte de 28 – Liste I – Statut : Actif</w:t>
      </w:r>
    </w:p>
    <w:p>
      <w:r>
        <w:t>Spécialités non disponibles :</w:t>
      </w:r>
    </w:p>
    <w:p>
      <w:pPr>
        <w:pStyle w:val="ListBullet"/>
      </w:pPr>
      <w:r/>
      <w:r>
        <w:rPr>
          <w:b/>
        </w:rPr>
        <w:t>GENTIX</w:t>
      </w:r>
      <w:r>
        <w:t xml:space="preserve"> (GROUPE SAIDAL) – Comprimé pelliculé 20 mg – Liste I – Statut : </w:t>
      </w:r>
      <w:r>
        <w:rPr>
          <w:b/>
        </w:rPr>
        <w:t>Non Renouvelable</w:t>
      </w:r>
      <w:r/>
    </w:p>
    <w:p>
      <w:pPr>
        <w:pStyle w:val="ListBullet"/>
      </w:pPr>
      <w:r/>
      <w:r>
        <w:rPr>
          <w:b/>
        </w:rPr>
        <w:t>CIALIS</w:t>
      </w:r>
      <w:r>
        <w:t xml:space="preserve"> (ELI LILLY NEDERLAND BV) – Comprimé pelliculé 20 mg – Boîte de 02 – Liste I – Statut : </w:t>
      </w:r>
      <w:r>
        <w:rPr>
          <w:b/>
        </w:rPr>
        <w:t>Retiré (R)</w:t>
      </w:r>
      <w:r>
        <w:t xml:space="preserve"> (princeps historique)</w:t>
      </w:r>
    </w:p>
    <w:p>
      <w:pPr>
        <w:pStyle w:val="ListBullet"/>
      </w:pPr>
      <w:r/>
      <w:r>
        <w:rPr>
          <w:b/>
        </w:rPr>
        <w:t>EREXYL</w:t>
      </w:r>
      <w:r>
        <w:t xml:space="preserve"> (BIOVITAL) – Comprimé sécable 20 mg – Boîte de 04 – Liste I – Statut : </w:t>
      </w:r>
      <w:r>
        <w:rPr>
          <w:b/>
        </w:rPr>
        <w:t>Retiré (R)</w:t>
      </w:r>
      <w:r/>
    </w:p>
    <w:p>
      <w:pPr>
        <w:pStyle w:val="ListBullet"/>
      </w:pPr>
      <w:r/>
      <w:r>
        <w:rPr>
          <w:b/>
        </w:rPr>
        <w:t>ACALYS</w:t>
      </w:r>
      <w:r>
        <w:t xml:space="preserve"> (LABORATOIRE GROUPEMENT PHARMACEUTIQUE ALGERIEN – LGPA) – Comprimé pelliculé 20 mg – Boîte de 02 – Liste I – Statut : </w:t>
      </w:r>
      <w:r>
        <w:rPr>
          <w:b/>
        </w:rPr>
        <w:t>Retiré (R)</w:t>
      </w:r>
      <w:r/>
    </w:p>
    <w:p>
      <w:r/>
      <w:r>
        <w:rPr>
          <w:b/>
        </w:rPr>
        <w:t>Sous-classe et Mécanisme d'action :</w:t>
      </w:r>
      <w:r/>
    </w:p>
    <w:p>
      <w:pPr>
        <w:pStyle w:val="ListBullet"/>
      </w:pPr>
      <w:r>
        <w:t>Sous-classe : Inhibiteur sélectif et compétitif de la PDE5, indiqué dans la DE, la HBP symptomatique (5 mg/j) et l'HTAP (à l'étranger). Molécule de « longue durée d'action ».</w:t>
      </w:r>
    </w:p>
    <w:p>
      <w:pPr>
        <w:pStyle w:val="ListBullet"/>
      </w:pPr>
      <w:r>
        <w:t>Mécanisme d'action : Identique à celui du sildénafil au niveau moléculaire (inhibition compétitive et réversible du site catalytique de la PDE5), entraînant une augmentation du GMPc intracaverneux en présence de NO endogène libéré lors de la stimulation sexuelle, relaxation du muscle lisse caverneux, et augmentation du flux artériel pénien. La spécificité du tadalafil réside dans sa cinétique : demi-vie de 17,5 heures (vs 4 h sildénafil), autorisant une imprégnation tissulaire prolongée et donc une fenêtre d'efficacité clinique allant jusqu'à 36 heures. Une autre particularité pharmacologique est sa sélectivité relative pour la PDE11 (présente dans le muscle squelettique, le cœur, les testicules, l'hypophyse) : le tadalafil inhibe la PDE11 à des concentrations thérapeutiques, ce qui pourrait expliquer en partie l'incidence plus élevée de myalgies et de douleurs dorsales par rapport au sildénafil. Le tadalafil exerce également une action sur la PDE5 exprimée dans le muscle lisse vésico-prostatique, justifiant son indication dans la HBP (amélioration des symptômes du bas appareil urinaire, IPSS).</w:t>
      </w:r>
    </w:p>
    <w:p>
      <w:r/>
      <w:r>
        <w:rPr>
          <w:b/>
        </w:rPr>
        <w:t>Profil Pharmacologique :</w:t>
      </w:r>
      <w:r/>
    </w:p>
    <w:p>
      <w:pPr>
        <w:pStyle w:val="ListBullet"/>
      </w:pPr>
      <w:r>
        <w:t>Indications : Dysfonction érectile (à la demande 10–20 mg ou en continu 2,5–5 mg/j) ; Hypertrophie bénigne de la prostate symptomatique (5 mg/j) ; HBP + DE associée (5 mg/j, ± en association avec finastéride) ; HTAP (Adcirca®, non commercialisée en Algérie).</w:t>
      </w:r>
    </w:p>
    <w:p>
      <w:pPr>
        <w:pStyle w:val="ListBullet"/>
      </w:pPr>
      <w:r>
        <w:t xml:space="preserve">Contre-indications : Hypersensibilité au tadalafil ; </w:t>
      </w:r>
      <w:r>
        <w:rPr>
          <w:b/>
        </w:rPr>
        <w:t>utilisation concomitante de dérivés nitrés sous toute forme : CI absolue mortelle</w:t>
      </w:r>
      <w:r>
        <w:t xml:space="preserve"> (délai d'espacement : au moins 48 heures après tadalafil, en raison de la longue demi-vie, contre 24 h pour sildénafil) ; donateur de NO ; riociguat ; IDM récent (&lt;90 j) ; AVC récent (&lt;6 mois) ; angor instable ; hypotension (&lt;90/50) ; hypertension non contrôlée (&gt;170/100) ; insuffisance cardiaque NYHA II–IV dans les 6 derniers mois ; arythmie non contrôlée ; cardiomyopathie obstructive ; NOIAN antérieur ; drépanocytose, myélome multiple, leucémie (risque priapisme) ; insuffisance hépatique sévère (Child-Pugh C) ; perte d'audition unilatérale brutale antérieure.</w:t>
      </w:r>
    </w:p>
    <w:p>
      <w:pPr>
        <w:pStyle w:val="ListBullet"/>
      </w:pPr>
      <w:r>
        <w:t>Effets Indésirables : Très fréquents (&gt;10 %) : céphalées (15 %), dyspepsie (12 %), douleurs dorsales (6 % – plus fréquentes qu'avec le sildénafil, liées à l'inhibition PDE11 musculaire), myalgies (5 %) ; fréquents (1–10 %) : flush, rhinite, douleurs des membres, reflux gastro-œsophagien, palpitations, tachycardie, hypotension, hypertension, vertiges, troubles visuels (cyanopsie plus rare qu'avec sildénafil), hypersomnie ; rares (&lt;1 %) : priapisme, NOIAN, surdité brutale, réactions cutanées sévères (Stevens-Johnson, dermatite exfoliatrice), angio-œdème, urticaire, érections prolongées. La spécificité du tadalafil : myalgies et lombalgies, parfois trompeuses (peuvent mimer une pathologie rénale ou disco-radiculaire), liées à l'inhibition PDE11 musculaire. La longue demi-vie expose également à une persistance plus longue des EI en cas de surdosage.</w:t>
      </w:r>
    </w:p>
    <w:p>
      <w:r/>
      <w:r>
        <w:rPr>
          <w:b/>
        </w:rPr>
        <w:t>Prévention et Gestion des Effets Indésirables :</w:t>
      </w:r>
      <w:r/>
    </w:p>
    <w:p>
      <w:pPr>
        <w:pStyle w:val="ListBullet"/>
      </w:pPr>
      <w:r>
        <w:t>Mesures Préventives : Interrogatoire cardiovasculaire identique au sildénafil (antécédents coronariens, IDM, AVC, insuffisance cardiaque, angor, traitement nitré, capacité à l'effort physique). Vérification systématique du dossier médicamenteux pour les dérivés nitrés (risque majoré par la longue demi-vie – espacement 48 h). Pour les myalgies/lombalgies : informer le patient du caractère fréquent (5–6 %) et bénin, antalgiques simples (paracétamol). Surveillance initiale : débuter à la dose minimale (10 mg à la demande ou 2,5 mg/j en continu), adapter selon réponse et tolérance. Pour le schéma continu 2,5/5 mg/j : surveillance pression artérielle orthostatique, particulièrement chez le sujet âgé et sous α-bloquants. Avertissement du patient : pas d'association avec d'autres PDE5, pas d'automédication, ne pas doubler en cas de dose oubliée.</w:t>
      </w:r>
    </w:p>
    <w:p>
      <w:pPr>
        <w:pStyle w:val="ListBullet"/>
      </w:pPr>
      <w:r>
        <w:t>Conduite à Tenir : En cas de priapisme &gt;4 heures : urgences urologiques (idem sildénafil). En cas de douleur thoracique dans les 48 heures suivant la prise : JAMAIS de trinitrine, prévenir SAMU en précisant « tadalafil il y a moins de 48 heures ». En cas de myalgies intenses : antalgiques, arrêt transitoire et réduction de dose. En cas de NOIAN, surdité brutale : arrêt définitif, avis spécialisé urgent. En cas d'hypotension : décubitus, hydratation.</w:t>
      </w:r>
    </w:p>
    <w:p>
      <w:r/>
      <w:r>
        <w:rPr>
          <w:b/>
        </w:rPr>
        <w:t>Interactions Importantes :</w:t>
      </w:r>
      <w:r/>
    </w:p>
    <w:p>
      <w:pPr>
        <w:pStyle w:val="ListBullet"/>
      </w:pPr>
      <w:r/>
      <w:r>
        <w:rPr>
          <w:b/>
        </w:rPr>
        <w:t>Tadalafil + dérivés nitrés : CI ABSOLUE MORTELLE</w:t>
      </w:r>
      <w:r>
        <w:t xml:space="preserve"> – espacement minimum 48 h après tadalafil (vs 24 h pour sildénafil) en raison de la longue demi-vie. Risque vital d'hypotension réfractaire.</w:t>
      </w:r>
    </w:p>
    <w:p>
      <w:pPr>
        <w:pStyle w:val="ListBullet"/>
      </w:pPr>
      <w:r>
        <w:t>Tadalafil + α-bloquants : risque d'hypotension orthostatique (plus marqué en début de traitement ou en escalade de dose). Pour la DE à la demande : ne pas utiliser tadalafil si α-bloquant instable ou récemment débuté ; pour HBP : posologie 5 mg/j stable avec surveillance orthostatique. Pour tadalafil 5 mg/j + α-bloquant (HBP) : ne pas dépasser 5 mg/j, éviter la doxazosine.</w:t>
      </w:r>
    </w:p>
    <w:p>
      <w:pPr>
        <w:pStyle w:val="ListBullet"/>
      </w:pPr>
      <w:r>
        <w:t>Tadalafil + inhibiteurs puissants CYP3A4 (ritonavir, saquinavir, kétoconazole, itraconazole, clarithromycine, érythromycine, jus de pamplemousse &gt;250 mL) : augmentation de l'AUC de 2 à 4 fois. Limitation posologique : ne pas dépasser 10 mg toutes les 72 h pour tadalafil à la demande, ou 2,5 mg/j en continu.</w:t>
      </w:r>
    </w:p>
    <w:p>
      <w:pPr>
        <w:pStyle w:val="ListBullet"/>
      </w:pPr>
      <w:r>
        <w:t>Tadalafil + inducteurs CYP3A4 (rifampicine, phénytoïne, carbamazépine, phénobarbital, millepertuis) : baisse d'efficacité, ajustement posologique possible.</w:t>
      </w:r>
    </w:p>
    <w:p>
      <w:pPr>
        <w:pStyle w:val="ListBullet"/>
      </w:pPr>
      <w:r>
        <w:t>Tadalafil + alcool : potentialisation modérée de l'hypotension, majoration des céphalées.</w:t>
      </w:r>
    </w:p>
    <w:p>
      <w:pPr>
        <w:pStyle w:val="ListBullet"/>
      </w:pPr>
      <w:r>
        <w:t>Tadalafil + riociguat : CI absolue.</w:t>
      </w:r>
    </w:p>
    <w:p>
      <w:pPr>
        <w:pStyle w:val="ListBullet"/>
      </w:pPr>
      <w:r>
        <w:t>Tadalafil + Kétoconazole/itraconazole : multiplier l'AUC par 4–7, réduire dose.</w:t>
      </w:r>
    </w:p>
    <w:p>
      <w:pPr>
        <w:pStyle w:val="ListBullet"/>
      </w:pPr>
      <w:r>
        <w:t>Tadalafil + antihypertenseurs (IEC, ARA2, diurétiques) : majoration modérée de l'hypotension, surveillance clinique.</w:t>
      </w:r>
    </w:p>
    <w:p>
      <w:r/>
      <w:r>
        <w:rPr>
          <w:b/>
        </w:rPr>
        <w:t>Grossesse et Allaitement :</w:t>
      </w:r>
      <w:r/>
    </w:p>
    <w:p>
      <w:pPr>
        <w:pStyle w:val="ListBullet"/>
      </w:pPr>
      <w:r>
        <w:t>Grossesse : Selon CRAT, le tadalafil n'est pas indiqué chez la femme en dehors de l'HTAP féminine (en cours d'évaluation, données limitées). Pour l'homme traité pour DE : pas d'effet délétère attendu sur le sperme, la fertilité ou la conception (études animales rassurantes, données humaines limitées mais non alarmantes). Pas de risque tératogène émergent du côté paternel.</w:t>
      </w:r>
    </w:p>
    <w:p>
      <w:pPr>
        <w:pStyle w:val="ListBullet"/>
      </w:pPr>
      <w:r>
        <w:t>Allaitement : Selon CRAT, le passage dans le lait est mal documenté mais attendu à concentrations très faibles. Compatible si HTAP maternelle. Non indiqué chez l'homme (pas d'impact sur la fertilité à dose thérapeutique).</w:t>
      </w:r>
    </w:p>
    <w:p>
      <w:pPr>
        <w:pStyle w:val="ListBullet"/>
      </w:pPr>
      <w:r>
        <w:t>Précisions : Le tadalafil est parfois prescrit hors AMM dans le syndrome de Raynaud, la dysménorrhée, dans certaines formes de dysfonction sexuelle féminine, dans la prévention de la pneumopathie d'inhalation – usages hospitaliers et non abordés en officine.</w:t>
      </w:r>
    </w:p>
    <w:p>
      <w:r/>
      <w:r>
        <w:rPr>
          <w:b/>
        </w:rPr>
        <w:t>Posologie et Mode d'administration (Standard) :</w:t>
      </w:r>
      <w:r/>
    </w:p>
    <w:p>
      <w:pPr>
        <w:pStyle w:val="ListBullet"/>
      </w:pPr>
      <w:r>
        <w:t>Adulte (à la demande) : 10 mg à 20 mg avant l'activité sexuelle, à partir de 30 minutes avant, indépendamment des repas. Dose maximale par prise : 20 mg. Fréquence maximale : 1 prise par 24 h (mais effet pouvant s'étendre sur 36 heures).</w:t>
      </w:r>
    </w:p>
    <w:p>
      <w:pPr>
        <w:pStyle w:val="ListBullet"/>
      </w:pPr>
      <w:r>
        <w:t>Adulte (continu, 1 fois/j) : 2,5 mg/j à 5 mg/j, prise quotidienne fixe, idéalement à heure constante, indépendamment de l'activité sexuelle. Permet spontanéité sexuelle totale après 5 jours d'imprégnation (état d'équilibre atteint).</w:t>
      </w:r>
    </w:p>
    <w:p>
      <w:pPr>
        <w:pStyle w:val="ListBullet"/>
      </w:pPr>
      <w:r>
        <w:t>HBP symptomatique : 5 mg/j en une prise, indépendamment des rapports sexuels. Pas de modération posologique en cas d'insuffisance rénale légère/modérée. En cas d'IR sévère (Clcr &lt;30), max 5 mg tous les 2 jours pour la DE à la demande ; continu contre-indiqué.</w:t>
      </w:r>
    </w:p>
    <w:p>
      <w:pPr>
        <w:pStyle w:val="ListBullet"/>
      </w:pPr>
      <w:r>
        <w:t>Sujet âgé ≥65 ans : Pas d'ajustement posologique systématique (la longue demi-vie impose toutefois une vigilance accrue).</w:t>
      </w:r>
    </w:p>
    <w:p>
      <w:pPr>
        <w:pStyle w:val="ListBullet"/>
      </w:pPr>
      <w:r>
        <w:t>Insuffisance hépatique légère/modérée : max 10 mg/j à la demande. Sévère (Child-Pugh C) : CI.</w:t>
      </w:r>
    </w:p>
    <w:p>
      <w:pPr>
        <w:pStyle w:val="ListBullet"/>
      </w:pPr>
      <w:r>
        <w:t>Insuffisance rénale Clcr 30–80 : pas d'ajustement à la demande, max 5 mg/j en continu. Clcr &lt;30 : max 10 mg tous les 2 jours à la demande, continu CI.</w:t>
      </w:r>
    </w:p>
    <w:p>
      <w:pPr>
        <w:pStyle w:val="ListBullet"/>
      </w:pPr>
      <w:r>
        <w:t>Sous α-bloquants : pour tadalafil à la demande, débuter 5 mg, max 10 mg. Pour tadalafil 5 mg/j (HBP) : surveillance TA orthostatique.</w:t>
      </w:r>
    </w:p>
    <w:p>
      <w:pPr>
        <w:pStyle w:val="ListBullet"/>
      </w:pPr>
      <w:r>
        <w:t>Sous antiprotéases : 10 mg toutes les 72 h max (à la demande), 2,5 mg/j max (continu).</w:t>
      </w:r>
    </w:p>
    <w:p>
      <w:pPr>
        <w:pStyle w:val="ListBullet"/>
      </w:pPr>
      <w:r>
        <w:t>Moment de la prise : Indépendant des repas (atout majeur vs sildénafil). À heure fixe pour le schéma continu. Conservation &lt;25 °C.</w:t>
      </w:r>
    </w:p>
    <w:p>
      <w:r/>
      <w:r>
        <w:rPr>
          <w:b/>
        </w:rPr>
        <w:t>Arbitrage et Bénéfices des Formes Galéniques :</w:t>
      </w:r>
      <w:r/>
    </w:p>
    <w:p>
      <w:r>
        <w:t>Le tadalafil algérien est décliné en trois dosages : 20 mg (à la demande), 5 mg (continu ou à la demande chez le patient sensible) et 2,5 mg (continu débutant). Cette diversité galénique permet une approche personnalisée : schéma « à la demande » (20 mg PRN) pour le patient occasionnel, schéma « continu » (2,5 ou 5 mg/j) pour le patient souhaitant une spontanéité totale, schéma combiné HBP + DE (5 mg/j) chez le patient âgé présentant les deux pathologies. Le conditionnement en boîtes de 28 ou 30 comprimés pour les faibles dosages est adapté à un traitement mensuel continu. Aucune forme orodispersible n'est disponible en Algérie pour le tadalafil (à la différence du sildénafil SILDAN). La sécabilité (TADALIS 20 mg, TAFIALYS 20 mg) permet un démarrage à 10 mg. Le pharmacien doit expliquer clairement au patient la différence fondamentale entre le schéma à la demande (10–20 mg PRN) et le schéma continu (2,5–5 mg/j) : la substitution d'un schéma par l'autre n'est pas neutre, et le passage du PRN au continu requiert une imprégnation de 4–5 jours avant l'efficacité maximale.</w:t>
      </w:r>
    </w:p>
    <w:p>
      <w:r/>
      <w:r>
        <w:rPr>
          <w:b/>
        </w:rPr>
        <w:t>Instructions et Conseils au Patient :</w:t>
      </w:r>
      <w:r/>
    </w:p>
    <w:p>
      <w:pPr>
        <w:pStyle w:val="ListBullet"/>
      </w:pPr>
      <w:r>
        <w:t>Communication au comptoir : Expliquer la spécificité du tadalafil : « pilule du week-end » (1 prise vendredi soir → effet jusqu'à dimanche après-midi). Préciser la non-influence de l'alimentation (prise pendant ou hors repas possible), la non-obligation de planifier strictement le rapport, et la nécessité d'une stimulation sexuelle pour l'efficacité. Pour le schéma continu : expliquer que l'efficacité maximale n'est atteinte qu'après 5 jours de prise quotidienne régulière, qu'il faut être patient, et que la prise doit se poursuivre même en l'absence de rapport prévu. Insister sur l'interdiction absolue et mortelle des dérivés nitrés pendant 48 heures après la dernière prise. Pour la HBP : expliquer la double action (urinaire + érectile).</w:t>
      </w:r>
    </w:p>
    <w:p>
      <w:pPr>
        <w:pStyle w:val="ListBullet"/>
      </w:pPr>
      <w:r>
        <w:t>Mode d'utilisation pratique : À la demande : 1 cp 30 min à 1 h avant rapport, max 20 mg/24 h. Continu : 1 cp/j à heure fixe, sans oubli (si oubli &lt;12 h, prendre le comprimé, sinon sauter la dose). Ne pas doubler la dose en cas d'oubli. Conservation à température ambiante. Ne jamais associer à un autre PDE5 (sildénafil, vardénafil). Signaler au patient que la prise d'alcool majore les céphalées et l'hypotension orthostatique. Si inefficacité après plusieurs essais (à la demande) ou après 4–6 semaines (continu), consulter pour réévaluation.</w:t>
      </w:r>
    </w:p>
    <w:p>
      <w:r/>
      <w:r>
        <w:rPr>
          <w:b/>
        </w:rPr>
        <w:t>Notes, Règles d'Or &amp; Pièges au Comptoir :</w:t>
      </w:r>
      <w:r/>
    </w:p>
    <w:p>
      <w:pPr>
        <w:pStyle w:val="ListBullet"/>
      </w:pPr>
      <w:r>
        <w:t xml:space="preserve">Piège classique n°1 (CRITIQUE) : Le patient coronarien sous nitrés – la longue demi-vie du tadalafil impose un délai d'espacement de </w:t>
      </w:r>
      <w:r>
        <w:rPr>
          <w:b/>
        </w:rPr>
        <w:t>48 heures minimum</w:t>
      </w:r>
      <w:r>
        <w:t xml:space="preserve"> après la dernière prise avant toute administration de dérivé nitré. Cette règle est plus stricte que pour le sildénafil (24 h) et doit être expliquée et mémorisée par le patient. En cas d'angor dans les 48 h post-tadalafil : jamais de trinitrine, recours SAMU en précisant « tadalafil il y a moins de 48 heures ».</w:t>
      </w:r>
    </w:p>
    <w:p>
      <w:pPr>
        <w:pStyle w:val="ListBullet"/>
      </w:pPr>
      <w:r>
        <w:t>Piège classique n°2 : Le patient qui passe d'un schéma PRN 20 mg à un schéma continu 5 mg sans comprendre la différence d'usage et qui est déçu par la moindre intensité du schéma continu.</w:t>
      </w:r>
    </w:p>
    <w:p>
      <w:pPr>
        <w:pStyle w:val="ListBullet"/>
      </w:pPr>
      <w:r>
        <w:t>Piège classique n°3 : Le patient sous α-bloquants (HBP) chez qui on débute un tadalafil 5 mg/j sans surveillance de la tension artérielle orthostatique (risque de vertiges et de chute, surtout sujet âgé).</w:t>
      </w:r>
    </w:p>
    <w:p>
      <w:pPr>
        <w:pStyle w:val="ListBullet"/>
      </w:pPr>
      <w:r>
        <w:t>Piège classique n°4 : Le patient qui présente des lombalgies/myalgies et qui consulte un rhumatologue ou un médecin généraliste sans évoquer le tadalafil, risquant des explorations inutiles (IRM, bilan inflammatoire). Le pharmacien doit demander au patient se présentant pour des lombalgies : « Prenez-vous du tadalafil ? »</w:t>
      </w:r>
    </w:p>
    <w:p>
      <w:pPr>
        <w:pStyle w:val="ListBullet"/>
      </w:pPr>
      <w:r>
        <w:t>Piège classique n°5 : La confusion entre le tadalafil à la demande (20 mg) et le tadalafil continu (2,5 ou 5 mg), avec risque de surdosage si le patient prend plusieurs comprimés à 5 mg en pensant reproduire l'effet du 20 mg.</w:t>
      </w:r>
    </w:p>
    <w:p>
      <w:pPr>
        <w:pStyle w:val="ListBullet"/>
      </w:pPr>
      <w:r>
        <w:t>Règle de prise : 1 cp 30–60 min avant rapport (PRN) OU 1 cp/j à heure fixe (continu). Jamais avec nitré (CI absolue, espacement 48 h). Pas d'association avec un autre PDE5.</w:t>
      </w:r>
    </w:p>
    <w:p>
      <w:pPr>
        <w:pStyle w:val="ListBullet"/>
      </w:pPr>
      <w:r>
        <w:t>Préparation et Conservation : Comprimés à conserver à &lt;25 °C, à l'abri de l'humidité, dans l'emballage d'origine. Ne pas fractionner un comprimé non sécable.</w:t>
      </w:r>
    </w:p>
    <w:p>
      <w:pPr>
        <w:pStyle w:val="ListBullet"/>
      </w:pPr>
      <w:r>
        <w:t>Piège du surdosage / Substitution : Risque de surdosage en cas de cumul des deux schémas (PRN + continu). Le pharmacien doit s'assurer que le patient ne dispose pas simultanément des deux dosages (20 mg et 5 mg). En cas de substitution de marque, conserver le même dosage. Le Cialis® princeps étant retiré du marché algérien, tous les génériques sont équivalents en termes de biodisponibilité (test de bioéquivalence), mais le patient peut percevoir des différences liées à la forme galénique (sécabilité, pelliculage) – rassurer.</w:t>
      </w:r>
    </w:p>
    <w:p>
      <w:pPr>
        <w:pStyle w:val="Heading3"/>
      </w:pPr>
      <w:r>
        <w:t>3. DCI : Vardénafil (Seule)</w:t>
      </w:r>
    </w:p>
    <w:p>
      <w:r/>
      <w:r>
        <w:rPr>
          <w:b/>
        </w:rPr>
        <w:t>Liste des Catégories :</w:t>
      </w:r>
      <w:r>
        <w:t xml:space="preserve"> Urologie – Dysfonction érectile – Inhibiteurs sélectifs de la PDE5.</w:t>
      </w:r>
    </w:p>
    <w:p>
      <w:r>
        <w:t>Le vardénafil (commercialisé à l'origine sous Levitra® par Bayer/GSK en 2003) est le troisième inhibiteur de la PDE5 arrivé sur le marché. Sa pharmacocinétique est proche de celle du sildénafil : délai d'action 25 à 60 minutes, Cmax à 30–120 min, demi-vie d'élimination de 4–6 heures, durée d'action clinique de 4–5 heures. Sa particularité est une puissance in vitro supérieure au sildénafil (IC50 plus faible), mais sans traduction clinique évidente en termes d'efficacité. La résorption est retardée et diminuée par un repas riche en graisses (à l'instar du sildénafil), imposant une prise à jeun idéale. Le métabolisme est hépatique essentiellement par CYP3A4. Une forme orodispersible (Levitra® ODT, non commercialisée en Algérie) existe à l'étranger, autorisant une administration sans eau. En Algérie, le vardénafil est représenté par une seule spécialité, le LIBIDOX® 10 mg (laboratoire El Kendi), ce qui en fait la molécule la plus confidentielle de la classe PDE5 sur le marché local.</w:t>
      </w:r>
    </w:p>
    <w:p>
      <w:r/>
      <w:r>
        <w:rPr>
          <w:b/>
        </w:rPr>
        <w:t>Médicaments disponibles en Algérie (Marques, Laboratoires, Formes et Dosages) :</w:t>
      </w:r>
      <w:r/>
    </w:p>
    <w:p>
      <w:pPr>
        <w:pStyle w:val="ListBullet"/>
      </w:pPr>
      <w:r/>
      <w:r>
        <w:rPr>
          <w:b/>
        </w:rPr>
        <w:t>LIBIDOX</w:t>
      </w:r>
      <w:r>
        <w:t xml:space="preserve"> (EL KENDI INDUSTRIE DU MEDICAMENT) – Comprimé pelliculé 10 mg – Boîtes de 02 et 04 – Liste I – Statut : Actif (DCI : Vardénafil chlorhydrate trihydraté)</w:t>
      </w:r>
    </w:p>
    <w:p>
      <w:r>
        <w:t>Aucune autre spécialité n'est actuellement commercialisée en Algérie. Le princeps Levitra® (Bayer) n'est pas disponible. La forme orodispersible (Levitra® ODT 10 mg) n'est pas commercialisée en Algérie.</w:t>
      </w:r>
    </w:p>
    <w:p>
      <w:r/>
      <w:r>
        <w:rPr>
          <w:b/>
        </w:rPr>
        <w:t>Sous-classe et Mécanisme d'action :</w:t>
      </w:r>
      <w:r/>
    </w:p>
    <w:p>
      <w:pPr>
        <w:pStyle w:val="ListBullet"/>
      </w:pPr>
      <w:r>
        <w:t>Sous-classe : Inhibiteur sélectif et compétitif de la PDE5, indiqué dans la dysfonction érectile. Molécule de « courte durée d'action » (profil similaire au sildénafil).</w:t>
      </w:r>
    </w:p>
    <w:p>
      <w:pPr>
        <w:pStyle w:val="ListBullet"/>
      </w:pPr>
      <w:r>
        <w:t>Mécanisme d'action : Identique au sildénafil au niveau moléculaire : inhibition compétitive et réversible du site catalytique de la PDE5, augmentant le GMPc intracaverneux en présence de NO endogène libéré lors de la stimulation sexuelle. La relaxation des cellules musculaires lisses caverneuses permet l'engorgement sinusoïdal et l'érection. Le vardénafil présente une sélectivité plus marquée pour la PDE5 que le sildénafil (rapport PDE5/PDE6 supérieur), ce qui pourrait expliquer une incidence moindre de troubles visuels (cyanopsie) à dose équivalente. La sélectivité pour la PDE1 et la PDE11 est également différente du sildénafil et du tadalafil. La puissance in vitro est environ 10 fois supérieure à celle du sildénafil, ce qui explique les posologies plus faibles (10–20 mg vs 50–100 mg), sans traduction clinique évidente en termes d'efficacité comparative (taux de réponse comparable).</w:t>
      </w:r>
    </w:p>
    <w:p>
      <w:r/>
      <w:r>
        <w:rPr>
          <w:b/>
        </w:rPr>
        <w:t>Profil Pharmacologique :</w:t>
      </w:r>
      <w:r/>
    </w:p>
    <w:p>
      <w:pPr>
        <w:pStyle w:val="ListBullet"/>
      </w:pPr>
      <w:r>
        <w:t>Indications : Dysfonction érectile (homme adulte).</w:t>
      </w:r>
    </w:p>
    <w:p>
      <w:pPr>
        <w:pStyle w:val="ListBullet"/>
      </w:pPr>
      <w:r>
        <w:t xml:space="preserve">Contre-indications : Hypersensibilité au vardénafil ; </w:t>
      </w:r>
      <w:r>
        <w:rPr>
          <w:b/>
        </w:rPr>
        <w:t>utilisation concomitante de dérivés nitrés sous toute forme : CI absolue mortelle</w:t>
      </w:r>
      <w:r>
        <w:t xml:space="preserve"> (espacement 24 h après vardénafil) ; donateur de NO ; riociguat ; IDM récent (&lt;90 j) ; AVC récent (&lt;6 mois) ; angor instable ; hypotension (&lt;90/50) ; hypertension non contrôlée (&gt;170/100) ; insuffisance cardiaque NYHA IV ; arythmie non contrôlée ; cardiomyopathie obstructive ; NOIAN antérieur ; drépanocytose, myélome multiple, leucémie (risque priapisme) ; insuffisance hépatique sévère (Child-Pugh C) ; insuffisance rénale sévère (Clcr &lt;30) – débuter à 5 mg ; antécédent de QT long congénital ou acquis, ou association avec médicaments allongeant le QT (cf. Interactions – particularité du vardénafil vs autres PDE5).</w:t>
      </w:r>
    </w:p>
    <w:p>
      <w:pPr>
        <w:pStyle w:val="ListBullet"/>
      </w:pPr>
      <w:r>
        <w:t>Effets Indésirables : Très fréquents (&gt;10 %) : céphalées (15 %), flush (12 %) ; fréquents (1–10 %) : dyspepsie, rhinite, vertiges, troubles visuels (cyanopsie plus rare qu'avec le sildénafil), palpitations, tachycardie, somnolence, hypotension, hypertension ; rares (&lt;1 %) : priapisme, NOIAN, surdité brutale, réactions cutanées sévères, angio-œdème ; particularité : allongement du QT à dose thérapeutique chez le sujet sain, sans traduction clinique significative mais imposant prudence en association.</w:t>
      </w:r>
    </w:p>
    <w:p>
      <w:r/>
      <w:r>
        <w:rPr>
          <w:b/>
        </w:rPr>
        <w:t>Prévention et Gestion des Effets Indésirables :</w:t>
      </w:r>
      <w:r/>
    </w:p>
    <w:p>
      <w:pPr>
        <w:pStyle w:val="ListBullet"/>
      </w:pPr>
      <w:r>
        <w:t>Mesures Préventives : Interrogatoire cardiovasculaire identique au sildénafil. Vérification systématique des dérivés nitrés et des donateurs de NO dans le dossier médicamenteux. Pour le patient présentant des antécédents cardiaques ou des facteurs de risque d'arythmie : interrogation sur les antécédents familiaux de mort subite, de QT long congénital, et revue du traitement pour les molécules allongeant le QT (antiarythmiques classe Ia et III, certains antipsychotiques, macrolides, fluoroquinolones). Surveillance initiale : débuter à 10 mg, adapter à 5 mg (sujets sensibles) ou 20 mg (dose maximale). Pour le sujet âgé (&gt;65 ans) : débuter à 5 mg.</w:t>
      </w:r>
    </w:p>
    <w:p>
      <w:pPr>
        <w:pStyle w:val="ListBullet"/>
      </w:pPr>
      <w:r>
        <w:t>Conduite à Tenir : En cas de priapisme &gt;4 heures : urgences urologiques. En cas de douleur thoracique dans les 24 heures suivant la prise : jamais de trinitrine, recours SAMU en précisant la prise récente. En cas de malaise, syncope, palpitations : ECG urgent à la recherche d'un trouble du rythme. En cas de trouble visuel ou de surdité brutale : arrêt définitif et avis spécialisé.</w:t>
      </w:r>
    </w:p>
    <w:p>
      <w:r/>
      <w:r>
        <w:rPr>
          <w:b/>
        </w:rPr>
        <w:t>Interactions Importantes :</w:t>
      </w:r>
      <w:r/>
    </w:p>
    <w:p>
      <w:pPr>
        <w:pStyle w:val="ListBullet"/>
      </w:pPr>
      <w:r/>
      <w:r>
        <w:rPr>
          <w:b/>
        </w:rPr>
        <w:t>Vardénafil + dérivés nitrés : CI ABSOLUE MORTELLE</w:t>
      </w:r>
      <w:r>
        <w:t xml:space="preserve"> – espacement 24 h après vardénafil.</w:t>
      </w:r>
    </w:p>
    <w:p>
      <w:pPr>
        <w:pStyle w:val="ListBullet"/>
      </w:pPr>
      <w:r>
        <w:t>Vardénafil + α-bloquants : risque d'hypotension orthostatique. Ne pas débuter vardénafil à dose &gt;5 mg chez un patient sous α-bloquant stable, espacer de 6 h. Contre-indication relative avec alfuzosine et tamsulosine à débuter avec prudence.</w:t>
      </w:r>
    </w:p>
    <w:p>
      <w:pPr>
        <w:pStyle w:val="ListBullet"/>
      </w:pPr>
      <w:r>
        <w:t>Vardénafil + inhibiteurs puissants CYP3A4 (ritonavir, indinavir, saquinavir, atazanavir, kétoconazole, itraconazole, clarithromycine, érythromycine, jus de pamplemousse) : augmentation majeure de l'AUC. Limitation posologique : 2,5 mg toutes les 24 h sous ritonavir, 5 mg/24 h sous kétoconazole ou itraconazole.</w:t>
      </w:r>
    </w:p>
    <w:p>
      <w:pPr>
        <w:pStyle w:val="ListBullet"/>
      </w:pPr>
      <w:r>
        <w:t>Vardénafil + inducteurs CYP3A4 (rifampicine, phénytoïne, carbamazépine, phénobarbital, millepertuis) : baisse d'efficacité, ajustement possible.</w:t>
      </w:r>
    </w:p>
    <w:p>
      <w:pPr>
        <w:pStyle w:val="ListBullet"/>
      </w:pPr>
      <w:r>
        <w:t>Vardénafil + médicaments allongeant le QT (amiodarone, sotalol, quinidine, astémizole, terfénadine, halofantrine, certain macrolides, fluoroquinolones, antipsychotiques atypiques) : potentialisation du risque d'allongement du QT et de troubles du rythme. Surveillance ECG.</w:t>
      </w:r>
    </w:p>
    <w:p>
      <w:pPr>
        <w:pStyle w:val="ListBullet"/>
      </w:pPr>
      <w:r>
        <w:t>Vardénafil + riociguat : CI absolue.</w:t>
      </w:r>
    </w:p>
    <w:p>
      <w:pPr>
        <w:pStyle w:val="ListBullet"/>
      </w:pPr>
      <w:r>
        <w:t>Vardénafil + alcool : potentialisation de l'hypotension, majoration des céphalées.</w:t>
      </w:r>
    </w:p>
    <w:p>
      <w:r/>
      <w:r>
        <w:rPr>
          <w:b/>
        </w:rPr>
        <w:t>Grossesse et Allaitement :</w:t>
      </w:r>
      <w:r/>
    </w:p>
    <w:p>
      <w:pPr>
        <w:pStyle w:val="ListBullet"/>
      </w:pPr>
      <w:r>
        <w:t>Grossesse : Selon CRAT, le vardénafil n'est pas indiqué chez la femme. Aucune donnée d'utilisation féminine, aucune indication validée. Pour l'homme traité pour DE : pas d'effet délétère attendu sur le sperme, la fertilité ou la conception (données animales rassurantes).</w:t>
      </w:r>
    </w:p>
    <w:p>
      <w:pPr>
        <w:pStyle w:val="ListBullet"/>
      </w:pPr>
      <w:r>
        <w:t>Allaitement : Selon CRAT, non indiqué chez la femme. Non indiqué chez l'homme (pas d'impact sur la fertilité à dose thérapeutique).</w:t>
      </w:r>
    </w:p>
    <w:p>
      <w:pPr>
        <w:pStyle w:val="ListBullet"/>
      </w:pPr>
      <w:r>
        <w:t>Précisions : Le vardénafil n'a pas d'usage validé hors DE (à la différence du sildénafil pour l'HTAP et du tadalafil pour la HBP). Sa place dans l'arsenal thérapeutique algérien est limitée par la concurrence du sildénafil (largement génériqué, plus économique) et du tadalafil (longue durée d'action).</w:t>
      </w:r>
    </w:p>
    <w:p>
      <w:r/>
      <w:r>
        <w:rPr>
          <w:b/>
        </w:rPr>
        <w:t>Posologie et Mode d'administration (Standard) :</w:t>
      </w:r>
      <w:r/>
    </w:p>
    <w:p>
      <w:pPr>
        <w:pStyle w:val="ListBullet"/>
      </w:pPr>
      <w:r>
        <w:t>Adulte &lt;65 ans : Dose initiale recommandée 10 mg, à prendre environ 25 à 60 minutes avant l'activité sexuelle. Adaptation selon efficacité et tolérance : 5 mg (sujets sensibles, insuffisants hépatiques légers/modérés, sous α-bloquants, sous inhibiteurs modérés du CYP3A4, sujet âgé) à 20 mg (dose maximale par prise). Fréquence maximale : 1 prise par 24 heures.</w:t>
      </w:r>
    </w:p>
    <w:p>
      <w:pPr>
        <w:pStyle w:val="ListBullet"/>
      </w:pPr>
      <w:r>
        <w:t>Sujet âgé ≥65 ans : Débuter à 5 mg, adapter à 10 mg puis 20 mg si nécessaire et toléré.</w:t>
      </w:r>
    </w:p>
    <w:p>
      <w:pPr>
        <w:pStyle w:val="ListBullet"/>
      </w:pPr>
      <w:r>
        <w:t>Insuffisance hépatique légère à modérée (Child-Pugh A et B) : débuter à 5 mg, max 10 mg. Sévère (C) : CI.</w:t>
      </w:r>
    </w:p>
    <w:p>
      <w:pPr>
        <w:pStyle w:val="ListBullet"/>
      </w:pPr>
      <w:r>
        <w:t>Insuffisance rénale Clcr 30–80 : pas d'ajustement. Clcr &lt;30 : débuter à 5 mg, max 10 mg.</w:t>
      </w:r>
    </w:p>
    <w:p>
      <w:pPr>
        <w:pStyle w:val="ListBullet"/>
      </w:pPr>
      <w:r>
        <w:t>Sous α-bloquants stables : débuter à 5 mg, espacer de 6 h.</w:t>
      </w:r>
    </w:p>
    <w:p>
      <w:pPr>
        <w:pStyle w:val="ListBullet"/>
      </w:pPr>
      <w:r>
        <w:t>Sous antiprotéases : 2,5 mg toutes les 24 h maximum (ritonavir), 5 mg/24 h (kétoconazole, itraconazole).</w:t>
      </w:r>
    </w:p>
    <w:p>
      <w:pPr>
        <w:pStyle w:val="ListBullet"/>
      </w:pPr>
      <w:r>
        <w:t>Durée : Prise à la demande, uniquement lorsqu'une activité sexuelle est prévue.</w:t>
      </w:r>
    </w:p>
    <w:p>
      <w:pPr>
        <w:pStyle w:val="ListBullet"/>
      </w:pPr>
      <w:r>
        <w:t>Moment de la prise : À jeun idéalement ou après repas léger. Un repas riche en graisses retarde et diminue l'absorption. Conservation à &lt;25 °C.</w:t>
      </w:r>
    </w:p>
    <w:p>
      <w:r/>
      <w:r>
        <w:rPr>
          <w:b/>
        </w:rPr>
        <w:t>Arbitrage et Bénéfices des Formes Galéniques :</w:t>
      </w:r>
      <w:r/>
    </w:p>
    <w:p>
      <w:r>
        <w:t>Le vardénafil algérien est uniquement disponible en comprimé pelliculé à 10 mg (LIBIDOX, El Kendi). La sécabilité n'est pas explicitement mentionnée mais la posologie 5 mg impose le recours à une autre marque ou à la cassure du comprimé 10 mg (à vérifier avec le laboratoire). Le conditionnement en boîte de 2 ou 4 comprimés est adapté à un usage à la demande occasionnel. L'absence de forme orodispersible (Levitra® ODT non commercialisée en Algérie) limite les options galéniques, notamment chez le patient dysphagique ou âgé. La place du vardénafil dans la stratégie thérapeutique algérienne est essentiellement celle d'une alternative en cas d'intolérance ou d'inefficacité du sildénafil et du tadalafil, ou en cas de préférence du patient pour une molécule de profil pharmacocinétique court (4–5 h) avec une incidence moindre de troubles visuels. Le pharmacien doit savoir expliquer ces nuances au patient sans surmédicaliser la consultation.</w:t>
      </w:r>
    </w:p>
    <w:p>
      <w:r/>
      <w:r>
        <w:rPr>
          <w:b/>
        </w:rPr>
        <w:t>Instructions et Conseils au Patient :</w:t>
      </w:r>
      <w:r/>
    </w:p>
    <w:p>
      <w:pPr>
        <w:pStyle w:val="ListBullet"/>
      </w:pPr>
      <w:r>
        <w:t>Communication au comptoir : Expliquer que le vardénafil est un inhibiteur de la PDE5 de même classe que le sildénafil et le tadalafil, avec un profil d'efficacité et de sécurité comparable. Préciser le délai d'action (25–60 min), la durée d'efficacité (4–5 h), la nécessité d'une stimulation sexuelle préalable, et la prise à jeun idéale. Insister sur les signes d'alerte : douleur thoracique (jamais de trinitrine dans les 24 h), érection &gt;4 h (priapisme), trouble visuel ou auditif brutal. Interroger sur les nitrés, les α-bloquants, les médicaments pour le cœur, et les antécédents cardiaques familiaux (QT long).</w:t>
      </w:r>
    </w:p>
    <w:p>
      <w:pPr>
        <w:pStyle w:val="ListBullet"/>
      </w:pPr>
      <w:r>
        <w:t>Mode d'utilisation pratique : 1 comprimé 25–60 minutes avant le rapport, à jeun idéalement. Ne pas dépasser 1 prise par 24 heures. Ne pas doubler la dose en cas d'échec. Conserver à température ambiante. Si inefficacité après plusieurs essais à dose maximale, consulter pour réévaluation. Si oublie d'une prise avant le rapport, ne pas prendre rétroactivement. Avertir le patient que les effets visuels (cyanopsie) sont moins fréquents qu'avec le sildénafil, ce qui peut être un atout chez les patients ayant présenté cet effet.</w:t>
      </w:r>
    </w:p>
    <w:p>
      <w:r/>
      <w:r>
        <w:rPr>
          <w:b/>
        </w:rPr>
        <w:t>Notes, Règles d'Or &amp; Pièges au Comptoir :</w:t>
      </w:r>
      <w:r/>
    </w:p>
    <w:p>
      <w:pPr>
        <w:pStyle w:val="ListBullet"/>
      </w:pPr>
      <w:r>
        <w:t>Piège classique n°1 : Le patient coronarien sous nitrés – règle identique au sildénafil : CI absolue, espacement 24 h. Toujours demander : « Prenez-vous un médicament pour le cœur ou la poitrine, en comprimé, patch, ou bombe sous la langue ? »</w:t>
      </w:r>
    </w:p>
    <w:p>
      <w:pPr>
        <w:pStyle w:val="ListBullet"/>
      </w:pPr>
      <w:r>
        <w:t>Piège classique n°2 : Le patient sous α-bloquants pour HBP – risque d'hypotension, débuter à 5 mg, espacer de 6 h.</w:t>
      </w:r>
    </w:p>
    <w:p>
      <w:pPr>
        <w:pStyle w:val="ListBullet"/>
      </w:pPr>
      <w:r>
        <w:t>Piège classique n°3 : Le patient sous antipsychotique ou antiarythmique – revue du traitement pour les molécules allongeant le QT, surveillance ECG.</w:t>
      </w:r>
    </w:p>
    <w:p>
      <w:pPr>
        <w:pStyle w:val="ListBullet"/>
      </w:pPr>
      <w:r>
        <w:t>Piège classique n°4 : Le patient qui souhaite substituer le vardénafil par une autre marque, alors qu'il n'existe qu'une seule spécialité disponible en Algérie (LIBIDOX) – pas d'alternative locale.</w:t>
      </w:r>
    </w:p>
    <w:p>
      <w:pPr>
        <w:pStyle w:val="ListBullet"/>
      </w:pPr>
      <w:r>
        <w:t>Piège classique n°5 : Le patient qui compare le vardénafil 10 mg au sildénafil 50 mg et pense que le vardénafil est « plus fort » car la dose est plus faible – expliquer la notion de puissance in vitro sans corrélation stricte avec l'efficacité clinique.</w:t>
      </w:r>
    </w:p>
    <w:p>
      <w:pPr>
        <w:pStyle w:val="ListBullet"/>
      </w:pPr>
      <w:r>
        <w:t>Règle de prise : 1 cp 25–60 min avant rapport, à jeun, 1 fois/j max, jamais avec nitré.</w:t>
      </w:r>
    </w:p>
    <w:p>
      <w:pPr>
        <w:pStyle w:val="ListBullet"/>
      </w:pPr>
      <w:r>
        <w:t>Préparation et Conservation : Comprimés à conserver à &lt;25 °C, à l'abri de l'humidité et de la lumière, dans l'emballage d'origine.</w:t>
      </w:r>
    </w:p>
    <w:p>
      <w:pPr>
        <w:pStyle w:val="ListBullet"/>
      </w:pPr>
      <w:r>
        <w:t>Piège du surdosage / Substitution : Risque de surdosage si cumul avec un autre PDE5 (sildénafil, tadalafil). Ne jamais associer. Pas de substitution possible en Algérie (une seule marque), mais le pharmacien doit rester vigilant en cas de prescription simultanée de plusieurs PDE5 par erreur – alerter le prescripteur.</w:t>
      </w:r>
    </w:p>
    <w:p>
      <w:pPr>
        <w:pStyle w:val="Heading3"/>
      </w:pPr>
      <w:r>
        <w:t>4. DCI : Alprostadil / PGE1 (Seule)</w:t>
      </w:r>
    </w:p>
    <w:p>
      <w:r/>
      <w:r>
        <w:rPr>
          <w:b/>
        </w:rPr>
        <w:t>Liste des Catégories :</w:t>
      </w:r>
      <w:r>
        <w:t xml:space="preserve"> Urologie – Dysfonction érectile – Prostaglandines E1 ; Vasodilatateur – Prostaglandine.</w:t>
      </w:r>
    </w:p>
    <w:p>
      <w:r>
        <w:t>L'alprostadil, analogue synthétique de la prostaglandine E1 naturelle (PGE1), est le seul médicament de la classe des prostaglandines E1 disponible en Algérie pour la dysfonction érectile, et constitue l'alternative non orale de référence de deuxième intention. Son utilisation est exclusivement locale : injection intracaverneuse (IC) à l'aide d'une cartouche bi-compartiment prête à l'emploi (lyophilisat + solvant). La pharmacocinétique est locale : la PGE1 est métabolisée rapidement (demi-vie de 5 à 10 minutes dans la circulation systémique) par oxydation de la double liaison 13,14 puis réduction, principalement pulmonaire et hépatique. L'effet local caverneux apparaît en 5 à 20 minutes après injection IC, l'érection est obtenue pour une durée de 30 à 60 minutes en moyenne, sans dépendance à la stimulation sexuelle (à la différence des PDE5). Le taux de réponse clinique atteint 70–90 % toutes étiologies confondues (vasculaire, neurogène, psychogène, diabétique), y compris chez les patients non répondeurs aux PDE5. La spécialité EDEX® (Schwarz Pharma) est disponible en deux dosages : 10 µg/mL et 20 µg/mL, en cartouches bi-compartiment de 1 mL (boîte de 2).</w:t>
      </w:r>
    </w:p>
    <w:p>
      <w:r/>
      <w:r>
        <w:rPr>
          <w:b/>
        </w:rPr>
        <w:t>Médicaments disponibles en Algérie (Marques, Laboratoires, Formes et Dosages) :</w:t>
      </w:r>
      <w:r/>
    </w:p>
    <w:p>
      <w:pPr>
        <w:pStyle w:val="ListBullet"/>
      </w:pPr>
      <w:r/>
      <w:r>
        <w:rPr>
          <w:b/>
        </w:rPr>
        <w:t>EDEX</w:t>
      </w:r>
      <w:r>
        <w:t xml:space="preserve"> (SCHWARZ PHARMA) – Poudre et solvant pour solution injectable 10 µg/mL – Boîte de 2 cartouches bi-compartiment de 1 mL – Liste I – Statut : Actif (voie intracaverneuse)</w:t>
      </w:r>
    </w:p>
    <w:p>
      <w:pPr>
        <w:pStyle w:val="ListBullet"/>
      </w:pPr>
      <w:r/>
      <w:r>
        <w:rPr>
          <w:b/>
        </w:rPr>
        <w:t>EDEX</w:t>
      </w:r>
      <w:r>
        <w:t xml:space="preserve"> (SCHWARZ PHARMA) – Poudre et solvant pour solution injectable 20 µg/mL – Boîte de 2 cartouches bi-compartiment de 1 mL – Liste I – Statut : Actif (voie intracaverneuse)</w:t>
      </w:r>
    </w:p>
    <w:p>
      <w:r>
        <w:t>Il n'existe pas de forme intra-urétrale (MUSE®) commercialisée en Algérie, ni de formulation pour perfusion IV dans l'HTAP (alprostadil IV utilisé en néonatologie pour maintenir le canal artériel) – seule la voie IC est disponible pour la DE.</w:t>
      </w:r>
    </w:p>
    <w:p>
      <w:r/>
      <w:r>
        <w:rPr>
          <w:b/>
        </w:rPr>
        <w:t>Sous-classe et Mécanisme d'action :</w:t>
      </w:r>
      <w:r/>
    </w:p>
    <w:p>
      <w:pPr>
        <w:pStyle w:val="ListBullet"/>
      </w:pPr>
      <w:r>
        <w:t>Sous-classe : Analogue synthétique de la prostaglandine E1 (PGE1), indiqué en deuxième intention dans la dysfonction érectile, par voie locale intracaverneuse.</w:t>
      </w:r>
    </w:p>
    <w:p>
      <w:pPr>
        <w:pStyle w:val="ListBullet"/>
      </w:pPr>
      <w:r>
        <w:t>Mécanisme d'action : L'alprostadil se lie aux récepteurs EP2 et EP4 du muscle lisse caverneux, couplés aux protéines Gs. Cette liaison active l'adénylate cyclase membranaire, qui convertit l'ATP en AMP cyclique (AMPc). L'élévation de l'AMPc intracellulaire active la protéine kinase A (PKA), qui phosphoryle des cibles impliquées dans la baisse du calcium cytosolique (pompes calcium, canaux potassiques), induisant la relaxation du muscle lisse caverneux indépendamment de la voie NO-sGC-GMPc. Cette voie effectrice indépendante explique son efficacité chez les patients porteurs de lésions nerveuses ou endothéliales sévères (neuropathie diabétique avancée, post-prostatectomie radicale, lésions médullaires) où la voie NO peut être altérée. L'AMPc est hydrolysé par la PDE3 et la PDE4 (et non la PDE5), ce qui explique que l'alprostadil reste efficace chez les patients non répondeurs ou contre-indiqués aux PDE5 (notamment les coronariens sous nitrés). L'effet local est strictement dépendant de la dose injectée et indépendant de la stimulation sexuelle (à la différence des PDE5 oraux).</w:t>
      </w:r>
    </w:p>
    <w:p>
      <w:r/>
      <w:r>
        <w:rPr>
          <w:b/>
        </w:rPr>
        <w:t>Profil Pharmacologique :</w:t>
      </w:r>
      <w:r/>
    </w:p>
    <w:p>
      <w:pPr>
        <w:pStyle w:val="ListBullet"/>
      </w:pPr>
      <w:r>
        <w:t>Indications : Dysfonction érectile de l'homme adulte, en deuxième intention, en cas de non-réponse, de contre-indication ou d'intolérance aux inhibiteurs de la PDE5 ; DE d'origine neurogène sévère (post-prostatectomie radicale, lésions médullaires, neuropathie diabétique avancée) ; DE d'origine vasculaire sévère.</w:t>
      </w:r>
    </w:p>
    <w:p>
      <w:pPr>
        <w:pStyle w:val="ListBullet"/>
      </w:pPr>
      <w:r>
        <w:t>Contre-indications : Hypersensibilité à l'alprostadil ; antécédent de priapisme ou tendance au priapisme (drépanocytose, myélome multiple, leucémie, thalassémie) ; malformations anatomiques du pénis (angulation congénitale, maladie de Peyronie active avec plaques fibreuses) ; fibrose des corps caverneux ; inflammation ou infection locale ; patients avec implant pénien ; patients pour qui l'activité sexuelle est déconseillée (insuffisance cardiaque sévère, angor instable, IDM récent) ; troubles de la coagulation ou traitement anticoagulant non équilibré (risque d'hématome) ; insuffisance hépatique ou rénale sévère.</w:t>
      </w:r>
    </w:p>
    <w:p>
      <w:pPr>
        <w:pStyle w:val="ListBullet"/>
      </w:pPr>
      <w:r>
        <w:t>Effets Indésirables : Très fréquents : douleur au site d'injection (33 % à l'induction, diminue avec l'usage) ; fréquents : érection prolongée (&gt;4 h, 4–5 %) – urgence, priapisme (1–5 %) – risque de lésion ischemique caverneuse, fibrose caverneuse (5–10 % à l'usage répété, nodules indurés, déviation pénienne), hématome au point d'injection (5–10 %), œdème pénien transitoire ; rares : hypotension (passage systémique de la PGE1), flush, vertiges, syncope vagale, réactions locales (irritation, infection), ulcération, plaie. Effets systémiques liés au passage vasculaire de la PGE1 : hypotension, céphalées, nausées.</w:t>
      </w:r>
    </w:p>
    <w:p>
      <w:r/>
      <w:r>
        <w:rPr>
          <w:b/>
        </w:rPr>
        <w:t>Prévention et Gestion des Effets Indésirables :</w:t>
      </w:r>
      <w:r/>
    </w:p>
    <w:p>
      <w:pPr>
        <w:pStyle w:val="ListBullet"/>
      </w:pPr>
      <w:r>
        <w:t>Mesures Préventives : Formation technique rigoureuse du patient par le médecin urologue (premières injections réalisées en consultation, vérification de la réponse et de la tolérance, détermination de la dose efficace minimale). Éducation à la technique d'auto-injection : alternance des sites d'injection (corps caverneux droit puis gauche, base puis partie moyenne), respect de l'asepsie (lavage des mains, désinfection du site), respect du schéma d'injection (angle, profondeur, volume). Limitation de la fréquence d'injection à 1 à 2 par semaine, avec intervalle minimal de 24 heures entre injections. Surveillance de l'apparition de nodules indurés, fibrose, déviation pénienne : auto-palpation mensuelle, consultation urologique si anomalie. Surveillance du priapisme : patient éduqué à mesurer la durée d'érection, à consulter aux urgences urologiques au-delà de 2 heures (pas 4 h, marge de sécurité) en l'absence de détumescence.</w:t>
      </w:r>
    </w:p>
    <w:p>
      <w:pPr>
        <w:pStyle w:val="ListBullet"/>
      </w:pPr>
      <w:r>
        <w:t>Conduite à Tenir : En cas de priapisme &gt;2 heures : urgence urologique immédiate (aspiration-irrigation des corps caverneux, injection IC d'étiléfrine ou phényléphrine, surveillance hospitalière 12–24 h). En cas de douleur intense à l'injection : adapter le volume, vérifier la technique, envisager une formulation avec anesthésique local (non disponible en Algérie). En cas d'hématome : compression locale, glace, arrêt transitoire. En cas d'apparition de fibrose ou de nodules : arrêt définitif de l'alprostadil IC, avis urologique. En cas d'hypotension : décubitus, surveillance.</w:t>
      </w:r>
    </w:p>
    <w:p>
      <w:r/>
      <w:r>
        <w:rPr>
          <w:b/>
        </w:rPr>
        <w:t>Interactions Importantes :</w:t>
      </w:r>
      <w:r/>
    </w:p>
    <w:p>
      <w:pPr>
        <w:pStyle w:val="ListBullet"/>
      </w:pPr>
      <w:r>
        <w:t>Alprostadil IC + inhibiteurs de la PDE5 (sildénafil, tadalafil, vardénafil) : potentialisation du risque d'hypotension et de priapisme. Ne pas associer systématiquement ; en cas de relais, délai de 24 h entre les deux molécules.</w:t>
      </w:r>
    </w:p>
    <w:p>
      <w:pPr>
        <w:pStyle w:val="ListBullet"/>
      </w:pPr>
      <w:r>
        <w:t>Alprostadil IC + anticoagulants (AVK, antiagrégants, héparines, AOD) : risque majoré d'hématome au site d'injection. Surveillance, compression prolongée.</w:t>
      </w:r>
    </w:p>
    <w:p>
      <w:pPr>
        <w:pStyle w:val="ListBullet"/>
      </w:pPr>
      <w:r>
        <w:t>Alprostadil IC + sympathicomimétiques alpha-1 (étiléfrine, phényléfrine, métaraminol) : antagonisme pharmacologique (utilisés en urgence dans le priapisme induit par alprostadil).</w:t>
      </w:r>
    </w:p>
    <w:p>
      <w:pPr>
        <w:pStyle w:val="ListBullet"/>
      </w:pPr>
      <w:r>
        <w:t>Alprostadil IC + autres vasodilatateurs (dérivés nitrés, α-bloquants) : majoration de l'effet hypotenseur (passage systémique possible de la PGE1).</w:t>
      </w:r>
    </w:p>
    <w:p>
      <w:pPr>
        <w:pStyle w:val="ListBullet"/>
      </w:pPr>
      <w:r>
        <w:t>Alprostadil IC + alcool : majoration potentielle de l'hypotension.</w:t>
      </w:r>
    </w:p>
    <w:p>
      <w:r/>
      <w:r>
        <w:rPr>
          <w:b/>
        </w:rPr>
        <w:t>Grossesse et Allaitement :</w:t>
      </w:r>
      <w:r/>
    </w:p>
    <w:p>
      <w:pPr>
        <w:pStyle w:val="ListBullet"/>
      </w:pPr>
      <w:r>
        <w:t>Grossesse : L'alprostadil par voie IC est utilisé exclusivement chez l'homme ; la question de la grossesse ne se pose donc pas en pratique courante d'officine. Toutefois, le CRAT précise que l'alprostadil IV (néonatologie, maintien du canal artériel) est considéré comme compatible en cas d'usage maternel éventuel, sans effet tératogène documenté. Pour la partenaire masculine traitée, aucun passage systémique décelable à dose IC thérapeutique, aucun effet attendu sur la conception, la grossesse ou l'embryon.</w:t>
      </w:r>
    </w:p>
    <w:p>
      <w:pPr>
        <w:pStyle w:val="ListBullet"/>
      </w:pPr>
      <w:r>
        <w:t>Allaitement : Non pertinent en pratique (usage masculin). Pas d'effet attendu sur le sperme, la fertilité ou l'enfant allaité par la partenaire.</w:t>
      </w:r>
    </w:p>
    <w:p>
      <w:pPr>
        <w:pStyle w:val="ListBullet"/>
      </w:pPr>
      <w:r>
        <w:t>Précisions : L'alprostadil est utilisé en pédiatrie néonatale (forme IV, Prostin VR® non commercialisée en Algérie) pour maintenir la perméabilité du canal artériel en attente de chirurgie cardiaque – usage strictement hospitalier.</w:t>
      </w:r>
    </w:p>
    <w:p>
      <w:r/>
      <w:r>
        <w:rPr>
          <w:b/>
        </w:rPr>
        <w:t>Posologie et Mode d'administration (Standard) :</w:t>
      </w:r>
      <w:r/>
    </w:p>
    <w:p>
      <w:pPr>
        <w:pStyle w:val="ListBullet"/>
      </w:pPr>
      <w:r>
        <w:t>Adulte : Dose initiale recommandée 1,25 à 2,5 µg par injection IC (à déterminer en consultation urologique initiale par titration). Adapter selon la réponse : doses usuelles 5 à 20 µg par injection, dose maximale 40 µg par injection, dose totale maximale par 24 h = 60 µg, fréquence maximale = 1 injection par 24 h, 2 à 3 injections par semaine maximum, avec un délai minimum de 24 heures entre deux injections. Chez le sujet âgé ou fragile, débuter à 1,25 µg.</w:t>
      </w:r>
    </w:p>
    <w:p>
      <w:pPr>
        <w:pStyle w:val="ListBullet"/>
      </w:pPr>
      <w:r>
        <w:t>Sujet âgé ≥65 ans : Titration prudente, dose initiale réduite à 1,25 µg.</w:t>
      </w:r>
    </w:p>
    <w:p>
      <w:pPr>
        <w:pStyle w:val="ListBullet"/>
      </w:pPr>
      <w:r>
        <w:t>Insuffisance hépatique ou rénale sévère : CI relative, à évaluer.</w:t>
      </w:r>
    </w:p>
    <w:p>
      <w:pPr>
        <w:pStyle w:val="ListBullet"/>
      </w:pPr>
      <w:r>
        <w:t>Durée : Traitement à la demande, avant chaque rapport sexuel prévu. Traitement au long cours possible, avec surveillance urologique trimestrielle (fibrose, nodules).</w:t>
      </w:r>
    </w:p>
    <w:p>
      <w:pPr>
        <w:pStyle w:val="ListBullet"/>
      </w:pPr>
      <w:r>
        <w:t>Moment de l'administration : 5 à 20 minutes avant le rapport sexuel. Érection obtenue indépendamment de la stimulation sexuelle (atout pour les patients avec troubles de la libido associés).</w:t>
      </w:r>
    </w:p>
    <w:p>
      <w:pPr>
        <w:pStyle w:val="ListBullet"/>
      </w:pPr>
      <w:r>
        <w:t>Mode d'administration : Injection IC avec cartouche bi-compartiment (lyophilisat + solvant à mélanger juste avant injection, stylo injecteur EDEX®). Technique : désinfection locale, injection latérale à la base du pénis (corps caverneux dorsal-latéral, éviter le canal de l'urètre en ventral et les vaisseaux dorsaux en dorsal), angle 45–90°, profondeur 5–10 mm, volume habituel 0,2 à 1 mL. Compression locale 5 minutes après injection.</w:t>
      </w:r>
    </w:p>
    <w:p>
      <w:r/>
      <w:r>
        <w:rPr>
          <w:b/>
        </w:rPr>
        <w:t>Arbitrage et Bénéfices des Formes Galéniques :</w:t>
      </w:r>
      <w:r/>
    </w:p>
    <w:p>
      <w:r>
        <w:t>La galénique de l'alprostadil IC est sophisticée et requiert un dispositif médical adapté : la cartouche bi-compartiment (lyophilisat d'un côté, solvant de l'autre) permet la reconstitution immédiatement avant injection, garantissant la stabilité de la PGE1 (molécule instable en solution). Le stylo injecteur EDEX® facilite l'auto-administration par le patient formé. Les deux dosages (10 µg/mL et 20 µg/mL) permettent l'adaptation posologique sans augmentation du volume injecté : un patient nécessitant 20 µg peut utiliser 1 mL de la formulation 20 µg/mL ou 2 mL de la formulation 10 µg/mL (mais le volume injecté doit rester ≤1 mL pour éviter la distension caverneuse douloureuse). L'absence de forme orale (et de forme intra-urétrale MUSE®) en Algérie limite l'usage de l'alprostadil aux patients formés à l'auto-injection IC. La galénique est un facteur clé d'observance et de tolérance : la douleur au site est plus fréquente avec les solutions acides, et la PGE1 native (sans adjonction d'anesthésique local, disponible dans certaines formulations internationales type Caverject Impulse® Dual Chamber) reste douloureuse chez 30 % des patients. Le pharmacien doit s'assurer de la disponibilité du stylo injecteur et des consommables (aiguilles 29-30 G), et orienter le patient vers une formation technique en consultation urologique.</w:t>
      </w:r>
    </w:p>
    <w:p>
      <w:r/>
      <w:r>
        <w:rPr>
          <w:b/>
        </w:rPr>
        <w:t>Instructions et Conseils au Patient :</w:t>
      </w:r>
      <w:r/>
    </w:p>
    <w:p>
      <w:pPr>
        <w:pStyle w:val="ListBullet"/>
      </w:pPr>
      <w:r>
        <w:t>Communication au comptoir : Expliquer que l'alprostadil est un traitement de deuxième intention, réservé aux patients en échec, intolérants ou contre-indiqués aux PDE5 oraux. Préciser que l'efficacité est indépendante de la stimulation sexuelle et de la prise alimentaire. Insister sur la nécessité d'une formation médicale préalable à l'auto-injection, sur le respect strict de la technique d'asepsie et des sites d'injection (alternance droite/gauche, base/moyen), sur la fréquence maximale (1 par 24 h, 2-3 par semaine), et sur la reconnaissance des signes d'alerte : priapisme &gt;2 h (urgence), douleur intense, fibrose, nodules, déviation pénienne. Préciser que la dose efficace minimale doit être déterminée par titration en consultation, et que l'automédication par augmentation des doses est formellement contre-indiquée (risque de priapisme et de fibrose).</w:t>
      </w:r>
    </w:p>
    <w:p>
      <w:pPr>
        <w:pStyle w:val="ListBullet"/>
      </w:pPr>
      <w:r>
        <w:t>Mode d'utilisation pratique : Lavage des mains, désinfection du site (compresses alcoolisées), reconstitution de la solution (mélange du lyophilisat et du solvant dans la cartouche bi-compartiment), mise en place du stylo, réglage de la dose, injection latérale à la base du pénis (éviter le canal de l'urètre ventral), compression locale 5 minutes, nettoyage du matériel. Ne pas réutiliser une cartouche entamée. Conservation au réfrigérateur (2–8 °C) avant reconstitution, à température ambiante &lt;25 °C après reconstitution (utilisation dans les 24 h). Tenir un journal des injections (date, dose, site, réponse, EI). Consultation urologique trimestrielle systématique.</w:t>
      </w:r>
    </w:p>
    <w:p>
      <w:r/>
      <w:r>
        <w:rPr>
          <w:b/>
        </w:rPr>
        <w:t>Notes, Règles d'Or &amp; Pièges au Comptoir :</w:t>
      </w:r>
      <w:r/>
    </w:p>
    <w:p>
      <w:pPr>
        <w:pStyle w:val="ListBullet"/>
      </w:pPr>
      <w:r>
        <w:t>Piège classique n°1 : Le patient qui augmente lui-même sa dose « pour un meilleur effet » – risque majeur de priapisme et de fibrose. Règle : ne jamais dépasser la dose déterminée par titration médicale.</w:t>
      </w:r>
    </w:p>
    <w:p>
      <w:pPr>
        <w:pStyle w:val="ListBullet"/>
      </w:pPr>
      <w:r>
        <w:t>Piège classique n°2 : Le patient qui n'alterne pas les sites d'injection – risque de fibrose localisée, de nodules indurés, de déviation pénienne. Règle : alternance systématique droite/gauche, base/moyen.</w:t>
      </w:r>
    </w:p>
    <w:p>
      <w:pPr>
        <w:pStyle w:val="ListBullet"/>
      </w:pPr>
      <w:r>
        <w:t>Piège classique n°3 : Le patient qui ne reconnaît pas le priapisme – « c'est normal que ça dure » – risque de lésion ischemique caverneuse définitive. Règle : érection &gt;2 h = urgence urologique absolue, ne pas attendre 4 h.</w:t>
      </w:r>
    </w:p>
    <w:p>
      <w:pPr>
        <w:pStyle w:val="ListBullet"/>
      </w:pPr>
      <w:r>
        <w:t>Piège classique n°4 : Le patient sous anticoagulant non équilibré – risque d'hématome caverneux compressif. Vérifier l'INR et l'équilibre du traitement anticoagulant.</w:t>
      </w:r>
    </w:p>
    <w:p>
      <w:pPr>
        <w:pStyle w:val="ListBullet"/>
      </w:pPr>
      <w:r>
        <w:t>Piège classique n°5 : La conservation à température ambiante prolongée – perte d'efficacité de la PGE1. Règle : conservation au réfrigérateur (2–8 °C) avant reconstitution.</w:t>
      </w:r>
    </w:p>
    <w:p>
      <w:pPr>
        <w:pStyle w:val="ListBullet"/>
      </w:pPr>
      <w:r>
        <w:t>Piège classique n°6 : L'association systématique avec un PDE5 oral sans avis médical – majoration du risque de priapisme et d'hypotension.</w:t>
      </w:r>
    </w:p>
    <w:p>
      <w:pPr>
        <w:pStyle w:val="ListBullet"/>
      </w:pPr>
      <w:r>
        <w:t>Règle de prise : 1 injection IC 5–20 min avant rapport, dose adaptée, max 1/24 h, 2-3/semaine max, alternance des sites, surveillance priapisme &gt;2 h.</w:t>
      </w:r>
    </w:p>
    <w:p>
      <w:pPr>
        <w:pStyle w:val="ListBullet"/>
      </w:pPr>
      <w:r>
        <w:t>Préparation et Conservation : Cartouches au réfrigérateur (2–8 °C), ne pas congeler. Après reconstitution : utilisation immédiate ou dans les 24 h à température ambiante &lt;25 °C. Ne pas réutiliser.</w:t>
      </w:r>
    </w:p>
    <w:p>
      <w:pPr>
        <w:pStyle w:val="ListBullet"/>
      </w:pPr>
      <w:r>
        <w:t>Piège du surdosage / Substitution : Risque de surdosage en cas de cumul de dosages (10 + 20 µg/mL) – utiliser une seule cartouche par injection. Ne pas substituer une marque par une autre (EDEX uniquement). En cas de relais avec un PDE5 oral, espacer de 24 h. En cas d'arrêt prolongé, consulter pour re-titration.</w:t>
      </w:r>
    </w:p>
    <w:p>
      <w:pPr>
        <w:pStyle w:val="Heading3"/>
      </w:pPr>
      <w:r>
        <w:t>5. DCI : Papavérine (Seule)</w:t>
      </w:r>
    </w:p>
    <w:p>
      <w:r/>
      <w:r>
        <w:rPr>
          <w:b/>
        </w:rPr>
        <w:t>Liste des Catégories :</w:t>
      </w:r>
      <w:r>
        <w:t xml:space="preserve"> Urologie – Dysfonction érectile – Inhibiteurs non sélectifs des PDE ; Antispasmodique – Inhibiteur non sélectif des phosphodiestérases ; Vasodilatateur – Alcaloïde isoquinoléique.</w:t>
      </w:r>
    </w:p>
    <w:p>
      <w:r>
        <w:t>La papavérine, alcaloïde isoquinoléique dérivé de l'opium mais dépourvu d'action morphinique centrale, fut le premier agent pharmacologique efficace dans le traitement de la dysfonction érectile, introduit par injection intracaverneuse dès 1982 par Ronald Virag. Son mécanisme d'action est une inhibition non sélective des phosphodiestérases (PDE1, PDE3, PDE4 et accessoirement PDE5), augmentant simultanément l'AMPc et le GMPc intracaverneux, sans dépendance à la voie NO-sGC. Sa puissance est inférieure à celle des inhibiteurs sélectifs de la PDE5 et de la PGE1, mais son action indépendante du NO en fait une alternative historique chez les patients non répondeurs. Sa pharmacocinétique locale est courte (effet 30–60 minutes après injection IC) mais s'accompagne d'un taux élevé d'effets indésirables locaux (priapisme jusqu'à 10 %, fibrose caverneuse 5–30 % selon les séries historiques). Sa disponibilité en Algérie est aujourd'hui limitée et essentiellement historique : la spécialité PAPAVERINE® 40 mg/mL solution injectable (Renaudin) figure au registre des non-renouvelables, et l'association papavérine + charbon activé (ACTICARBINE® 14 mg/70 mg comprimé, Mag Pharm) est retirée du marché.</w:t>
      </w:r>
    </w:p>
    <w:p>
      <w:r/>
      <w:r>
        <w:rPr>
          <w:b/>
        </w:rPr>
        <w:t>Médicaments disponibles en Algérie (Marques, Laboratoires, Formes et Dosages) :</w:t>
      </w:r>
      <w:r/>
    </w:p>
    <w:p>
      <w:pPr>
        <w:pStyle w:val="ListBullet"/>
      </w:pPr>
      <w:r/>
      <w:r>
        <w:rPr>
          <w:b/>
        </w:rPr>
        <w:t>PAPAVERINE</w:t>
      </w:r>
      <w:r>
        <w:t xml:space="preserve"> (RENAUDIN) – Solution injectable 40 mg/mL – Boîte de 50 ampoules – Liste I – Statut : </w:t>
      </w:r>
      <w:r>
        <w:rPr>
          <w:b/>
        </w:rPr>
        <w:t>Non Renouvelable</w:t>
      </w:r>
      <w:r>
        <w:t xml:space="preserve"> (voie injectable – usage historique IC ou IV)</w:t>
      </w:r>
    </w:p>
    <w:p>
      <w:pPr>
        <w:pStyle w:val="ListBullet"/>
      </w:pPr>
      <w:r/>
      <w:r>
        <w:rPr>
          <w:b/>
        </w:rPr>
        <w:t>ACTICARBINE</w:t>
      </w:r>
      <w:r>
        <w:t xml:space="preserve"> (MAG PHARM) – Comprimé enrobé 14 mg papavérine chlorhydrate + 70 mg charbon activé – Boîte de 42 – Statut : </w:t>
      </w:r>
      <w:r>
        <w:rPr>
          <w:b/>
        </w:rPr>
        <w:t>Retiré (R)</w:t>
      </w:r>
      <w:r>
        <w:t xml:space="preserve"> (usage antispasmodique digestif, hors DE)</w:t>
      </w:r>
    </w:p>
    <w:p>
      <w:r>
        <w:t>Aucune spécialité papavérine injectable n'est actuellement activement renouvelée en Algérie. La papavérine reste disponible via circuit d'importation ou de préparation hospitalière magistrale, dans le cadre de protocoles urologiques spécialisés. La spécialité ACTICARBINE, retirée, associait papavérine (antispasmodique) et charbon activé (adsorbant) pour le traitement symptomatique des troubles fonctionnels digestifs, sans rapport avec la DE.</w:t>
      </w:r>
    </w:p>
    <w:p>
      <w:r/>
      <w:r>
        <w:rPr>
          <w:b/>
        </w:rPr>
        <w:t>Sous-classe et Mécanisme d'action :</w:t>
      </w:r>
      <w:r/>
    </w:p>
    <w:p>
      <w:pPr>
        <w:pStyle w:val="ListBullet"/>
      </w:pPr>
      <w:r>
        <w:t>Sous-classe : Inhibiteur non sélectif des phosphodiestérases, indiqué historiquement dans la dysfonction érectile (voie IC) et dans les spasmes viscéraux (voie orale).</w:t>
      </w:r>
    </w:p>
    <w:p>
      <w:pPr>
        <w:pStyle w:val="ListBullet"/>
      </w:pPr>
      <w:r>
        <w:t>Mécanisme d'action : La papavérine inhibe de manière non sélective et compétitive l'activité catalytique de plusieurs phosphodiestérases intracellulaires (PDE1, PDE3, PDE4 et accessoirement PDE5), entraînant une augmentation simultanée de l'AMPc (habituellement hydrolysé par PDE3 et PDE4) et du GMPc (habituellement hydrolysé par PDE5) dans le muscle lisse caverneux. Cette double élévation des seconds messagers active à la fois la PKA (via l'AMPc) et la PKG (via le GMPc), provoquant la phosphorylation de cibles impliquées dans la baisse du calcium cytosolique, et donc la relaxation du muscle lisse caverneux. L'effet est indépendant de la voie NO-sGC, ce qui explique son efficacité historique chez les patients avec altération de la voie NO (neuropathie diabétique sévère, post-prostatectomie radicale). La papavérine exerce également un effet direct de relaxation du muscle lisse indépendant de la PDE, par interaction avec les canaux calciques voltage-dépendants, ce qui contribue à son activité vasodilatatrice systémique et à son usage historique comme antispasmodique viscéral (voie orale dans les colopathies fonctionnelles, spasmes biliaires, etc.).</w:t>
      </w:r>
    </w:p>
    <w:p>
      <w:r/>
      <w:r>
        <w:rPr>
          <w:b/>
        </w:rPr>
        <w:t>Profil Pharmacologique :</w:t>
      </w:r>
      <w:r/>
    </w:p>
    <w:p>
      <w:pPr>
        <w:pStyle w:val="ListBullet"/>
      </w:pPr>
      <w:r>
        <w:t>Indications : Dysfonction érectile (voie IC – usage historique, aujourd'hui largement supplanté par la PGE1 et les PDE5 oraux) ; spasmes viscéraux (voie orale ou IM/IV – colopathies fonctionnelles, spasmes biliaires, rénaux, urétéraux, coronaires – indications historiques de la spécialité ACTICARBINE retirée) ; érection pharmacologiquement induite à visée diagnostique (protocoles d'exploration).</w:t>
      </w:r>
    </w:p>
    <w:p>
      <w:pPr>
        <w:pStyle w:val="ListBullet"/>
      </w:pPr>
      <w:r>
        <w:t>Contre-indications : Hypersensibilité à la papavérine ; antécédent de priapisme ou de tendency au priapisme (drépanocytose, myélome, leucémie) ; malformations anatomiques du pénis (Peyronie, angulation) ; fibrose caverneuse ; insuffisance hépatique sévère ; glaucome (effet parasympathomimétique) ; insuffisance cardiaque sévère ; hypotension ; bloc auriculo-ventriculaire ; patients sous IMAO (interaction) ; allaitement (voie systémique).</w:t>
      </w:r>
    </w:p>
    <w:p>
      <w:pPr>
        <w:pStyle w:val="ListBullet"/>
      </w:pPr>
      <w:r>
        <w:t>Effets Indésirables : Locaux (voie IC) : priapisme (5–35 % selon les séries historiques, taux le plus élevé de la classe), fibrose caverneuse (5–30 %, nodules indurés, déviation pénienne, calcifications), douleur au site, hématome, infection locale, ulcération, œdème. Systémiques : hypotension (par vasodilatation systémique), flush, céphalées, vertiges, somnolence, nausées, constipation (voie orale), hépatotoxicité rare (augmentation des transaminases, hépatite cytolytique exceptionnelle mais possible à dose élevée), réactions allergiques. Effets cardiaques : allongement du QT possible à forte dose, troubles du rythme.</w:t>
      </w:r>
    </w:p>
    <w:p>
      <w:r/>
      <w:r>
        <w:rPr>
          <w:b/>
        </w:rPr>
        <w:t>Prévention et Gestion des Effets Indésirables :</w:t>
      </w:r>
      <w:r/>
    </w:p>
    <w:p>
      <w:pPr>
        <w:pStyle w:val="ListBullet"/>
      </w:pPr>
      <w:r>
        <w:t>Mesures Préventives : Réservation de l'usage à des protocoles hospitaliers spécialisés (urologie). Formation médicale stricte à l'auto-injection IC. Limitation de la fréquence d'injection à 1 par semaine maximum (voire moins, en raison du risque de fibrose). Alternance rigoureuse des sites d'injection. Surveillance urologique mensuelle (palpation caverneuse, recherche de nodules, déviation). Surveillance hépatique (transaminases, PAL, γGT) et ECG (QT) en cas d'usage prolongé. Information complète du patient sur les risques (priapisme, fibrose, hépatotoxicité).</w:t>
      </w:r>
    </w:p>
    <w:p>
      <w:pPr>
        <w:pStyle w:val="ListBullet"/>
      </w:pPr>
      <w:r>
        <w:t>Conduite à Tenir : En cas de priapisme &gt;2 heures : urgence urologique absolue. En cas d'apparition de nodules, de fibrose, de déviation pénienne : arrêt définitif de la papavérine IC. En cas d'élévation des transaminases &gt;3 × LSN : arrêt. En cas d'hypotension symptomatique : décubitus, hydratation, surveillance.</w:t>
      </w:r>
    </w:p>
    <w:p>
      <w:r/>
      <w:r>
        <w:rPr>
          <w:b/>
        </w:rPr>
        <w:t>Interactions Importantes :</w:t>
      </w:r>
      <w:r/>
    </w:p>
    <w:p>
      <w:pPr>
        <w:pStyle w:val="ListBullet"/>
      </w:pPr>
      <w:r>
        <w:t>Papavérine + IMAO (iproniazide, phénelzine, tranylcypromine, moclobémide, linézolide, bleu de méthylène) : risque d'hypertension paroxystique (potentialisation des effets vasomoteurs) – CI relative.</w:t>
      </w:r>
    </w:p>
    <w:p>
      <w:pPr>
        <w:pStyle w:val="ListBullet"/>
      </w:pPr>
      <w:r>
        <w:t>Papavérine + lévodopa : antagonisme de l'effet antiparkinsonien (la papavérine bloque les récepteurs dopaminergiques).</w:t>
      </w:r>
    </w:p>
    <w:p>
      <w:pPr>
        <w:pStyle w:val="ListBullet"/>
      </w:pPr>
      <w:r>
        <w:t>Papavérine + autres vasodilatateurs (dérivés nitrés, α-bloquants, inhibiteurs calciques) : majoration de l'hypotension.</w:t>
      </w:r>
    </w:p>
    <w:p>
      <w:pPr>
        <w:pStyle w:val="ListBullet"/>
      </w:pPr>
      <w:r>
        <w:t>Papavérine IC + PDE5 oraux (sildénafil, tadalafil, vardénafil) : potentialisation du risque de priapisme et d'hypotension. Ne pas associer.</w:t>
      </w:r>
    </w:p>
    <w:p>
      <w:pPr>
        <w:pStyle w:val="ListBullet"/>
      </w:pPr>
      <w:r>
        <w:t>Papavérine + alcool : majoration de l'hypotension et de la somnolence.</w:t>
      </w:r>
    </w:p>
    <w:p>
      <w:pPr>
        <w:pStyle w:val="ListBullet"/>
      </w:pPr>
      <w:r>
        <w:t>Papavérine + médicaments allongeant le QT : potentialisation du risque d'arythmie.</w:t>
      </w:r>
    </w:p>
    <w:p>
      <w:r/>
      <w:r>
        <w:rPr>
          <w:b/>
        </w:rPr>
        <w:t>Grossesse et Allaitement :</w:t>
      </w:r>
      <w:r/>
    </w:p>
    <w:p>
      <w:pPr>
        <w:pStyle w:val="ListBullet"/>
      </w:pPr>
      <w:r>
        <w:t>Grossesse : La papavérine par voie IC est utilisée exclusivement chez l'homme. Par voie systémique (orale, IM, IV), les données animales sont rassurantes, et le CRAT considère la papavérine comme compatible en cas d'usage maternel ponctuel (antispasmodique au cours de la grossesse, notamment pour les coliques néphrétiques gravidiques) – usage historique en France, aujourd'hui en retrait. Pour la partenaire masculine traitée par voie IC pour DE : aucun effet attendu sur la conception ou la grossesse.</w:t>
      </w:r>
    </w:p>
    <w:p>
      <w:pPr>
        <w:pStyle w:val="ListBullet"/>
      </w:pPr>
      <w:r>
        <w:t>Allaitement : Selon CRAT, passage dans le lait maternel mal documenté mais attendu à concentrations faibles. Usage ponctuel compatible (antispasmodique) ; usage prolongé à éviter.</w:t>
      </w:r>
    </w:p>
    <w:p>
      <w:pPr>
        <w:pStyle w:val="ListBullet"/>
      </w:pPr>
      <w:r>
        <w:t>Précisions : La papavérine n'a pas d'usage validé en gynécologie-obstétrique en Algérie, et son usage historique comme tocolytique est abandonné au profit des inhibiteurs calciques.</w:t>
      </w:r>
    </w:p>
    <w:p>
      <w:r/>
      <w:r>
        <w:rPr>
          <w:b/>
        </w:rPr>
        <w:t>Posologie et Mode d'administration (Standard) :</w:t>
      </w:r>
      <w:r/>
    </w:p>
    <w:p>
      <w:pPr>
        <w:pStyle w:val="ListBullet"/>
      </w:pPr>
      <w:r>
        <w:t>Adulte (voie IC, usage historique – sous stricte surveillance urologique) : Dose initiale 10 à 30 mg par injection IC, à adapter selon la réponse. Dose maximale par injection 60 mg. Fréquence maximale : 1 injection par semaine (limitation liée au risque de fibrose). Voie d'administration : injection IC latérale à la base du pénis, technique identique à l'alprostadil. Effet en 5–15 minutes, durée 30–60 minutes.</w:t>
      </w:r>
    </w:p>
    <w:p>
      <w:pPr>
        <w:pStyle w:val="ListBullet"/>
      </w:pPr>
      <w:r>
        <w:t>Adulte (voie orale, antispasmodique, indication historique) : 100 à 300 mg/jour en 2 à 3 prises, en cure courte. Spécialité ACTICARBINE (papavérine 14 mg + charbon 70 mg) : 1 comprimé 3 à 4 fois/jour (indication digestive).</w:t>
      </w:r>
    </w:p>
    <w:p>
      <w:pPr>
        <w:pStyle w:val="ListBullet"/>
      </w:pPr>
      <w:r>
        <w:t>Adulte (voie IM/IV, antispasmodique) : 40 à 80 mg par injection, à renouveler si besoin.</w:t>
      </w:r>
    </w:p>
    <w:p>
      <w:pPr>
        <w:pStyle w:val="ListBullet"/>
      </w:pPr>
      <w:r>
        <w:t>Sujet âgé : Réduction posologique, surveillance accrue de la pression artérielle et de la fonction hépatique.</w:t>
      </w:r>
    </w:p>
    <w:p>
      <w:pPr>
        <w:pStyle w:val="ListBullet"/>
      </w:pPr>
      <w:r>
        <w:t>Durée : Voie IC : traitement à la demande, utilisation espacée (max 1/sem). Voie orale : cures courtes (5–10 jours) dans les indications digestives.</w:t>
      </w:r>
    </w:p>
    <w:p>
      <w:pPr>
        <w:pStyle w:val="ListBullet"/>
      </w:pPr>
      <w:r>
        <w:t>Moment de l'administration : Voie IC : 5–15 min avant le rapport. Voie orale : pendant ou hors repas, à répartir dans la journée.</w:t>
      </w:r>
    </w:p>
    <w:p>
      <w:r/>
      <w:r>
        <w:rPr>
          <w:b/>
        </w:rPr>
        <w:t>Arbitrage et Bénéfices des Formes Galéniques :</w:t>
      </w:r>
      <w:r/>
    </w:p>
    <w:p>
      <w:r>
        <w:t>La papavérine est disponible en Algérie sous forme injectable (solution 40 mg/mL, ampoules, boîte de 50) – non renouvelable – et sous forme de comprimé enrobé associé au charbon activé (ACTICARBINE 14 mg/70 mg) – retiré. La forme injectable permet un usage IC historique en urologie (aujourd'hui supplanté par l'alprostadil IC en raison du profil de tolérance), et un usage IM/IV en antispasmodique viscéral. La forme orale (comprimé enrobé) est exclusivement destinée à l'indication antispasmodique digestive, et l'association au charbon activé (adsorbant intestinal) vise à potentialiser l'effet antidiarrhéique et adsorbant. Aucune forme galénique moderne (orodispersible, forme à libération prolongée) n'est disponible. La papavérine ne représente plus aujourd'hui qu'un intérêt historique et pédagogique, ainsi qu'une option de protocole hospitalier en cas d'échec ou de contre-indication des autres molécules. Le pharmacien doit connaître son existence, son mécanisme (inhibition non sélective des PDE) et ses limites (fibrose, priapisme), sans pour autant la dispenser en routine.</w:t>
      </w:r>
    </w:p>
    <w:p>
      <w:r/>
      <w:r>
        <w:rPr>
          <w:b/>
        </w:rPr>
        <w:t>Instructions et Conseils au Patient :</w:t>
      </w:r>
      <w:r/>
    </w:p>
    <w:p>
      <w:pPr>
        <w:pStyle w:val="ListBullet"/>
      </w:pPr>
      <w:r>
        <w:t>Communication au comptoir : Expliquer que la papavérine est un traitement historique de la DE, aujourd'hui supplanté par les PDE5 oraux et l'alprostadil IC. Préciser que son usage est strictement hospitalier (urologie) pour la DE, et qu'elle n'est plus disponible en routine en pharmacie d'officine (registre des non-renouvelables). Pour l'indication antispasmodique (ACTICARBINE, retirée) : orienter le patient vers les alternatives disponibles (phloroglucinol, mébévérine, pinavérium). Le pharmacien doit savoir répondre aux questions du patient sur les alternatives aux PDE5 oraux : alprostadil IC (EDEX), pompe à vide, implants péniens (chirurgical).</w:t>
      </w:r>
    </w:p>
    <w:p>
      <w:pPr>
        <w:pStyle w:val="ListBullet"/>
      </w:pPr>
      <w:r>
        <w:t>Mode d'utilisation pratique : Strictement encadré médicalement. Le patient ne doit pas acquérir ni utiliser la papavérine en auto-médication. En cas d'usage hospitalier (protocole IC) : respect strict de la prescription, des doses, de la fréquence et des sites d'injection, surveillance priapisme &gt;2 h, surveillance fibrose (palpation mensuelle), surveillance hépatique (bilan mensuel).</w:t>
      </w:r>
    </w:p>
    <w:p>
      <w:r/>
      <w:r>
        <w:rPr>
          <w:b/>
        </w:rPr>
        <w:t>Notes, Règles d'Or &amp; Pièges au Comptoir :</w:t>
      </w:r>
      <w:r/>
    </w:p>
    <w:p>
      <w:pPr>
        <w:pStyle w:val="ListBullet"/>
      </w:pPr>
      <w:r>
        <w:t>Piège classique n°1 : Le patient qui réclame de la papavérine en officine pour DE – expliquer que ce traitement n'est plus disponible en routine, qu'il est supplanté par l'alprostadil IC (EDEX) et par les PDE5 oraux, et qu'il requiert un protocole hospitalier spécialisé.</w:t>
      </w:r>
    </w:p>
    <w:p>
      <w:pPr>
        <w:pStyle w:val="ListBullet"/>
      </w:pPr>
      <w:r>
        <w:t>Piège classique n°2 : La confusion entre la papavérine (alcaloïde isoquinoléique, antispasmodique) et la papavérine + charbon (ACTICARBINE, retirée, indication digestive) – ne pas confondre les indications.</w:t>
      </w:r>
    </w:p>
    <w:p>
      <w:pPr>
        <w:pStyle w:val="ListBullet"/>
      </w:pPr>
      <w:r>
        <w:t>Piège classique n°3 : Le patient sous IMAO ou sous lévodopa (Parkinson) à qui on propose de la papavérine – interactions médicamenteuses à connaître.</w:t>
      </w:r>
    </w:p>
    <w:p>
      <w:pPr>
        <w:pStyle w:val="ListBullet"/>
      </w:pPr>
      <w:r>
        <w:t>Piège classique n°4 : Le risque de fibrose caverneuse à l'usage répété – expliquer l'importance de l'espacement des injections et de la surveillance urologique.</w:t>
      </w:r>
    </w:p>
    <w:p>
      <w:pPr>
        <w:pStyle w:val="ListBullet"/>
      </w:pPr>
      <w:r>
        <w:t>Piège classique n°5 : L'absence de spécialité active en Algérie – ne pas proposer la papavérine comme alternative de routine aux PDE5 oraux ou à l'alprostadil IC.</w:t>
      </w:r>
    </w:p>
    <w:p>
      <w:pPr>
        <w:pStyle w:val="ListBullet"/>
      </w:pPr>
      <w:r>
        <w:t>Règle de prise : Usage strictement hospitalier, protocole urologique, surveillance rapprochée.</w:t>
      </w:r>
    </w:p>
    <w:p>
      <w:pPr>
        <w:pStyle w:val="ListBullet"/>
      </w:pPr>
      <w:r>
        <w:t>Préparation et Conservation : Solution injectable à conserver à température ambiante &lt;25 °C, à l'abri de la lumière. Comprimés à conserver à &lt;25 °C, à l'abri de l'humidité.</w:t>
      </w:r>
    </w:p>
    <w:p>
      <w:pPr>
        <w:pStyle w:val="ListBullet"/>
      </w:pPr>
      <w:r>
        <w:t>Piège du surdosage / Substitution : Risque de priapisme majeur en cas de surdosage IC. Ne jamais associer à un autre traitement de la DE. Ne pas substituer la papavérine par une autre molécule sans avis urologique.</w:t>
      </w:r>
    </w:p>
    <w:p>
      <w:pPr>
        <w:pStyle w:val="Heading2"/>
      </w:pPr>
      <w:r>
        <w:t>Tableau Comparatif Synthétique</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Délai d'action</w:t>
            </w:r>
          </w:p>
        </w:tc>
        <w:tc>
          <w:tcPr>
            <w:tcW w:type="dxa" w:w="1336"/>
          </w:tcPr>
          <w:p>
            <w:r>
              <w:rPr>
                <w:b/>
                <w:sz w:val="20"/>
              </w:rPr>
              <w:t>Durée d'action</w:t>
            </w:r>
          </w:p>
        </w:tc>
        <w:tc>
          <w:tcPr>
            <w:tcW w:type="dxa" w:w="1336"/>
          </w:tcPr>
          <w:p>
            <w:r>
              <w:rPr>
                <w:b/>
                <w:sz w:val="20"/>
              </w:rPr>
              <w:t>Posologie usuelle adulte</w:t>
            </w:r>
          </w:p>
        </w:tc>
        <w:tc>
          <w:tcPr>
            <w:tcW w:type="dxa" w:w="1336"/>
          </w:tcPr>
          <w:p>
            <w:r>
              <w:rPr>
                <w:b/>
                <w:sz w:val="20"/>
              </w:rPr>
              <w:t>EI majeur</w:t>
            </w:r>
          </w:p>
        </w:tc>
        <w:tc>
          <w:tcPr>
            <w:tcW w:type="dxa" w:w="1336"/>
          </w:tcPr>
          <w:p>
            <w:r>
              <w:rPr>
                <w:b/>
                <w:sz w:val="20"/>
              </w:rPr>
              <w:t>Contre-indications majeures</w:t>
            </w:r>
          </w:p>
        </w:tc>
      </w:tr>
      <w:tr>
        <w:tc>
          <w:tcPr>
            <w:tcW w:type="dxa" w:w="1336"/>
          </w:tcPr>
          <w:p>
            <w:r>
              <w:rPr>
                <w:sz w:val="20"/>
              </w:rPr>
              <w:t>**Sildénafil**</w:t>
            </w:r>
          </w:p>
        </w:tc>
        <w:tc>
          <w:tcPr>
            <w:tcW w:type="dxa" w:w="1336"/>
          </w:tcPr>
          <w:p>
            <w:r>
              <w:rPr>
                <w:sz w:val="20"/>
              </w:rPr>
              <w:t>Inhibiteur sélectif PDE5</w:t>
            </w:r>
          </w:p>
        </w:tc>
        <w:tc>
          <w:tcPr>
            <w:tcW w:type="dxa" w:w="1336"/>
          </w:tcPr>
          <w:p>
            <w:r>
              <w:rPr>
                <w:sz w:val="20"/>
              </w:rPr>
              <w:t>30–60 min</w:t>
            </w:r>
          </w:p>
        </w:tc>
        <w:tc>
          <w:tcPr>
            <w:tcW w:type="dxa" w:w="1336"/>
          </w:tcPr>
          <w:p>
            <w:r>
              <w:rPr>
                <w:sz w:val="20"/>
              </w:rPr>
              <w:t>4–6 h</w:t>
            </w:r>
          </w:p>
        </w:tc>
        <w:tc>
          <w:tcPr>
            <w:tcW w:type="dxa" w:w="1336"/>
          </w:tcPr>
          <w:p>
            <w:r>
              <w:rPr>
                <w:sz w:val="20"/>
              </w:rPr>
              <w:t>50 mg PRN (25–100 mg), max 1/24 h, à jeun</w:t>
            </w:r>
          </w:p>
        </w:tc>
        <w:tc>
          <w:tcPr>
            <w:tcW w:type="dxa" w:w="1336"/>
          </w:tcPr>
          <w:p>
            <w:r>
              <w:rPr>
                <w:sz w:val="20"/>
              </w:rPr>
              <w:t>Céphalées, flush, cyanopsie (PDE6), dyspepsie</w:t>
            </w:r>
          </w:p>
        </w:tc>
        <w:tc>
          <w:tcPr>
            <w:tcW w:type="dxa" w:w="1336"/>
          </w:tcPr>
          <w:p>
            <w:r>
              <w:rPr>
                <w:sz w:val="20"/>
              </w:rPr>
              <w:t>**Nitrés (CI absolue mortelle, espacement 24 h)**, α-bloquants, NOIAN, IDM/AVC récent, riociguat</w:t>
            </w:r>
          </w:p>
        </w:tc>
      </w:tr>
      <w:tr>
        <w:tc>
          <w:tcPr>
            <w:tcW w:type="dxa" w:w="1336"/>
          </w:tcPr>
          <w:p>
            <w:r>
              <w:rPr>
                <w:sz w:val="20"/>
              </w:rPr>
              <w:t>**Tadalafil**</w:t>
            </w:r>
          </w:p>
        </w:tc>
        <w:tc>
          <w:tcPr>
            <w:tcW w:type="dxa" w:w="1336"/>
          </w:tcPr>
          <w:p>
            <w:r>
              <w:rPr>
                <w:sz w:val="20"/>
              </w:rPr>
              <w:t>Inhibiteur sélectif PDE5 (longue durée)</w:t>
            </w:r>
          </w:p>
        </w:tc>
        <w:tc>
          <w:tcPr>
            <w:tcW w:type="dxa" w:w="1336"/>
          </w:tcPr>
          <w:p>
            <w:r>
              <w:rPr>
                <w:sz w:val="20"/>
              </w:rPr>
              <w:t>30 min</w:t>
            </w:r>
          </w:p>
        </w:tc>
        <w:tc>
          <w:tcPr>
            <w:tcW w:type="dxa" w:w="1336"/>
          </w:tcPr>
          <w:p>
            <w:r>
              <w:rPr>
                <w:sz w:val="20"/>
              </w:rPr>
              <w:t>Jusqu'à 36 h</w:t>
            </w:r>
          </w:p>
        </w:tc>
        <w:tc>
          <w:tcPr>
            <w:tcW w:type="dxa" w:w="1336"/>
          </w:tcPr>
          <w:p>
            <w:r>
              <w:rPr>
                <w:sz w:val="20"/>
              </w:rPr>
              <w:t>10–20 mg PRN ou 2,5–5 mg/j continu, max 1/24 h (PRN), indépendant repas</w:t>
            </w:r>
          </w:p>
        </w:tc>
        <w:tc>
          <w:tcPr>
            <w:tcW w:type="dxa" w:w="1336"/>
          </w:tcPr>
          <w:p>
            <w:r>
              <w:rPr>
                <w:sz w:val="20"/>
              </w:rPr>
              <w:t>Myalgies, lombalgies (PDE11), céphalées, dyspepsie</w:t>
            </w:r>
          </w:p>
        </w:tc>
        <w:tc>
          <w:tcPr>
            <w:tcW w:type="dxa" w:w="1336"/>
          </w:tcPr>
          <w:p>
            <w:r>
              <w:rPr>
                <w:sz w:val="20"/>
              </w:rPr>
              <w:t>**Nitrés (CI absolue mortelle, espacement 48 h)**, α-bloquants, NOIAN, IDM/AVC récent, riociguat</w:t>
            </w:r>
          </w:p>
        </w:tc>
      </w:tr>
      <w:tr>
        <w:tc>
          <w:tcPr>
            <w:tcW w:type="dxa" w:w="1336"/>
          </w:tcPr>
          <w:p>
            <w:r>
              <w:rPr>
                <w:sz w:val="20"/>
              </w:rPr>
              <w:t>**Vardénafil**</w:t>
            </w:r>
          </w:p>
        </w:tc>
        <w:tc>
          <w:tcPr>
            <w:tcW w:type="dxa" w:w="1336"/>
          </w:tcPr>
          <w:p>
            <w:r>
              <w:rPr>
                <w:sz w:val="20"/>
              </w:rPr>
              <w:t>Inhibiteur sélectif PDE5</w:t>
            </w:r>
          </w:p>
        </w:tc>
        <w:tc>
          <w:tcPr>
            <w:tcW w:type="dxa" w:w="1336"/>
          </w:tcPr>
          <w:p>
            <w:r>
              <w:rPr>
                <w:sz w:val="20"/>
              </w:rPr>
              <w:t>25–60 min</w:t>
            </w:r>
          </w:p>
        </w:tc>
        <w:tc>
          <w:tcPr>
            <w:tcW w:type="dxa" w:w="1336"/>
          </w:tcPr>
          <w:p>
            <w:r>
              <w:rPr>
                <w:sz w:val="20"/>
              </w:rPr>
              <w:t>4–5 h</w:t>
            </w:r>
          </w:p>
        </w:tc>
        <w:tc>
          <w:tcPr>
            <w:tcW w:type="dxa" w:w="1336"/>
          </w:tcPr>
          <w:p>
            <w:r>
              <w:rPr>
                <w:sz w:val="20"/>
              </w:rPr>
              <w:t>10 mg PRN (5–20 mg), max 1/24 h, à jeun</w:t>
            </w:r>
          </w:p>
        </w:tc>
        <w:tc>
          <w:tcPr>
            <w:tcW w:type="dxa" w:w="1336"/>
          </w:tcPr>
          <w:p>
            <w:r>
              <w:rPr>
                <w:sz w:val="20"/>
              </w:rPr>
              <w:t>Céphalées, flush, allongement QT</w:t>
            </w:r>
          </w:p>
        </w:tc>
        <w:tc>
          <w:tcPr>
            <w:tcW w:type="dxa" w:w="1336"/>
          </w:tcPr>
          <w:p>
            <w:r>
              <w:rPr>
                <w:sz w:val="20"/>
              </w:rPr>
              <w:t>**Nitrés (CI absolue mortelle, espacement 24 h)**, α-bloquants, QT long, riociguat</w:t>
            </w:r>
          </w:p>
        </w:tc>
      </w:tr>
      <w:tr>
        <w:tc>
          <w:tcPr>
            <w:tcW w:type="dxa" w:w="1336"/>
          </w:tcPr>
          <w:p>
            <w:r>
              <w:rPr>
                <w:sz w:val="20"/>
              </w:rPr>
              <w:t>**Alprostadil (PGE1)**</w:t>
            </w:r>
          </w:p>
        </w:tc>
        <w:tc>
          <w:tcPr>
            <w:tcW w:type="dxa" w:w="1336"/>
          </w:tcPr>
          <w:p>
            <w:r>
              <w:rPr>
                <w:sz w:val="20"/>
              </w:rPr>
              <w:t>Prostaglandine E1 (voie IC)</w:t>
            </w:r>
          </w:p>
        </w:tc>
        <w:tc>
          <w:tcPr>
            <w:tcW w:type="dxa" w:w="1336"/>
          </w:tcPr>
          <w:p>
            <w:r>
              <w:rPr>
                <w:sz w:val="20"/>
              </w:rPr>
              <w:t>5–20 min</w:t>
            </w:r>
          </w:p>
        </w:tc>
        <w:tc>
          <w:tcPr>
            <w:tcW w:type="dxa" w:w="1336"/>
          </w:tcPr>
          <w:p>
            <w:r>
              <w:rPr>
                <w:sz w:val="20"/>
              </w:rPr>
              <w:t>30–60 min</w:t>
            </w:r>
          </w:p>
        </w:tc>
        <w:tc>
          <w:tcPr>
            <w:tcW w:type="dxa" w:w="1336"/>
          </w:tcPr>
          <w:p>
            <w:r>
              <w:rPr>
                <w:sz w:val="20"/>
              </w:rPr>
              <w:t>5–40 µg/inj IC, max 1/24 h, max 2–3/sem</w:t>
            </w:r>
          </w:p>
        </w:tc>
        <w:tc>
          <w:tcPr>
            <w:tcW w:type="dxa" w:w="1336"/>
          </w:tcPr>
          <w:p>
            <w:r>
              <w:rPr>
                <w:sz w:val="20"/>
              </w:rPr>
              <w:t>Douleur site (33 %), priapisme (1–5 %), fibrose caverneuse</w:t>
            </w:r>
          </w:p>
        </w:tc>
        <w:tc>
          <w:tcPr>
            <w:tcW w:type="dxa" w:w="1336"/>
          </w:tcPr>
          <w:p>
            <w:r>
              <w:rPr>
                <w:sz w:val="20"/>
              </w:rPr>
              <w:t>Priapisme antérieur, Peyronie, fibrose, drépanocytose, anticoagulants non équilibrés</w:t>
            </w:r>
          </w:p>
        </w:tc>
      </w:tr>
      <w:tr>
        <w:tc>
          <w:tcPr>
            <w:tcW w:type="dxa" w:w="1336"/>
          </w:tcPr>
          <w:p>
            <w:r>
              <w:rPr>
                <w:sz w:val="20"/>
              </w:rPr>
              <w:t>**Papavérine**</w:t>
            </w:r>
          </w:p>
        </w:tc>
        <w:tc>
          <w:tcPr>
            <w:tcW w:type="dxa" w:w="1336"/>
          </w:tcPr>
          <w:p>
            <w:r>
              <w:rPr>
                <w:sz w:val="20"/>
              </w:rPr>
              <w:t>Inhibiteur non sélectif PDE (voie IC)</w:t>
            </w:r>
          </w:p>
        </w:tc>
        <w:tc>
          <w:tcPr>
            <w:tcW w:type="dxa" w:w="1336"/>
          </w:tcPr>
          <w:p>
            <w:r>
              <w:rPr>
                <w:sz w:val="20"/>
              </w:rPr>
              <w:t>5–15 min</w:t>
            </w:r>
          </w:p>
        </w:tc>
        <w:tc>
          <w:tcPr>
            <w:tcW w:type="dxa" w:w="1336"/>
          </w:tcPr>
          <w:p>
            <w:r>
              <w:rPr>
                <w:sz w:val="20"/>
              </w:rPr>
              <w:t>30–60 min</w:t>
            </w:r>
          </w:p>
        </w:tc>
        <w:tc>
          <w:tcPr>
            <w:tcW w:type="dxa" w:w="1336"/>
          </w:tcPr>
          <w:p>
            <w:r>
              <w:rPr>
                <w:sz w:val="20"/>
              </w:rPr>
              <w:t>10–60 mg/inj IC, max 1/sem</w:t>
            </w:r>
          </w:p>
        </w:tc>
        <w:tc>
          <w:tcPr>
            <w:tcW w:type="dxa" w:w="1336"/>
          </w:tcPr>
          <w:p>
            <w:r>
              <w:rPr>
                <w:sz w:val="20"/>
              </w:rPr>
              <w:t>Priapisme (5–35 %), fibrose (5–30 %), hépatotoxicité</w:t>
            </w:r>
          </w:p>
        </w:tc>
        <w:tc>
          <w:tcPr>
            <w:tcW w:type="dxa" w:w="1336"/>
          </w:tcPr>
          <w:p>
            <w:r>
              <w:rPr>
                <w:sz w:val="20"/>
              </w:rPr>
              <w:t>Priapisme, fibrose, IMAO, lévodopa, insuffisance hépatique sévère, allaitement</w:t>
            </w:r>
          </w:p>
        </w:tc>
      </w:tr>
    </w:tbl>
    <w:p/>
    <w:p>
      <w:pPr>
        <w:pStyle w:val="Heading2"/>
      </w:pPr>
      <w:r>
        <w:t>Annexe PK/PD – Aspects pharmacocinétiques comparés des inhibiteurs de la PDE5</w:t>
      </w:r>
    </w:p>
    <w:p>
      <w:r>
        <w:t>L'enseignement comparatif des paramètres pharmacocinétiques des trois inhibiteurs de la PDE5 commercialisés en Algérie est essentiel pour la sélection rationnelle de la molécule adaptée au profil de chaque patient. Le tableau ci-dessous synthétise les paramètres clés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Paramètre</w:t>
            </w:r>
          </w:p>
        </w:tc>
        <w:tc>
          <w:tcPr>
            <w:tcW w:type="dxa" w:w="2339"/>
          </w:tcPr>
          <w:p>
            <w:r>
              <w:rPr>
                <w:b/>
                <w:sz w:val="20"/>
              </w:rPr>
              <w:t>Sildénafil</w:t>
            </w:r>
          </w:p>
        </w:tc>
        <w:tc>
          <w:tcPr>
            <w:tcW w:type="dxa" w:w="2339"/>
          </w:tcPr>
          <w:p>
            <w:r>
              <w:rPr>
                <w:b/>
                <w:sz w:val="20"/>
              </w:rPr>
              <w:t>Tadalafil</w:t>
            </w:r>
          </w:p>
        </w:tc>
        <w:tc>
          <w:tcPr>
            <w:tcW w:type="dxa" w:w="2339"/>
          </w:tcPr>
          <w:p>
            <w:r>
              <w:rPr>
                <w:b/>
                <w:sz w:val="20"/>
              </w:rPr>
              <w:t>Vardénafil</w:t>
            </w:r>
          </w:p>
        </w:tc>
      </w:tr>
      <w:tr>
        <w:tc>
          <w:tcPr>
            <w:tcW w:type="dxa" w:w="2339"/>
          </w:tcPr>
          <w:p>
            <w:r>
              <w:rPr>
                <w:sz w:val="20"/>
              </w:rPr>
              <w:t>Biodisponibilité orale</w:t>
            </w:r>
          </w:p>
        </w:tc>
        <w:tc>
          <w:tcPr>
            <w:tcW w:type="dxa" w:w="2339"/>
          </w:tcPr>
          <w:p>
            <w:r>
              <w:rPr>
                <w:sz w:val="20"/>
              </w:rPr>
              <w:t>~40 %</w:t>
            </w:r>
          </w:p>
        </w:tc>
        <w:tc>
          <w:tcPr>
            <w:tcW w:type="dxa" w:w="2339"/>
          </w:tcPr>
          <w:p>
            <w:r>
              <w:rPr>
                <w:sz w:val="20"/>
              </w:rPr>
              <w:t>~81 % (non influencée par repas)</w:t>
            </w:r>
          </w:p>
        </w:tc>
        <w:tc>
          <w:tcPr>
            <w:tcW w:type="dxa" w:w="2339"/>
          </w:tcPr>
          <w:p>
            <w:r>
              <w:rPr>
                <w:sz w:val="20"/>
              </w:rPr>
              <w:t>~15 % (fortement influencée par repas riche en graisses)</w:t>
            </w:r>
          </w:p>
        </w:tc>
      </w:tr>
      <w:tr>
        <w:tc>
          <w:tcPr>
            <w:tcW w:type="dxa" w:w="2339"/>
          </w:tcPr>
          <w:p>
            <w:r>
              <w:rPr>
                <w:sz w:val="20"/>
              </w:rPr>
              <w:t>Tmax</w:t>
            </w:r>
          </w:p>
        </w:tc>
        <w:tc>
          <w:tcPr>
            <w:tcW w:type="dxa" w:w="2339"/>
          </w:tcPr>
          <w:p>
            <w:r>
              <w:rPr>
                <w:sz w:val="20"/>
              </w:rPr>
              <w:t>60 min (30–120)</w:t>
            </w:r>
          </w:p>
        </w:tc>
        <w:tc>
          <w:tcPr>
            <w:tcW w:type="dxa" w:w="2339"/>
          </w:tcPr>
          <w:p>
            <w:r>
              <w:rPr>
                <w:sz w:val="20"/>
              </w:rPr>
              <w:t>120 min (30–180)</w:t>
            </w:r>
          </w:p>
        </w:tc>
        <w:tc>
          <w:tcPr>
            <w:tcW w:type="dxa" w:w="2339"/>
          </w:tcPr>
          <w:p>
            <w:r>
              <w:rPr>
                <w:sz w:val="20"/>
              </w:rPr>
              <w:t>60 min (30–120)</w:t>
            </w:r>
          </w:p>
        </w:tc>
      </w:tr>
      <w:tr>
        <w:tc>
          <w:tcPr>
            <w:tcW w:type="dxa" w:w="2339"/>
          </w:tcPr>
          <w:p>
            <w:r>
              <w:rPr>
                <w:sz w:val="20"/>
              </w:rPr>
              <w:t>Demi-vie d'élimination</w:t>
            </w:r>
          </w:p>
        </w:tc>
        <w:tc>
          <w:tcPr>
            <w:tcW w:type="dxa" w:w="2339"/>
          </w:tcPr>
          <w:p>
            <w:r>
              <w:rPr>
                <w:sz w:val="20"/>
              </w:rPr>
              <w:t>4 h (3–5 h)</w:t>
            </w:r>
          </w:p>
        </w:tc>
        <w:tc>
          <w:tcPr>
            <w:tcW w:type="dxa" w:w="2339"/>
          </w:tcPr>
          <w:p>
            <w:r>
              <w:rPr>
                <w:sz w:val="20"/>
              </w:rPr>
              <w:t>17,5 h (14–22 h)</w:t>
            </w:r>
          </w:p>
        </w:tc>
        <w:tc>
          <w:tcPr>
            <w:tcW w:type="dxa" w:w="2339"/>
          </w:tcPr>
          <w:p>
            <w:r>
              <w:rPr>
                <w:sz w:val="20"/>
              </w:rPr>
              <w:t>4–6 h</w:t>
            </w:r>
          </w:p>
        </w:tc>
      </w:tr>
      <w:tr>
        <w:tc>
          <w:tcPr>
            <w:tcW w:type="dxa" w:w="2339"/>
          </w:tcPr>
          <w:p>
            <w:r>
              <w:rPr>
                <w:sz w:val="20"/>
              </w:rPr>
              <w:t>Cmax (à dose standard)</w:t>
            </w:r>
          </w:p>
        </w:tc>
        <w:tc>
          <w:tcPr>
            <w:tcW w:type="dxa" w:w="2339"/>
          </w:tcPr>
          <w:p>
            <w:r>
              <w:rPr>
                <w:sz w:val="20"/>
              </w:rPr>
              <w:t>560 ng/mL (100 mg)</w:t>
            </w:r>
          </w:p>
        </w:tc>
        <w:tc>
          <w:tcPr>
            <w:tcW w:type="dxa" w:w="2339"/>
          </w:tcPr>
          <w:p>
            <w:r>
              <w:rPr>
                <w:sz w:val="20"/>
              </w:rPr>
              <w:t>378 ng/mL (20 mg)</w:t>
            </w:r>
          </w:p>
        </w:tc>
        <w:tc>
          <w:tcPr>
            <w:tcW w:type="dxa" w:w="2339"/>
          </w:tcPr>
          <w:p>
            <w:r>
              <w:rPr>
                <w:sz w:val="20"/>
              </w:rPr>
              <w:t>18,7 ng/mL (20 mg)</w:t>
            </w:r>
          </w:p>
        </w:tc>
      </w:tr>
      <w:tr>
        <w:tc>
          <w:tcPr>
            <w:tcW w:type="dxa" w:w="2339"/>
          </w:tcPr>
          <w:p>
            <w:r>
              <w:rPr>
                <w:sz w:val="20"/>
              </w:rPr>
              <w:t>Liaison aux protéines</w:t>
            </w:r>
          </w:p>
        </w:tc>
        <w:tc>
          <w:tcPr>
            <w:tcW w:type="dxa" w:w="2339"/>
          </w:tcPr>
          <w:p>
            <w:r>
              <w:rPr>
                <w:sz w:val="20"/>
              </w:rPr>
              <w:t>96 %</w:t>
            </w:r>
          </w:p>
        </w:tc>
        <w:tc>
          <w:tcPr>
            <w:tcW w:type="dxa" w:w="2339"/>
          </w:tcPr>
          <w:p>
            <w:r>
              <w:rPr>
                <w:sz w:val="20"/>
              </w:rPr>
              <w:t>94 %</w:t>
            </w:r>
          </w:p>
        </w:tc>
        <w:tc>
          <w:tcPr>
            <w:tcW w:type="dxa" w:w="2339"/>
          </w:tcPr>
          <w:p>
            <w:r>
              <w:rPr>
                <w:sz w:val="20"/>
              </w:rPr>
              <w:t>95 %</w:t>
            </w:r>
          </w:p>
        </w:tc>
      </w:tr>
      <w:tr>
        <w:tc>
          <w:tcPr>
            <w:tcW w:type="dxa" w:w="2339"/>
          </w:tcPr>
          <w:p>
            <w:r>
              <w:rPr>
                <w:sz w:val="20"/>
              </w:rPr>
              <w:t>Métabolisme</w:t>
            </w:r>
          </w:p>
        </w:tc>
        <w:tc>
          <w:tcPr>
            <w:tcW w:type="dxa" w:w="2339"/>
          </w:tcPr>
          <w:p>
            <w:r>
              <w:rPr>
                <w:sz w:val="20"/>
              </w:rPr>
              <w:t>CYP3A4 (79 %), CYP2C9 (21 %)</w:t>
            </w:r>
          </w:p>
        </w:tc>
        <w:tc>
          <w:tcPr>
            <w:tcW w:type="dxa" w:w="2339"/>
          </w:tcPr>
          <w:p>
            <w:r>
              <w:rPr>
                <w:sz w:val="20"/>
              </w:rPr>
              <w:t>CYP3A4</w:t>
            </w:r>
          </w:p>
        </w:tc>
        <w:tc>
          <w:tcPr>
            <w:tcW w:type="dxa" w:w="2339"/>
          </w:tcPr>
          <w:p>
            <w:r>
              <w:rPr>
                <w:sz w:val="20"/>
              </w:rPr>
              <w:t>CYP3A4</w:t>
            </w:r>
          </w:p>
        </w:tc>
      </w:tr>
      <w:tr>
        <w:tc>
          <w:tcPr>
            <w:tcW w:type="dxa" w:w="2339"/>
          </w:tcPr>
          <w:p>
            <w:r>
              <w:rPr>
                <w:sz w:val="20"/>
              </w:rPr>
              <w:t>Métabolite actif</w:t>
            </w:r>
          </w:p>
        </w:tc>
        <w:tc>
          <w:tcPr>
            <w:tcW w:type="dxa" w:w="2339"/>
          </w:tcPr>
          <w:p>
            <w:r>
              <w:rPr>
                <w:sz w:val="20"/>
              </w:rPr>
              <w:t>N-déméthyl-sildénafil (50 % activité)</w:t>
            </w:r>
          </w:p>
        </w:tc>
        <w:tc>
          <w:tcPr>
            <w:tcW w:type="dxa" w:w="2339"/>
          </w:tcPr>
          <w:p>
            <w:r>
              <w:rPr>
                <w:sz w:val="20"/>
              </w:rPr>
              <w:t>Méthylcatéchol (inactive)</w:t>
            </w:r>
          </w:p>
        </w:tc>
        <w:tc>
          <w:tcPr>
            <w:tcW w:type="dxa" w:w="2339"/>
          </w:tcPr>
          <w:p>
            <w:r>
              <w:rPr>
                <w:sz w:val="20"/>
              </w:rPr>
              <w:t>N-déséthyl-vardénafil (26 % activité)</w:t>
            </w:r>
          </w:p>
        </w:tc>
      </w:tr>
      <w:tr>
        <w:tc>
          <w:tcPr>
            <w:tcW w:type="dxa" w:w="2339"/>
          </w:tcPr>
          <w:p>
            <w:r>
              <w:rPr>
                <w:sz w:val="20"/>
              </w:rPr>
              <w:t>Élimination fécale</w:t>
            </w:r>
          </w:p>
        </w:tc>
        <w:tc>
          <w:tcPr>
            <w:tcW w:type="dxa" w:w="2339"/>
          </w:tcPr>
          <w:p>
            <w:r>
              <w:rPr>
                <w:sz w:val="20"/>
              </w:rPr>
              <w:t>80 %</w:t>
            </w:r>
          </w:p>
        </w:tc>
        <w:tc>
          <w:tcPr>
            <w:tcW w:type="dxa" w:w="2339"/>
          </w:tcPr>
          <w:p>
            <w:r>
              <w:rPr>
                <w:sz w:val="20"/>
              </w:rPr>
              <w:t>61 %</w:t>
            </w:r>
          </w:p>
        </w:tc>
        <w:tc>
          <w:tcPr>
            <w:tcW w:type="dxa" w:w="2339"/>
          </w:tcPr>
          <w:p>
            <w:r>
              <w:rPr>
                <w:sz w:val="20"/>
              </w:rPr>
              <w:t>91–95 %</w:t>
            </w:r>
          </w:p>
        </w:tc>
      </w:tr>
      <w:tr>
        <w:tc>
          <w:tcPr>
            <w:tcW w:type="dxa" w:w="2339"/>
          </w:tcPr>
          <w:p>
            <w:r>
              <w:rPr>
                <w:sz w:val="20"/>
              </w:rPr>
              <w:t>Élimination urinaire</w:t>
            </w:r>
          </w:p>
        </w:tc>
        <w:tc>
          <w:tcPr>
            <w:tcW w:type="dxa" w:w="2339"/>
          </w:tcPr>
          <w:p>
            <w:r>
              <w:rPr>
                <w:sz w:val="20"/>
              </w:rPr>
              <w:t>13 %</w:t>
            </w:r>
          </w:p>
        </w:tc>
        <w:tc>
          <w:tcPr>
            <w:tcW w:type="dxa" w:w="2339"/>
          </w:tcPr>
          <w:p>
            <w:r>
              <w:rPr>
                <w:sz w:val="20"/>
              </w:rPr>
              <w:t>36 %</w:t>
            </w:r>
          </w:p>
        </w:tc>
        <w:tc>
          <w:tcPr>
            <w:tcW w:type="dxa" w:w="2339"/>
          </w:tcPr>
          <w:p>
            <w:r>
              <w:rPr>
                <w:sz w:val="20"/>
              </w:rPr>
              <w:t>2–6 %</w:t>
            </w:r>
          </w:p>
        </w:tc>
      </w:tr>
      <w:tr>
        <w:tc>
          <w:tcPr>
            <w:tcW w:type="dxa" w:w="2339"/>
          </w:tcPr>
          <w:p>
            <w:r>
              <w:rPr>
                <w:sz w:val="20"/>
              </w:rPr>
              <w:t>Influence repas riche en graisses</w:t>
            </w:r>
          </w:p>
        </w:tc>
        <w:tc>
          <w:tcPr>
            <w:tcW w:type="dxa" w:w="2339"/>
          </w:tcPr>
          <w:p>
            <w:r>
              <w:rPr>
                <w:sz w:val="20"/>
              </w:rPr>
              <w:t>Cmax ↓29 %, Tmax retard 60 min</w:t>
            </w:r>
          </w:p>
        </w:tc>
        <w:tc>
          <w:tcPr>
            <w:tcW w:type="dxa" w:w="2339"/>
          </w:tcPr>
          <w:p>
            <w:r>
              <w:rPr>
                <w:sz w:val="20"/>
              </w:rPr>
              <w:t>Aucune</w:t>
            </w:r>
          </w:p>
        </w:tc>
        <w:tc>
          <w:tcPr>
            <w:tcW w:type="dxa" w:w="2339"/>
          </w:tcPr>
          <w:p>
            <w:r>
              <w:rPr>
                <w:sz w:val="20"/>
              </w:rPr>
              <w:t>Cmax ↓50 %, Tmax retard 1 h</w:t>
            </w:r>
          </w:p>
        </w:tc>
      </w:tr>
      <w:tr>
        <w:tc>
          <w:tcPr>
            <w:tcW w:type="dxa" w:w="2339"/>
          </w:tcPr>
          <w:p>
            <w:r>
              <w:rPr>
                <w:sz w:val="20"/>
              </w:rPr>
              <w:t>Délai d'action clinique</w:t>
            </w:r>
          </w:p>
        </w:tc>
        <w:tc>
          <w:tcPr>
            <w:tcW w:type="dxa" w:w="2339"/>
          </w:tcPr>
          <w:p>
            <w:r>
              <w:rPr>
                <w:sz w:val="20"/>
              </w:rPr>
              <w:t>30–60 min</w:t>
            </w:r>
          </w:p>
        </w:tc>
        <w:tc>
          <w:tcPr>
            <w:tcW w:type="dxa" w:w="2339"/>
          </w:tcPr>
          <w:p>
            <w:r>
              <w:rPr>
                <w:sz w:val="20"/>
              </w:rPr>
              <w:t>20–30 min</w:t>
            </w:r>
          </w:p>
        </w:tc>
        <w:tc>
          <w:tcPr>
            <w:tcW w:type="dxa" w:w="2339"/>
          </w:tcPr>
          <w:p>
            <w:r>
              <w:rPr>
                <w:sz w:val="20"/>
              </w:rPr>
              <w:t>25–60 min</w:t>
            </w:r>
          </w:p>
        </w:tc>
      </w:tr>
      <w:tr>
        <w:tc>
          <w:tcPr>
            <w:tcW w:type="dxa" w:w="2339"/>
          </w:tcPr>
          <w:p>
            <w:r>
              <w:rPr>
                <w:sz w:val="20"/>
              </w:rPr>
              <w:t>Durée d'action clinique</w:t>
            </w:r>
          </w:p>
        </w:tc>
        <w:tc>
          <w:tcPr>
            <w:tcW w:type="dxa" w:w="2339"/>
          </w:tcPr>
          <w:p>
            <w:r>
              <w:rPr>
                <w:sz w:val="20"/>
              </w:rPr>
              <w:t>4–6 h</w:t>
            </w:r>
          </w:p>
        </w:tc>
        <w:tc>
          <w:tcPr>
            <w:tcW w:type="dxa" w:w="2339"/>
          </w:tcPr>
          <w:p>
            <w:r>
              <w:rPr>
                <w:sz w:val="20"/>
              </w:rPr>
              <w:t>24–36 h</w:t>
            </w:r>
          </w:p>
        </w:tc>
        <w:tc>
          <w:tcPr>
            <w:tcW w:type="dxa" w:w="2339"/>
          </w:tcPr>
          <w:p>
            <w:r>
              <w:rPr>
                <w:sz w:val="20"/>
              </w:rPr>
              <w:t>4–5 h</w:t>
            </w:r>
          </w:p>
        </w:tc>
      </w:tr>
      <w:tr>
        <w:tc>
          <w:tcPr>
            <w:tcW w:type="dxa" w:w="2339"/>
          </w:tcPr>
          <w:p>
            <w:r>
              <w:rPr>
                <w:sz w:val="20"/>
              </w:rPr>
              <w:t>Sélectivité PDE5/PDE6</w:t>
            </w:r>
          </w:p>
        </w:tc>
        <w:tc>
          <w:tcPr>
            <w:tcW w:type="dxa" w:w="2339"/>
          </w:tcPr>
          <w:p>
            <w:r>
              <w:rPr>
                <w:sz w:val="20"/>
              </w:rPr>
              <w:t>10×</w:t>
            </w:r>
          </w:p>
        </w:tc>
        <w:tc>
          <w:tcPr>
            <w:tcW w:type="dxa" w:w="2339"/>
          </w:tcPr>
          <w:p>
            <w:r>
              <w:rPr>
                <w:sz w:val="20"/>
              </w:rPr>
              <w:t>800× (peu d'effets visuels)</w:t>
            </w:r>
          </w:p>
        </w:tc>
        <w:tc>
          <w:tcPr>
            <w:tcW w:type="dxa" w:w="2339"/>
          </w:tcPr>
          <w:p>
            <w:r>
              <w:rPr>
                <w:sz w:val="20"/>
              </w:rPr>
              <w:t>25× (cyanopsie moins fréquente qu'avec sildénafil)</w:t>
            </w:r>
          </w:p>
        </w:tc>
      </w:tr>
      <w:tr>
        <w:tc>
          <w:tcPr>
            <w:tcW w:type="dxa" w:w="2339"/>
          </w:tcPr>
          <w:p>
            <w:r>
              <w:rPr>
                <w:sz w:val="20"/>
              </w:rPr>
              <w:t>Sélectivité PDE5/PDE11</w:t>
            </w:r>
          </w:p>
        </w:tc>
        <w:tc>
          <w:tcPr>
            <w:tcW w:type="dxa" w:w="2339"/>
          </w:tcPr>
          <w:p>
            <w:r>
              <w:rPr>
                <w:sz w:val="20"/>
              </w:rPr>
              <w:t>1000×</w:t>
            </w:r>
          </w:p>
        </w:tc>
        <w:tc>
          <w:tcPr>
            <w:tcW w:type="dxa" w:w="2339"/>
          </w:tcPr>
          <w:p>
            <w:r>
              <w:rPr>
                <w:sz w:val="20"/>
              </w:rPr>
              <w:t>5× (inhibition PDE11 → myalgies/lombalgies)</w:t>
            </w:r>
          </w:p>
        </w:tc>
        <w:tc>
          <w:tcPr>
            <w:tcW w:type="dxa" w:w="2339"/>
          </w:tcPr>
          <w:p>
            <w:r>
              <w:rPr>
                <w:sz w:val="20"/>
              </w:rPr>
              <w:t>1000×</w:t>
            </w:r>
          </w:p>
        </w:tc>
      </w:tr>
    </w:tbl>
    <w:p/>
    <w:p>
      <w:r/>
      <w:r>
        <w:rPr>
          <w:b/>
        </w:rPr>
        <w:t>Lecture clinique du tableau :</w:t>
      </w:r>
      <w:r/>
    </w:p>
    <w:p>
      <w:pPr>
        <w:pStyle w:val="ListBullet"/>
      </w:pPr>
      <w:r>
        <w:t>Le patient souhaitant une action rapide et brève, planifiée, avec délai d'anticipation court : sildénafil (à jeun) ou vardénafil (à jeun).</w:t>
      </w:r>
    </w:p>
    <w:p>
      <w:pPr>
        <w:pStyle w:val="ListBullet"/>
      </w:pPr>
      <w:r>
        <w:t>Le patient souhaitant une spontanéité sur 24–36 h sans planification stricte (« pilule du week-end ») : tadalafil (10–20 mg PRN).</w:t>
      </w:r>
    </w:p>
    <w:p>
      <w:pPr>
        <w:pStyle w:val="ListBullet"/>
      </w:pPr>
      <w:r>
        <w:t>Le patient souhaitant une imprégnation continue avec spontanéité totale : tadalafil 2,5 ou 5 mg/j (4–5 jours d'imprégnation nécessaires à l'état d'équilibre).</w:t>
      </w:r>
    </w:p>
    <w:p>
      <w:pPr>
        <w:pStyle w:val="ListBullet"/>
      </w:pPr>
      <w:r>
        <w:t>Le patient souffrant de troubles visuels sous sildénafil (cyanopsie) : préférer tadalafil ou vardénafil.</w:t>
      </w:r>
    </w:p>
    <w:p>
      <w:pPr>
        <w:pStyle w:val="ListBullet"/>
      </w:pPr>
      <w:r>
        <w:t>Le patient souffrant de myalgies/lombalgies sous tadalafil : préférer sildénafil ou vardénafil.</w:t>
      </w:r>
    </w:p>
    <w:p>
      <w:pPr>
        <w:pStyle w:val="ListBullet"/>
      </w:pPr>
      <w:r>
        <w:t>Le patient sous α-bloquants pour HBP avec composante DE : tadalafil 5 mg/j (double action urinaire et érectile, surveillance orthostatique).</w:t>
      </w:r>
    </w:p>
    <w:p>
      <w:pPr>
        <w:pStyle w:val="ListBullet"/>
      </w:pPr>
      <w:r>
        <w:t>Le patient coronarien stable non sous nitrés : tout PDE5 est possible après évaluation cardiovasculaire (capacité à 6 METs).</w:t>
      </w:r>
    </w:p>
    <w:p>
      <w:pPr>
        <w:pStyle w:val="ListBullet"/>
      </w:pPr>
      <w:r>
        <w:t>Le patient coronarien sous nitrés au long cours : aucun PDE5 oral n'est possible ; orienter vers alprostadil IC.</w:t>
      </w:r>
    </w:p>
    <w:p>
      <w:pPr>
        <w:pStyle w:val="ListBullet"/>
      </w:pPr>
      <w:r>
        <w:t>Le patient diabétique avec neuropathie avancée, non répondeur aux PDE5 oraux : alprostadil IC en deuxième intention.</w:t>
      </w:r>
    </w:p>
    <w:p>
      <w:pPr>
        <w:pStyle w:val="ListBullet"/>
      </w:pPr>
      <w:r>
        <w:t>Le patient présentant une DE post-prostatectomie radicale (lésion nerveuse) : alprostadil IC souvent nécessaire ; possibilité de rééducation pharmacologique précoce sous protocole urologique.</w:t>
      </w:r>
    </w:p>
    <w:p>
      <w:pPr>
        <w:pStyle w:val="Heading2"/>
      </w:pPr>
      <w:r>
        <w:t>Annexe cardiovasculaire – Évaluation du risque avant prescription d'un PDE5</w:t>
      </w:r>
    </w:p>
    <w:p>
      <w:r>
        <w:t>L'European Association of Urology (EAU) et le Princeton Consensus (3ème conférence de consensus, 2010–2012) proposent une stratification du risque cardiovasculaire avant instauration d'un traitement de la DE :</w:t>
      </w:r>
    </w:p>
    <w:p>
      <w:r/>
      <w:r>
        <w:rPr>
          <w:b/>
        </w:rPr>
        <w:t>Risque faible (PDE5 possible) :</w:t>
      </w:r>
      <w:r/>
    </w:p>
    <w:p>
      <w:pPr>
        <w:pStyle w:val="ListBullet"/>
      </w:pPr>
      <w:r>
        <w:t>Activité physique régulière sans symptôme (capacité ≥6 METs : monter deux étages sans douleur, marcher 5 km/h, rapporter les courses du marché)</w:t>
      </w:r>
    </w:p>
    <w:p>
      <w:pPr>
        <w:pStyle w:val="ListBullet"/>
      </w:pPr>
      <w:r>
        <w:t>HTA contrôlée, diabète équilibré sans complication</w:t>
      </w:r>
    </w:p>
    <w:p>
      <w:pPr>
        <w:pStyle w:val="ListBullet"/>
      </w:pPr>
      <w:r>
        <w:t>IDM &gt;6 semaines, chirurgie coronaire &gt;6 semaines, angioplastie &gt;6 semaines</w:t>
      </w:r>
    </w:p>
    <w:p>
      <w:pPr>
        <w:pStyle w:val="ListBullet"/>
      </w:pPr>
      <w:r>
        <w:t>Angor stable léger (CCS I–II)</w:t>
      </w:r>
    </w:p>
    <w:p>
      <w:pPr>
        <w:pStyle w:val="ListBullet"/>
      </w:pPr>
      <w:r>
        <w:t>Insuffisance cardiaque NYHA I–II stable</w:t>
      </w:r>
    </w:p>
    <w:p>
      <w:r/>
      <w:r>
        <w:rPr>
          <w:b/>
        </w:rPr>
        <w:t>Risque intermédiaire (évaluation cardiovasculaire avant PDE5) :</w:t>
      </w:r>
      <w:r/>
    </w:p>
    <w:p>
      <w:pPr>
        <w:pStyle w:val="ListBullet"/>
      </w:pPr>
      <w:r>
        <w:t>Symptômes atypiques à l'effort</w:t>
      </w:r>
    </w:p>
    <w:p>
      <w:pPr>
        <w:pStyle w:val="ListBullet"/>
      </w:pPr>
      <w:r>
        <w:t>IDM &lt;6 semaines, chirurgie coronaire &lt;6 semaines, angioplastie &lt;6 semaines</w:t>
      </w:r>
    </w:p>
    <w:p>
      <w:pPr>
        <w:pStyle w:val="ListBullet"/>
      </w:pPr>
      <w:r>
        <w:t>Insuffisance cardiaque NYHA III</w:t>
      </w:r>
    </w:p>
    <w:p>
      <w:pPr>
        <w:pStyle w:val="ListBullet"/>
      </w:pPr>
      <w:r>
        <w:t>Angor modéré (CCS III)</w:t>
      </w:r>
    </w:p>
    <w:p>
      <w:pPr>
        <w:pStyle w:val="ListBullet"/>
      </w:pPr>
      <w:r>
        <w:t>Plus de 2 facteurs de risque majeurs (tabac, HTA, dyslipidémie, âge &gt;60 ans, obésité, sédentarité, antécédents familiaux)</w:t>
      </w:r>
    </w:p>
    <w:p>
      <w:pPr>
        <w:pStyle w:val="ListBullet"/>
      </w:pPr>
      <w:r>
        <w:t>AVC &lt;6 mois, AOMI symptomatique</w:t>
      </w:r>
    </w:p>
    <w:p>
      <w:r/>
      <w:r>
        <w:rPr>
          <w:b/>
        </w:rPr>
        <w:t>Risque élevé (PDE5 contre-indiqué, traitement cardiovasculaire prioritaire) :</w:t>
      </w:r>
      <w:r/>
    </w:p>
    <w:p>
      <w:pPr>
        <w:pStyle w:val="ListBullet"/>
      </w:pPr>
      <w:r>
        <w:t>Angor instable ou angor refractaire (CCS IV)</w:t>
      </w:r>
    </w:p>
    <w:p>
      <w:pPr>
        <w:pStyle w:val="ListBullet"/>
      </w:pPr>
      <w:r>
        <w:t>Insuffisance cardiaque NYHA IV</w:t>
      </w:r>
    </w:p>
    <w:p>
      <w:pPr>
        <w:pStyle w:val="ListBullet"/>
      </w:pPr>
      <w:r>
        <w:t>IDM &lt;2 semaines</w:t>
      </w:r>
    </w:p>
    <w:p>
      <w:pPr>
        <w:pStyle w:val="ListBullet"/>
      </w:pPr>
      <w:r>
        <w:t>Troubles du rythme ventriculaire non contrôlés</w:t>
      </w:r>
    </w:p>
    <w:p>
      <w:pPr>
        <w:pStyle w:val="ListBullet"/>
      </w:pPr>
      <w:r>
        <w:t>Hypertension non contrôlée (&gt;170/100)</w:t>
      </w:r>
    </w:p>
    <w:p>
      <w:pPr>
        <w:pStyle w:val="ListBullet"/>
      </w:pPr>
      <w:r>
        <w:t>Hypotension sévère (&lt;90/50)</w:t>
      </w:r>
    </w:p>
    <w:p>
      <w:pPr>
        <w:pStyle w:val="ListBullet"/>
      </w:pPr>
      <w:r>
        <w:t>Myocardiopathie obstructive</w:t>
      </w:r>
    </w:p>
    <w:p>
      <w:pPr>
        <w:pStyle w:val="ListBullet"/>
      </w:pPr>
      <w:r>
        <w:t>Péricardite ou myocardite aiguë</w:t>
      </w:r>
    </w:p>
    <w:p>
      <w:pPr>
        <w:pStyle w:val="ListBullet"/>
      </w:pPr>
      <w:r>
        <w:t>Insuffisance valvulaire sévère</w:t>
      </w:r>
    </w:p>
    <w:p>
      <w:r/>
      <w:r>
        <w:rPr>
          <w:b/>
        </w:rPr>
        <w:t>Le pharmacien doit savoir reconnaître les patients à risque élevé</w:t>
      </w:r>
      <w:r>
        <w:t xml:space="preserve"> : orienter vers le cardiologue ou le médecin traitant avant toute dispensation, ne jamais initier un traitement PDE5 sans ordonnance, et toujours vérifier la stabilité cardiovasculaire du patient.</w:t>
      </w:r>
    </w:p>
    <w:p>
      <w:pPr>
        <w:pStyle w:val="Heading2"/>
      </w:pPr>
      <w:r>
        <w:t>Annexe – Tableau des principales spécialités disponibles en Algérie (récapitulatif)</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Nombre de marques actives</w:t>
            </w:r>
          </w:p>
        </w:tc>
        <w:tc>
          <w:tcPr>
            <w:tcW w:type="dxa" w:w="1871"/>
          </w:tcPr>
          <w:p>
            <w:r>
              <w:rPr>
                <w:b/>
                <w:sz w:val="20"/>
              </w:rPr>
              <w:t>Dosages disponibles</w:t>
            </w:r>
          </w:p>
        </w:tc>
        <w:tc>
          <w:tcPr>
            <w:tcW w:type="dxa" w:w="1871"/>
          </w:tcPr>
          <w:p>
            <w:r>
              <w:rPr>
                <w:b/>
                <w:sz w:val="20"/>
              </w:rPr>
              <w:t>Formes galéniques</w:t>
            </w:r>
          </w:p>
        </w:tc>
        <w:tc>
          <w:tcPr>
            <w:tcW w:type="dxa" w:w="1871"/>
          </w:tcPr>
          <w:p>
            <w:r>
              <w:rPr>
                <w:b/>
                <w:sz w:val="20"/>
              </w:rPr>
              <w:t>Particularités</w:t>
            </w:r>
          </w:p>
        </w:tc>
      </w:tr>
      <w:tr>
        <w:tc>
          <w:tcPr>
            <w:tcW w:type="dxa" w:w="1871"/>
          </w:tcPr>
          <w:p>
            <w:r>
              <w:rPr>
                <w:sz w:val="20"/>
              </w:rPr>
              <w:t>Sildénafil</w:t>
            </w:r>
          </w:p>
        </w:tc>
        <w:tc>
          <w:tcPr>
            <w:tcW w:type="dxa" w:w="1871"/>
          </w:tcPr>
          <w:p>
            <w:r>
              <w:rPr>
                <w:sz w:val="20"/>
              </w:rPr>
              <w:t>20+ marques</w:t>
            </w:r>
          </w:p>
        </w:tc>
        <w:tc>
          <w:tcPr>
            <w:tcW w:type="dxa" w:w="1871"/>
          </w:tcPr>
          <w:p>
            <w:r>
              <w:rPr>
                <w:sz w:val="20"/>
              </w:rPr>
              <w:t>50 mg, 100 mg</w:t>
            </w:r>
          </w:p>
        </w:tc>
        <w:tc>
          <w:tcPr>
            <w:tcW w:type="dxa" w:w="1871"/>
          </w:tcPr>
          <w:p>
            <w:r>
              <w:rPr>
                <w:sz w:val="20"/>
              </w:rPr>
              <w:t>Comprimés pelliculés, enrobés, sécables, orodispersible (SILDAN), microgranule gélule</w:t>
            </w:r>
          </w:p>
        </w:tc>
        <w:tc>
          <w:tcPr>
            <w:tcW w:type="dxa" w:w="1871"/>
          </w:tcPr>
          <w:p>
            <w:r>
              <w:rPr>
                <w:sz w:val="20"/>
              </w:rPr>
              <w:t>1 princeps (Viagra Upjohn-Saidal) + nombreux génériques locaux ; 1 marque retirée (VEGA)</w:t>
            </w:r>
          </w:p>
        </w:tc>
      </w:tr>
      <w:tr>
        <w:tc>
          <w:tcPr>
            <w:tcW w:type="dxa" w:w="1871"/>
          </w:tcPr>
          <w:p>
            <w:r>
              <w:rPr>
                <w:sz w:val="20"/>
              </w:rPr>
              <w:t>Tadalafil</w:t>
            </w:r>
          </w:p>
        </w:tc>
        <w:tc>
          <w:tcPr>
            <w:tcW w:type="dxa" w:w="1871"/>
          </w:tcPr>
          <w:p>
            <w:r>
              <w:rPr>
                <w:sz w:val="20"/>
              </w:rPr>
              <w:t>15+ marques</w:t>
            </w:r>
          </w:p>
        </w:tc>
        <w:tc>
          <w:tcPr>
            <w:tcW w:type="dxa" w:w="1871"/>
          </w:tcPr>
          <w:p>
            <w:r>
              <w:rPr>
                <w:sz w:val="20"/>
              </w:rPr>
              <w:t>20 mg, 5 mg, 2,5 mg</w:t>
            </w:r>
          </w:p>
        </w:tc>
        <w:tc>
          <w:tcPr>
            <w:tcW w:type="dxa" w:w="1871"/>
          </w:tcPr>
          <w:p>
            <w:r>
              <w:rPr>
                <w:sz w:val="20"/>
              </w:rPr>
              <w:t>Comprimés pelliculés, sécables</w:t>
            </w:r>
          </w:p>
        </w:tc>
        <w:tc>
          <w:tcPr>
            <w:tcW w:type="dxa" w:w="1871"/>
          </w:tcPr>
          <w:p>
            <w:r>
              <w:rPr>
                <w:sz w:val="20"/>
              </w:rPr>
              <w:t>Princeps Cialis retiré ; Liste II pour TABLAFIL 20 mg (particularité réglementaire) ; 3 marques retirées (Cialis, EREXYL, ACALYS), 1 non renouvelable (GENTIX)</w:t>
            </w:r>
          </w:p>
        </w:tc>
      </w:tr>
      <w:tr>
        <w:tc>
          <w:tcPr>
            <w:tcW w:type="dxa" w:w="1871"/>
          </w:tcPr>
          <w:p>
            <w:r>
              <w:rPr>
                <w:sz w:val="20"/>
              </w:rPr>
              <w:t>Vardénafil</w:t>
            </w:r>
          </w:p>
        </w:tc>
        <w:tc>
          <w:tcPr>
            <w:tcW w:type="dxa" w:w="1871"/>
          </w:tcPr>
          <w:p>
            <w:r>
              <w:rPr>
                <w:sz w:val="20"/>
              </w:rPr>
              <w:t>1 marque</w:t>
            </w:r>
          </w:p>
        </w:tc>
        <w:tc>
          <w:tcPr>
            <w:tcW w:type="dxa" w:w="1871"/>
          </w:tcPr>
          <w:p>
            <w:r>
              <w:rPr>
                <w:sz w:val="20"/>
              </w:rPr>
              <w:t>10 mg</w:t>
            </w:r>
          </w:p>
        </w:tc>
        <w:tc>
          <w:tcPr>
            <w:tcW w:type="dxa" w:w="1871"/>
          </w:tcPr>
          <w:p>
            <w:r>
              <w:rPr>
                <w:sz w:val="20"/>
              </w:rPr>
              <w:t>Comprimé pelliculé</w:t>
            </w:r>
          </w:p>
        </w:tc>
        <w:tc>
          <w:tcPr>
            <w:tcW w:type="dxa" w:w="1871"/>
          </w:tcPr>
          <w:p>
            <w:r>
              <w:rPr>
                <w:sz w:val="20"/>
              </w:rPr>
              <w:t>1 seule spécialité disponible (LIBIDOX, El Kendi)</w:t>
            </w:r>
          </w:p>
        </w:tc>
      </w:tr>
      <w:tr>
        <w:tc>
          <w:tcPr>
            <w:tcW w:type="dxa" w:w="1871"/>
          </w:tcPr>
          <w:p>
            <w:r>
              <w:rPr>
                <w:sz w:val="20"/>
              </w:rPr>
              <w:t>Alprostadil (PGE1)</w:t>
            </w:r>
          </w:p>
        </w:tc>
        <w:tc>
          <w:tcPr>
            <w:tcW w:type="dxa" w:w="1871"/>
          </w:tcPr>
          <w:p>
            <w:r>
              <w:rPr>
                <w:sz w:val="20"/>
              </w:rPr>
              <w:t>1 marque (2 dosages)</w:t>
            </w:r>
          </w:p>
        </w:tc>
        <w:tc>
          <w:tcPr>
            <w:tcW w:type="dxa" w:w="1871"/>
          </w:tcPr>
          <w:p>
            <w:r>
              <w:rPr>
                <w:sz w:val="20"/>
              </w:rPr>
              <w:t>10 µg/mL, 20 µg/mL</w:t>
            </w:r>
          </w:p>
        </w:tc>
        <w:tc>
          <w:tcPr>
            <w:tcW w:type="dxa" w:w="1871"/>
          </w:tcPr>
          <w:p>
            <w:r>
              <w:rPr>
                <w:sz w:val="20"/>
              </w:rPr>
              <w:t>Poudre + solvant injectable IC, cartouche bi-compartiment</w:t>
            </w:r>
          </w:p>
        </w:tc>
        <w:tc>
          <w:tcPr>
            <w:tcW w:type="dxa" w:w="1871"/>
          </w:tcPr>
          <w:p>
            <w:r>
              <w:rPr>
                <w:sz w:val="20"/>
              </w:rPr>
              <w:t>Spécialité EDEX (Schwarz Pharma) ; voie IC exclusivement</w:t>
            </w:r>
          </w:p>
        </w:tc>
      </w:tr>
      <w:tr>
        <w:tc>
          <w:tcPr>
            <w:tcW w:type="dxa" w:w="1871"/>
          </w:tcPr>
          <w:p>
            <w:r>
              <w:rPr>
                <w:sz w:val="20"/>
              </w:rPr>
              <w:t>Papavérine</w:t>
            </w:r>
          </w:p>
        </w:tc>
        <w:tc>
          <w:tcPr>
            <w:tcW w:type="dxa" w:w="1871"/>
          </w:tcPr>
          <w:p>
            <w:r>
              <w:rPr>
                <w:sz w:val="20"/>
              </w:rPr>
              <w:t>1 marque non renouvelable + 1 retirée</w:t>
            </w:r>
          </w:p>
        </w:tc>
        <w:tc>
          <w:tcPr>
            <w:tcW w:type="dxa" w:w="1871"/>
          </w:tcPr>
          <w:p>
            <w:r>
              <w:rPr>
                <w:sz w:val="20"/>
              </w:rPr>
              <w:t>40 mg/mL (inj), 14 mg+70 mg (cp)</w:t>
            </w:r>
          </w:p>
        </w:tc>
        <w:tc>
          <w:tcPr>
            <w:tcW w:type="dxa" w:w="1871"/>
          </w:tcPr>
          <w:p>
            <w:r>
              <w:rPr>
                <w:sz w:val="20"/>
              </w:rPr>
              <w:t>Solution injectable, comprimé enrobé</w:t>
            </w:r>
          </w:p>
        </w:tc>
        <w:tc>
          <w:tcPr>
            <w:tcW w:type="dxa" w:w="1871"/>
          </w:tcPr>
          <w:p>
            <w:r>
              <w:rPr>
                <w:sz w:val="20"/>
              </w:rPr>
              <w:t>Usage historique IC et antispasmodique digestif ; PAPAVERINE Renaudin (non renouvelable), ACTICARBINE Mag Pharm (retirée)</w:t>
            </w:r>
          </w:p>
        </w:tc>
      </w:tr>
    </w:tbl>
    <w:p/>
    <w:p>
      <w:pPr>
        <w:pStyle w:val="Heading2"/>
      </w:pPr>
      <w:r>
        <w:t>Annexe – Cas cliniques pédagogiques au comptoir</w:t>
      </w:r>
    </w:p>
    <w:p>
      <w:r/>
      <w:r>
        <w:rPr>
          <w:b/>
        </w:rPr>
        <w:t>Cas n°1 : M. A., 62 ans, diabétique type 2 depuis 15 ans, hypertendu, sous metformine, glibenclamide, ramipril, amlodipine.</w:t>
      </w:r>
      <w:r>
        <w:t xml:space="preserve"> Se présente avec une ordonnance de sildénafil 50 mg, prescrite par son médecin traitant pour DE évoluant depuis 6 mois. Le pharmacien vérifie l'ordonnance : pas de dérivé nitré, pas d'α-bloquant, pas d'antiprotéase, pas d'azolé antifongique. Capacité à l'effort évaluée par interrogatoire : le patient marche 30 minutes par jour sans douleur thoracique. Délivrance possible. Information : 1 comprimé 30–60 min avant rapport, à jeun, max 1/24 h, ne jamais associer à un nitré (s'il doit en recevoir un jour, prévenir le médecin de la prise de sildénafil), surveillance des signes d'alerte. Conseil : bilan cardiovasculaire approfondi (ECG, échographie cardiaque), contrôle glycémique, dépistage d'une neuropathie, arrêt du tabac si fumeur. Si inefficacité après 4–6 essais à 100 mg : consultation urologique pour réévaluation et discussion alprostadil IC.</w:t>
      </w:r>
    </w:p>
    <w:p>
      <w:r/>
      <w:r>
        <w:rPr>
          <w:b/>
        </w:rPr>
        <w:t>Cas n°2 : M. B., 70 ans, coronarien, sous aspirine, bisoprolol, atorvastatine, trinitrine sublinguale (NITROLINGUAL®) au besoin, et isosorbide dinitrate (RISORDAN®) 20 mg ×2/j au long cours.</w:t>
      </w:r>
      <w:r>
        <w:t xml:space="preserve"> Se présente avec une ordonnance de tadalafil 5 mg/j pour HBP symptomatique avec composante DE. Le pharmacien </w:t>
      </w:r>
      <w:r>
        <w:rPr>
          <w:b/>
        </w:rPr>
        <w:t>ne doit surtout pas délivrer</w:t>
      </w:r>
      <w:r>
        <w:t xml:space="preserve"> : le tadalafil est CI absolue avec les dérivés nitrés, en raison de la longue demi-vie (17,5 h) qui expose à un risque d'hypotension mortelle même 48 h après la prise. Le pharmacien contacte le prescripteur (médecin traitant ou urologue) pour signaler l'interaction et proposer une alternative : (a) arrêt des nitrés et switch vers inhibiteur calcique ou autre antiangoreux si l'angor le permet, sous surveillance cardiologique, (b) orientation vers alprostadil IC qui ne présente pas d'interaction avec les nitrés, (c) traitement de la HBP par α-bloquant ou dutastéride (sans PDE5). Le pharmacien doit clairement expliquer au patient le risque vital de l'association.</w:t>
      </w:r>
    </w:p>
    <w:p>
      <w:r/>
      <w:r>
        <w:rPr>
          <w:b/>
        </w:rPr>
        <w:t>Cas n°3 : M. C., 45 ans, sans antécédent, se présente spontanément pour demander du « Viagra ».</w:t>
      </w:r>
      <w:r>
        <w:t xml:space="preserve"> Le pharmacien d'officine ne peut pas délivrer sans ordonnance (Liste I en Algérie). Il doit orienter le patient vers un médecin (généraliste, urologue, sexologue) pour un bilan étiologique initial : interrogatoire (durée, contexte, partenaire, libidinal), examen clinique (TA, palpation testiculaire, examen prostatique si &gt;50 ans, recherche de souffles vasculaires), bilan biologique (glycémie à jeun, HbA1c, lipidogramme, testosterone totale, PSA si &gt;50 ans). Le pharmacien peut informer le patient sur les options thérapeutiques disponibles (PDE5 oraux, alprostadil IC, pompe à vide, implants péniens, psychothérapie sexologique si composante psychogène) et sur les signes d'alerte. Il doit également alerter sur les risques de l'automédication par produits achetés sur internet (contrefaçon, analogues non contrôlés, interactions médicamenteuses).</w:t>
      </w:r>
    </w:p>
    <w:p>
      <w:r/>
      <w:r>
        <w:rPr>
          <w:b/>
        </w:rPr>
        <w:t>Cas n°4 : M. D., 55 ans, sous tadalafil 5 mg/j continu depuis 3 semaines pour DE, se présente au comptoir pour des lombalgies bilatérales et des myalgies diffuses apparues depuis 10 jours.</w:t>
      </w:r>
      <w:r>
        <w:t xml:space="preserve"> Le pharmacien doit évoquer l'effet indésirable classique du tadalafil (inhibition PDE11 musculaire), rassurer le patient sur le caractère bénin et transitoire, proposer un antalgique simple (paracétamol 1 g ×3/j), et conseiller la consultation médicale pour adapter le traitement (réduction à 2,5 mg/j, switch vers sildénafil ou vardénafil en cas de mauvaise tolérance, ou arrêt temporaire). Ne pas confondre avec une pathologie rénale (bilan sanguin : créatinine, urée, CRP si suspicion) ou disco-radiculaire (examen neurologique si signes).</w:t>
      </w:r>
    </w:p>
    <w:p>
      <w:r/>
      <w:r>
        <w:rPr>
          <w:b/>
        </w:rPr>
        <w:t>Cas n°5 : M. E., 67 ans, sous alprostadil IC (EDEX 20 µg/mL) depuis 6 mois pour DE post-prostatectomie radicale.</w:t>
      </w:r>
      <w:r>
        <w:t xml:space="preserve"> Se présente pour renouvellement et signale une « boule dure » à la base du pénis à droite, apparue depuis 3 semaines, avec discrète déviation pénienne à l'érection. Le pharmacien doit </w:t>
      </w:r>
      <w:r>
        <w:rPr>
          <w:b/>
        </w:rPr>
        <w:t>orienter en urgence vers l'urologue</w:t>
      </w:r>
      <w:r>
        <w:t xml:space="preserve"> : suspicion de fibrose caverneuse induite par les injections répétées d'alprostadil. Arrêt transitoire du traitement en attendant l'avis spécialisé. Le pharmacien doit également vérifier la technique d'injection (alternance des sites, respect des angles), la fréquence (max 1/24 h et 2–3/semaine), la dose (max 40 µg/inj), et la surveillance systématique mensuelle (auto-palpation, consultation urologique trimestrielle). Rassurer le patient : la fibrose peut régresser à l'arrêt de l'alprostadil, mais peut nécessiter un switch thérapeutique.</w:t>
      </w:r>
    </w:p>
    <w:p>
      <w:pPr>
        <w:pStyle w:val="Heading2"/>
      </w:pPr>
      <w:r>
        <w:t>Synthèse pédagogique – Messages clés pour l'étudiant en pharmacie</w:t>
      </w:r>
    </w:p>
    <w:p>
      <w:pPr>
        <w:pStyle w:val="ListNumber"/>
      </w:pPr>
      <w:r/>
      <w:r>
        <w:rPr>
          <w:b/>
        </w:rPr>
        <w:t>La DE n'est pas qu'un trouble mécanique</w:t>
      </w:r>
      <w:r>
        <w:t xml:space="preserve"> : symptôme sentinelle cardiovasculaire et métabolique, elle justifie toujours un bilan étiologique (HTA, diabète, dyslipidémie, tabac, dépression, hypogonadisme, prostate).</w:t>
      </w:r>
    </w:p>
    <w:p>
      <w:pPr>
        <w:pStyle w:val="ListNumber"/>
      </w:pPr>
      <w:r/>
      <w:r>
        <w:rPr>
          <w:b/>
        </w:rPr>
        <w:t>La voie NO-sGC-GMPc est la cible des PDE5</w:t>
      </w:r>
      <w:r>
        <w:t xml:space="preserve"> : comprendre cette cascade est essentiel pour expliquer au patient la nécessité d'une stimulation sexuelle préalable (le NO est libéré en réponse à la stimulation) et l'absence d'effet aphrodisiaque.</w:t>
      </w:r>
    </w:p>
    <w:p>
      <w:pPr>
        <w:pStyle w:val="ListNumber"/>
      </w:pPr>
      <w:r/>
      <w:r>
        <w:rPr>
          <w:b/>
        </w:rPr>
        <w:t>L'interaction PDE5 + nitrés = CI ABSOLUE MORTELLE</w:t>
      </w:r>
      <w:r>
        <w:t xml:space="preserve"> : le message n°1 à retenir et à transmettre. Espacement minimum 24 h après sildénafil/vardénafil, 48 h après tadalafil (en raison de la longue demi-vie). En cas de douleur thoracique post-PDE5 : jamais de trinitrine, recours SAMU en précisant la molécule et le délai.</w:t>
      </w:r>
    </w:p>
    <w:p>
      <w:pPr>
        <w:pStyle w:val="ListNumber"/>
      </w:pPr>
      <w:r/>
      <w:r>
        <w:rPr>
          <w:b/>
        </w:rPr>
        <w:t>Le tadalafil se distingue par sa longue demi-vie (17,5 h)</w:t>
      </w:r>
      <w:r>
        <w:t xml:space="preserve"> : autorise la « fenêtre de 36 h » et un schéma continu à 2,5/5 mg/j, particulièrement utile pour la spontanéité et la HBP associée. Le contre-pied : espacement 48 h avec les nitrés, et incidence plus élevée de myalgies/lombalgies (PDE11).</w:t>
      </w:r>
    </w:p>
    <w:p>
      <w:pPr>
        <w:pStyle w:val="ListNumber"/>
      </w:pPr>
      <w:r/>
      <w:r>
        <w:rPr>
          <w:b/>
        </w:rPr>
        <w:t>L'alprostadil IC est l'alternative de référence en 2ème intention</w:t>
      </w:r>
      <w:r>
        <w:t xml:space="preserve"> : efficace indépendamment de la voie NO (utile dans les neuropathies sévères et les contre-indications aux PDE5). Formation technique obligatoire, surveillance du priapisme (&gt;2 h = urgence), surveillance de la fibrose (alternance des sites).</w:t>
      </w:r>
    </w:p>
    <w:p>
      <w:pPr>
        <w:pStyle w:val="ListNumber"/>
      </w:pPr>
      <w:r/>
      <w:r>
        <w:rPr>
          <w:b/>
        </w:rPr>
        <w:t>La papavérine est historique</w:t>
      </w:r>
      <w:r>
        <w:t xml:space="preserve"> : encore mentionnée pour sa valeur pédagogique et son usage hospitalier résiduel, mais supplantée par les PDE5 oraux et l'alprostadil IC en raison de son profil de tolérance (fibrose, priapisme).</w:t>
      </w:r>
    </w:p>
    <w:p>
      <w:pPr>
        <w:pStyle w:val="ListNumber"/>
      </w:pPr>
      <w:r/>
      <w:r>
        <w:rPr>
          <w:b/>
        </w:rPr>
        <w:t>L'interrogatoire pharmaceutique systématique</w:t>
      </w:r>
      <w:r>
        <w:t xml:space="preserve"> avant dispensation d'un PDE5 : nitrés (trinitrine, Risordan, Corodral, Minitran, Pentacard, Nitrédose, Nicoran, Trinipatch), α-bloquants (alfuzosine, tamsulosine, doxazosine), antiprotéases, azolés antifongiques, macrolides, jus de pamplemousse, anticoagulants (pour alprostadil), capacité à l'effort (6 METs).</w:t>
      </w:r>
    </w:p>
    <w:p>
      <w:pPr>
        <w:pStyle w:val="ListNumber"/>
      </w:pPr>
      <w:r/>
      <w:r>
        <w:rPr>
          <w:b/>
        </w:rPr>
        <w:t>Les signes d'alerte à transmettre au patient</w:t>
      </w:r>
      <w:r>
        <w:t xml:space="preserve"> : priapisme &gt;4 h (ou &gt;2 h sous alprostadil/papavérine), douleur thoracique, trouble visuel brutal (NOIAN), surdité brutale, syncope, hypotension symptomatique.</w:t>
      </w:r>
    </w:p>
    <w:p>
      <w:pPr>
        <w:pStyle w:val="ListNumber"/>
      </w:pPr>
      <w:r/>
      <w:r>
        <w:rPr>
          <w:b/>
        </w:rPr>
        <w:t>La diversité galénique algérienne</w:t>
      </w:r>
      <w:r>
        <w:t xml:space="preserve"> : plus de 20 marques de sildénafil, plus de 15 marques de tadalafil, 1 seule de vardénafil (LIBIDOX), 1 d'alprostadil IC (EDEX). Permet une couverture économique large, mais impose une vigilance sur la traçabilité et le risque de contrefaçon sur le marché parallèle.</w:t>
      </w:r>
    </w:p>
    <w:p>
      <w:pPr>
        <w:pStyle w:val="ListNumber"/>
      </w:pPr>
      <w:r/>
      <w:r>
        <w:rPr>
          <w:b/>
        </w:rPr>
        <w:t>Le pharmacien d'officine est en première ligne</w:t>
      </w:r>
      <w:r>
        <w:t xml:space="preserve"> : la DE est souvent l'entrée dans le parcours de soins, et la dispensation d'un PDE5 doit s'accompagner d'une éducation thérapeutique globale (bilan cardiovasculaire, dépistage du diabète, sevrage tabagique, prise en charge psychologique si besoin). Le pharmacien doit savoir orienter vers le médecin urologue, cardiologue ou sexologue en cas d'échec, d'effets indésirables ou de signes d'alerte.</w:t>
      </w:r>
    </w:p>
    <w:p>
      <w:pPr>
        <w:pStyle w:val="ListNumber"/>
      </w:pPr>
      <w:r/>
      <w:r>
        <w:rPr>
          <w:b/>
        </w:rPr>
        <w:t>La spécificité algérienne</w:t>
      </w:r>
      <w:r>
        <w:t xml:space="preserve"> : marché dominé par les génériques locaux (Saidal, El Kendi, Biopharm, Sophal, Novapharm, Beker, etc.) ; princeps Viagra (Upjohn-Saidal) et Cialis (Eli Lilly) retirés ; place importante de l'alprostadil IC (EDEX Schwarz Pharma) en alternative de deuxième intention ; papavérine quasi-disparue du marché officinal. Le pharmacien doit maîtriser l'offre locale pour assurer une dispensation de qualité et un conseil éclairé.</w:t>
      </w:r>
    </w:p>
    <w:p>
      <w:pPr>
        <w:pStyle w:val="ListNumber"/>
      </w:pPr>
      <w:r/>
      <w:r>
        <w:rPr>
          <w:b/>
        </w:rPr>
        <w:t>La dimension psychogène</w:t>
      </w:r>
      <w:r>
        <w:t xml:space="preserve"> : ne jamais sous-estimer la composante psychologique de la DE, présente dans 30–40 % des cas (isolée ou associée à une composante organique). Le pharmacien doit savoir orienter vers un sexologue clinicien ou un psychothérapeute, et ne pas réduire la DE à un problème purement mécanique. La simple prescription d'un PDE5 sans accompagnement psychologique peut être inefficace, voire iatrogène (échec thérapeutique majorant l'anxiété de performance).</w:t>
      </w:r>
    </w:p>
    <w:p>
      <w:r/>
      <w:r>
        <w:rPr>
          <w:i/>
        </w:rPr>
        <w:t>Sources consultées : VIDAL 2025, ANSM (Résumé des Caractéristiques du Produit), Thériaque, CRAT (Centre de Renseignement sur les Agents Tératogènes), EAU Guidelines on Sexual and Reproductive Health 2024, Princeton Consensus (3ème conférence, 2010–2012), UpToDate (Dysfonction érectile), Nomenclature algérienne des médicaments Avril 2026 (COMPLETE LISTE).</w:t>
      </w:r>
      <w:r/>
    </w:p>
    <w:p>
      <w:pPr>
        <w:pStyle w:val="Heading1"/>
      </w:pPr>
      <w:r>
        <w:t>Chapitre 73 — Incontinence urinaire et troubles vésicaux</w:t>
      </w:r>
    </w:p>
    <w:p>
      <w:pPr>
        <w:pStyle w:val="Heading2"/>
      </w:pPr>
      <w:r>
        <w:t>Fascicule VIII — Urologie</w:t>
      </w:r>
    </w:p>
    <w:p>
      <w:pPr>
        <w:pStyle w:val="Heading2"/>
      </w:pPr>
      <w:r>
        <w:t>Sommaire du chapitre</w:t>
      </w:r>
    </w:p>
    <w:p>
      <w:pPr>
        <w:pStyle w:val="ListNumber"/>
      </w:pPr>
      <w:r>
        <w:t>Introduction générale : physiologie vésicale et pharmacologie mictionnelle</w:t>
      </w:r>
    </w:p>
    <w:p>
      <w:pPr>
        <w:pStyle w:val="ListNumber"/>
      </w:pPr>
      <w:r>
        <w:t>Sous-classe 1 — Incontinence urinaire par hyperactivité vésicale : Anticholinergiques muscariniques M3 (Oxybutynine, Solifénacine)</w:t>
      </w:r>
    </w:p>
    <w:p>
      <w:pPr>
        <w:pStyle w:val="ListNumber"/>
      </w:pPr>
      <w:r>
        <w:t>Sous-classe 2 — Incontinence urinaire d'effort féminine : Inhibiteurs de la recapture de la sérotonine et de la noradrénaline (Duloxétine)</w:t>
      </w:r>
    </w:p>
    <w:p>
      <w:pPr>
        <w:pStyle w:val="ListNumber"/>
      </w:pPr>
      <w:r>
        <w:t>Sous-classe 3 — Antiseptiques urinaires — Hydroxyquinoléines (Nitroxoline)</w:t>
      </w:r>
    </w:p>
    <w:p>
      <w:pPr>
        <w:pStyle w:val="ListNumber"/>
      </w:pPr>
      <w:r>
        <w:t>Sous-classe 4 — Lithiase urinaire — Alcalinisants urinaires (Bicarbonate de sodium)</w:t>
      </w:r>
    </w:p>
    <w:p>
      <w:pPr>
        <w:pStyle w:val="ListNumber"/>
      </w:pPr>
      <w:r>
        <w:t>Fiches DCI complètes</w:t>
      </w:r>
    </w:p>
    <w:p>
      <w:pPr>
        <w:pStyle w:val="ListBullet"/>
      </w:pPr>
      <w:r>
        <w:t>73.1 Oxybutynine</w:t>
      </w:r>
    </w:p>
    <w:p>
      <w:pPr>
        <w:pStyle w:val="ListBullet"/>
      </w:pPr>
      <w:r>
        <w:t>73.2 Solifénacine</w:t>
      </w:r>
    </w:p>
    <w:p>
      <w:pPr>
        <w:pStyle w:val="ListBullet"/>
      </w:pPr>
      <w:r>
        <w:t>73.3 Duloxétine</w:t>
      </w:r>
    </w:p>
    <w:p>
      <w:pPr>
        <w:pStyle w:val="ListBullet"/>
      </w:pPr>
      <w:r>
        <w:t>73.4 Nitroxoline</w:t>
      </w:r>
    </w:p>
    <w:p>
      <w:pPr>
        <w:pStyle w:val="ListBullet"/>
      </w:pPr>
      <w:r>
        <w:t>73.5 Bicarbonate de sodium (lithiase urinaire)</w:t>
      </w:r>
    </w:p>
    <w:p>
      <w:pPr>
        <w:pStyle w:val="ListNumber"/>
      </w:pPr>
      <w:r>
        <w:t>Tableau comparatif des cinq DCI</w:t>
      </w:r>
    </w:p>
    <w:p>
      <w:pPr>
        <w:pStyle w:val="ListNumber"/>
      </w:pPr>
      <w:r>
        <w:t>Règles d'or et pièges majeurs au comptoir</w:t>
      </w:r>
    </w:p>
    <w:p>
      <w:pPr>
        <w:pStyle w:val="ListNumber"/>
      </w:pPr>
      <w:r>
        <w:t>Conclusion du chapitre et continuité avec les chapitres 71 (HBP) et 72 (Dysfonction érectile)</w:t>
      </w:r>
    </w:p>
    <w:p>
      <w:pPr>
        <w:pStyle w:val="Heading2"/>
      </w:pPr>
      <w:r>
        <w:t>1. Introduction générale : physiologie vésicale et pharmacologie mictionnelle</w:t>
      </w:r>
    </w:p>
    <w:p>
      <w:r>
        <w:t xml:space="preserve">La vessie est un organe creux dont la paroi est constituée d'une couche de muscle lisse — le </w:t>
      </w:r>
      <w:r>
        <w:rPr>
          <w:b/>
        </w:rPr>
        <w:t>détrusor</w:t>
      </w:r>
      <w:r>
        <w:t xml:space="preserve"> — dont la fonction est double : assurer une </w:t>
      </w:r>
      <w:r>
        <w:rPr>
          <w:b/>
        </w:rPr>
        <w:t>capacité de stockage</w:t>
      </w:r>
      <w:r>
        <w:t xml:space="preserve"> adaptée à basse pression pendant la phase de remplissage, puis délivrer une </w:t>
      </w:r>
      <w:r>
        <w:rPr>
          <w:b/>
        </w:rPr>
        <w:t>contraction efficace</w:t>
      </w:r>
      <w:r>
        <w:t xml:space="preserve"> pendant la phase de miction pour expulser les urines par l'urètre. Cet équilibre entre stockage et vidange dépend d'une orchestration neurologique complexe mettant en jeu les systèmes nerveux </w:t>
      </w:r>
      <w:r>
        <w:rPr>
          <w:b/>
        </w:rPr>
        <w:t>parasympathique (S2–S4, nerf pelvien)</w:t>
      </w:r>
      <w:r>
        <w:t xml:space="preserve">, </w:t>
      </w:r>
      <w:r>
        <w:rPr>
          <w:b/>
        </w:rPr>
        <w:t>sympathique (T10–L2, nerf hypogastrique)</w:t>
      </w:r>
      <w:r>
        <w:t xml:space="preserve"> et </w:t>
      </w:r>
      <w:r>
        <w:rPr>
          <w:b/>
        </w:rPr>
        <w:t>somatique (S2–S4, nerf pudendal)</w:t>
      </w:r>
      <w:r>
        <w:t>.</w:t>
      </w:r>
    </w:p>
    <w:p>
      <w:r>
        <w:t xml:space="preserve">Pendant la </w:t>
      </w:r>
      <w:r>
        <w:rPr>
          <w:b/>
        </w:rPr>
        <w:t>phase de remplissage</w:t>
      </w:r>
      <w:r>
        <w:t xml:space="preserve">, le système sympathique prédomine : la noradrénaline libérée au niveau des récepteurs </w:t>
      </w:r>
      <w:r>
        <w:rPr>
          <w:b/>
        </w:rPr>
        <w:t>β3-adrénergiques</w:t>
      </w:r>
      <w:r>
        <w:t xml:space="preserve"> du détrusor induit une relaxation via la voie </w:t>
      </w:r>
      <w:r>
        <w:rPr>
          <w:b/>
        </w:rPr>
        <w:t>Gs/AMPc/PKA</w:t>
      </w:r>
      <w:r>
        <w:t xml:space="preserve"> qui inhibe la myosine-light-chain-kinase (MLCK), tandis que l'activation des récepteurs </w:t>
      </w:r>
      <w:r>
        <w:rPr>
          <w:b/>
        </w:rPr>
        <w:t>α1-adrénergiques</w:t>
      </w:r>
      <w:r>
        <w:t xml:space="preserve"> du col vésical et de l'urètre proximal assure le maintien du tonus sphinctérien (via </w:t>
      </w:r>
      <w:r>
        <w:rPr>
          <w:b/>
        </w:rPr>
        <w:t>Gq/PLC/IP3/Ca2+/MLCK</w:t>
      </w:r>
      <w:r>
        <w:t xml:space="preserve">). Simultanément, les afférences sensitives parasympathiques sont inhibées centralement par des voies inhibitrices pontiques (centre pontique de la miction, </w:t>
      </w:r>
      <w:r>
        <w:rPr>
          <w:b/>
        </w:rPr>
        <w:t>zone M</w:t>
      </w:r>
      <w:r>
        <w:t xml:space="preserve"> de Barrington), et la </w:t>
      </w:r>
      <w:r>
        <w:rPr>
          <w:b/>
        </w:rPr>
        <w:t>sérotonine (5-HT)</w:t>
      </w:r>
      <w:r>
        <w:t xml:space="preserve"> et la </w:t>
      </w:r>
      <w:r>
        <w:rPr>
          <w:b/>
        </w:rPr>
        <w:t>noradrénaline (NA)</w:t>
      </w:r>
      <w:r>
        <w:t xml:space="preserve"> descendantes bulbospinales renforcent le tonus sphinctérien urétral strié via les motoneurones du noyau d'Onuf (S2–S4).</w:t>
      </w:r>
    </w:p>
    <w:p>
      <w:r>
        <w:t xml:space="preserve">Pendant la </w:t>
      </w:r>
      <w:r>
        <w:rPr>
          <w:b/>
        </w:rPr>
        <w:t>phase de miction</w:t>
      </w:r>
      <w:r>
        <w:t xml:space="preserve">, le centre pontique de la miction lève l'inhibition sympathique et déclenche une contraction parasympathique soutenue du détrusor : l'acétylcholine libérée par les fibres pré-ganglionnaires active les récepteurs </w:t>
      </w:r>
      <w:r>
        <w:rPr>
          <w:b/>
        </w:rPr>
        <w:t>nicotiniques (NN)</w:t>
      </w:r>
      <w:r>
        <w:t xml:space="preserve"> ganglionnaires, puis l'acétylcholine post-ganglionnaire se fixe sur les récepteurs </w:t>
      </w:r>
      <w:r>
        <w:rPr>
          <w:b/>
        </w:rPr>
        <w:t>muscariniques M3</w:t>
      </w:r>
      <w:r>
        <w:t xml:space="preserve"> du détrusor — récepteurs couplés à la protéine </w:t>
      </w:r>
      <w:r>
        <w:rPr>
          <w:b/>
        </w:rPr>
        <w:t>Gq/11</w:t>
      </w:r>
      <w:r>
        <w:t xml:space="preserve"> qui stimulent la </w:t>
      </w:r>
      <w:r>
        <w:rPr>
          <w:b/>
        </w:rPr>
        <w:t>phospholipase C (PLC)</w:t>
      </w:r>
      <w:r>
        <w:t xml:space="preserve">, hydrolysent le PIP2 en </w:t>
      </w:r>
      <w:r>
        <w:rPr>
          <w:b/>
        </w:rPr>
        <w:t>IP3 + DAG</w:t>
      </w:r>
      <w:r>
        <w:t xml:space="preserve">, libèrent le </w:t>
      </w:r>
      <w:r>
        <w:rPr>
          <w:b/>
        </w:rPr>
        <w:t>Ca2+ intracellulaire</w:t>
      </w:r>
      <w:r>
        <w:t xml:space="preserve"> du réticulum sarcoplasmique, activent la </w:t>
      </w:r>
      <w:r>
        <w:rPr>
          <w:b/>
        </w:rPr>
        <w:t>calmoduline</w:t>
      </w:r>
      <w:r>
        <w:t xml:space="preserve"> et la </w:t>
      </w:r>
      <w:r>
        <w:rPr>
          <w:b/>
        </w:rPr>
        <w:t>MLCK</w:t>
      </w:r>
      <w:r>
        <w:t xml:space="preserve">, lesquelles phosphorylent les chaînes légères de la myosine (MLC) et déclenchent la contraction. Les récepteurs </w:t>
      </w:r>
      <w:r>
        <w:rPr>
          <w:b/>
        </w:rPr>
        <w:t>M2</w:t>
      </w:r>
      <w:r>
        <w:t xml:space="preserve"> (minoritaires en termes de message contractile mais plus nombreux en densité) modulent négativement l'AMPc via </w:t>
      </w:r>
      <w:r>
        <w:rPr>
          <w:b/>
        </w:rPr>
        <w:t>Gi</w:t>
      </w:r>
      <w:r>
        <w:t>, potentialisant l'effet M3.</w:t>
      </w:r>
    </w:p>
    <w:p>
      <w:r>
        <w:t xml:space="preserve">Cette physiologie permet de comprendre les </w:t>
      </w:r>
      <w:r>
        <w:rPr>
          <w:b/>
        </w:rPr>
        <w:t>trois grands tableaux cliniques</w:t>
      </w:r>
      <w:r>
        <w:t xml:space="preserve"> d'incontinence urinaire (IU) :</w:t>
      </w:r>
    </w:p>
    <w:p>
      <w:pPr>
        <w:pStyle w:val="ListBullet"/>
      </w:pPr>
      <w:r/>
      <w:r>
        <w:rPr>
          <w:b/>
        </w:rPr>
        <w:t>Hyperactivité vésicale (HAV) / incontinence par urgenturie</w:t>
      </w:r>
      <w:r>
        <w:t xml:space="preserve"> : contractions détrusoriennes involontaires pendant le remplissage (hyperréflexie ou instabilité du détrusor), responsables d'urgenturie, de pollakiurie diurne et nocturne, et de fuites par impériosité. Le traitement pharmacologique cible les </w:t>
      </w:r>
      <w:r>
        <w:rPr>
          <w:b/>
        </w:rPr>
        <w:t>récepteurs M3</w:t>
      </w:r>
      <w:r>
        <w:t xml:space="preserve"> (anticholinergiques) ou, plus récemment, les </w:t>
      </w:r>
      <w:r>
        <w:rPr>
          <w:b/>
        </w:rPr>
        <w:t>β3-agonistes</w:t>
      </w:r>
      <w:r>
        <w:t xml:space="preserve"> (mirabégron, non disponible en Algérie à l'heure actuelle).</w:t>
      </w:r>
    </w:p>
    <w:p>
      <w:pPr>
        <w:pStyle w:val="ListBullet"/>
      </w:pPr>
      <w:r/>
      <w:r>
        <w:rPr>
          <w:b/>
        </w:rPr>
        <w:t>Incontinence urinaire d'effort (IUE) féminine</w:t>
      </w:r>
      <w:r>
        <w:t xml:space="preserve"> : hypoconduite sphinctérienne et périnéale responsable de fuites à l'effort (toux, éternuement, port de charges). Le traitement pharmacologique repose sur la </w:t>
      </w:r>
      <w:r>
        <w:rPr>
          <w:b/>
        </w:rPr>
        <w:t>duloxétine</w:t>
      </w:r>
      <w:r>
        <w:t xml:space="preserve"> (IRSN qui augmente le tonus sphinctérien via 5-HT/NA bulbospinales), en complément de la rééducation périnéale et de la chirurgie (bandelettes sous-urétrales).</w:t>
      </w:r>
    </w:p>
    <w:p>
      <w:pPr>
        <w:pStyle w:val="ListBullet"/>
      </w:pPr>
      <w:r/>
      <w:r>
        <w:rPr>
          <w:b/>
        </w:rPr>
        <w:t>Incontinence mixte</w:t>
      </w:r>
      <w:r>
        <w:t xml:space="preserve"> : association des deux mécanismes, à traiter en priorisant le symptôme le plus gênant.</w:t>
      </w:r>
    </w:p>
    <w:p>
      <w:r>
        <w:t>À côté de ces incontinences, le chapitre aborde deux classes complémentaires :</w:t>
      </w:r>
    </w:p>
    <w:p>
      <w:pPr>
        <w:pStyle w:val="ListBullet"/>
      </w:pPr>
      <w:r>
        <w:t xml:space="preserve">Les </w:t>
      </w:r>
      <w:r>
        <w:rPr>
          <w:b/>
        </w:rPr>
        <w:t>antiseptiques urinaires</w:t>
      </w:r>
      <w:r>
        <w:t xml:space="preserve"> (hydroxyquinoléines, dont la nitroxoline), utilisés dans le traitement court des infections urinaires basses non compliquées, par chélation des ions métalliques bactériens essentiels (Fe3+, Zn2+, Mn2+) nécessaires à l'activité des métallo-enzymes bactériennes.</w:t>
      </w:r>
    </w:p>
    <w:p>
      <w:pPr>
        <w:pStyle w:val="ListBullet"/>
      </w:pPr>
      <w:r>
        <w:t xml:space="preserve">Les </w:t>
      </w:r>
      <w:r>
        <w:rPr>
          <w:b/>
        </w:rPr>
        <w:t>alcalinisants urinaires</w:t>
      </w:r>
      <w:r>
        <w:t xml:space="preserve"> (bicarbonate de sodium), indiqués dans la prévention et le traitement de la </w:t>
      </w:r>
      <w:r>
        <w:rPr>
          <w:b/>
        </w:rPr>
        <w:t>lithiase urique</w:t>
      </w:r>
      <w:r>
        <w:t xml:space="preserve"> et de l'</w:t>
      </w:r>
      <w:r>
        <w:rPr>
          <w:b/>
        </w:rPr>
        <w:t>hyperuricurie acide</w:t>
      </w:r>
      <w:r>
        <w:t>, ainsi que dans l'alcalinisation des urines pour augmenter l'élimination de toxiques acides (acide salicylique en surdosage) ou potentialiser l'effet de certains antibiotiques (aminosides, fluoroquinolones en milieu acide).</w:t>
      </w:r>
    </w:p>
    <w:p>
      <w:r>
        <w:t xml:space="preserve">La </w:t>
      </w:r>
      <w:r>
        <w:rPr>
          <w:b/>
        </w:rPr>
        <w:t>nomenclature algérienne</w:t>
      </w:r>
      <w:r>
        <w:t xml:space="preserve"> dispose d'un panel pharmacologique limité mais cohérent dans ces quatre sous-classes : deux anticholinergiques M3 (oxybutynine princeps + 5 génériques ; solifénacine princeps Astellas retiré pour le 5 mg mais maintenu en 10 mg + 6 génériques à 5 mg et 5 à 10 mg), un IRSN (duloxétine disponible en 30 et 60 mg, 5 marques actives dont Cymbalta princeps Lilly), une hydroxyquinoléine (nitroxoline à 50 et 100 mg, 7 marques actives dont Naxolin, Nabyol Forte, Naxibiol, Neobiol, Nitroxal, Nolib + 1 retiré Nibiol), et le bicarbonate de sodium injectable à 0,014/0,042/0,084 g/mL (2 non renouvelables Renaudin + 2 retirés Saidal/Aguettant). Notons que les </w:t>
      </w:r>
      <w:r>
        <w:rPr>
          <w:b/>
        </w:rPr>
        <w:t>formes orales de bicarbonate de sodium</w:t>
      </w:r>
      <w:r>
        <w:t xml:space="preserve"> (comprimés 500 mg ou 1 g) ne sont pas présentes dans la nomenclature actuelle en Algérie — l'alcalinisation orale est alors assurée par le </w:t>
      </w:r>
      <w:r>
        <w:rPr>
          <w:b/>
        </w:rPr>
        <w:t>citrate de potassium</w:t>
      </w:r>
      <w:r>
        <w:t xml:space="preserve"> (Mac-k, non listé dans ce chapitre) ou par la diététique (eaux alcalines).</w:t>
      </w:r>
    </w:p>
    <w:p>
      <w:r>
        <w:t xml:space="preserve">Les classes du chapitre s'inscrivent dans la continuité des chapitres précédents du Fascicule VIII : le chapitre 71 (HBP) traitait des </w:t>
      </w:r>
      <w:r>
        <w:rPr>
          <w:b/>
        </w:rPr>
        <w:t>alpha-1-bloquants</w:t>
      </w:r>
      <w:r>
        <w:t xml:space="preserve"> et des </w:t>
      </w:r>
      <w:r>
        <w:rPr>
          <w:b/>
        </w:rPr>
        <w:t>inhibiteurs de la 5-alpha-réductase</w:t>
      </w:r>
      <w:r>
        <w:t xml:space="preserve"> qui ciblent la composante obstructive prostatique ; le chapitre 72 (Dysfonction érectile) traitait des </w:t>
      </w:r>
      <w:r>
        <w:rPr>
          <w:b/>
        </w:rPr>
        <w:t>inhibiteurs de la PDE5</w:t>
      </w:r>
      <w:r>
        <w:t xml:space="preserve"> qui ciblent la composante vasculaire érectile. Le présent chapitre 73 traite de la composante </w:t>
      </w:r>
      <w:r>
        <w:rPr>
          <w:b/>
        </w:rPr>
        <w:t>vésico-sphinctérienne</w:t>
      </w:r>
      <w:r>
        <w:t xml:space="preserve"> (stockage/vidange) et de deux pathologies annexes (infection urinaire et lithiase), complétant ainsi le panorama urologique de l'adulte.</w:t>
      </w:r>
    </w:p>
    <w:p>
      <w:pPr>
        <w:pStyle w:val="Heading2"/>
      </w:pPr>
      <w:r>
        <w:t>2. Sous-classe 1 — Incontinence urinaire par hyperactivité vésicale : Anticholinergiques muscariniques M3</w:t>
      </w:r>
    </w:p>
    <w:p>
      <w:r>
        <w:t>L'</w:t>
      </w:r>
      <w:r>
        <w:rPr>
          <w:b/>
        </w:rPr>
        <w:t>hyperactivité vésicale (HAV)</w:t>
      </w:r>
      <w:r>
        <w:t xml:space="preserve">, parfois encore appelée « vessie hyperactive », se définit cliniquement par la triade </w:t>
      </w:r>
      <w:r>
        <w:rPr>
          <w:b/>
        </w:rPr>
        <w:t>urgenturie + pollakiurie diurne + nycturie</w:t>
      </w:r>
      <w:r>
        <w:t xml:space="preserve">, avec ou sans incontinence urinaire par urgenturie (IUU). Sa prévalence augmente avec l'âge : 12 à 17 % de la population adulte, 30 % après 75 ans, avec une nette prédominance féminine (sex-ratio 2/1) jusqu'à 65 ans puis une convergence progressive des deux sexes au-delà. Sur le plan urodynamique, on observe des </w:t>
      </w:r>
      <w:r>
        <w:rPr>
          <w:b/>
        </w:rPr>
        <w:t>contractions vésicales involontaires (CVI)</w:t>
      </w:r>
      <w:r>
        <w:t xml:space="preserve"> pendant la phase de remplissage, détectées par cystomanométrie. Sur le plan physiopathologique, plusieurs mécanismes co-existent : </w:t>
      </w:r>
      <w:r>
        <w:rPr>
          <w:b/>
        </w:rPr>
        <w:t>lésions neurologiques centrales</w:t>
      </w:r>
      <w:r>
        <w:t xml:space="preserve"> (AVC, sclérose en plaques, maladie de Parkinson, traumatisme médullaire, démences) — HAV « neurogène » ; </w:t>
      </w:r>
      <w:r>
        <w:rPr>
          <w:b/>
        </w:rPr>
        <w:t>hypersensibilité afférente</w:t>
      </w:r>
      <w:r>
        <w:t xml:space="preserve"> urothéliale (vieillissement, ménopause, inflammation chronique) ; </w:t>
      </w:r>
      <w:r>
        <w:rPr>
          <w:b/>
        </w:rPr>
        <w:t>altération des voies inhibitrices pontiques</w:t>
      </w:r>
      <w:r>
        <w:t xml:space="preserve"> ; </w:t>
      </w:r>
      <w:r>
        <w:rPr>
          <w:b/>
        </w:rPr>
        <w:t>facteurs obstructifs</w:t>
      </w:r>
      <w:r>
        <w:t xml:space="preserve"> sous-jacents (HBP masculine avec compensation détrusorienne puis décompensation).</w:t>
      </w:r>
    </w:p>
    <w:p>
      <w:r>
        <w:t xml:space="preserve">Le traitement pharmacologique de première intention repose sur les </w:t>
      </w:r>
      <w:r>
        <w:rPr>
          <w:b/>
        </w:rPr>
        <w:t>anticholinergiques muscariniques</w:t>
      </w:r>
      <w:r>
        <w:t xml:space="preserve">, qui bloquent les récepteurs M3 du détrusor et empêchent la contraction involontaire. Cinq sous-types de récepteurs muscariniques (M1 à M5) sont identifiés, tous couplés aux protéines G : </w:t>
      </w:r>
      <w:r>
        <w:rPr>
          <w:b/>
        </w:rPr>
        <w:t>M1, M3, M5</w:t>
      </w:r>
      <w:r>
        <w:t xml:space="preserve"> couplés à </w:t>
      </w:r>
      <w:r>
        <w:rPr>
          <w:b/>
        </w:rPr>
        <w:t>Gq/11</w:t>
      </w:r>
      <w:r>
        <w:t xml:space="preserve"> (PLC/IP3/Ca2+, excitation), </w:t>
      </w:r>
      <w:r>
        <w:rPr>
          <w:b/>
        </w:rPr>
        <w:t>M2, M4</w:t>
      </w:r>
      <w:r>
        <w:t xml:space="preserve"> couplés à </w:t>
      </w:r>
      <w:r>
        <w:rPr>
          <w:b/>
        </w:rPr>
        <w:t>Gi/o</w:t>
      </w:r>
      <w:r>
        <w:t xml:space="preserve"> (inhibition de l'AMPc). Le récepteur </w:t>
      </w:r>
      <w:r>
        <w:rPr>
          <w:b/>
        </w:rPr>
        <w:t>M3</w:t>
      </w:r>
      <w:r>
        <w:t xml:space="preserve"> est le médiateur principal de la </w:t>
      </w:r>
      <w:r>
        <w:rPr>
          <w:b/>
        </w:rPr>
        <w:t>contraction du détrusor</w:t>
      </w:r>
      <w:r>
        <w:t xml:space="preserve"> (récepteur postsynaptique du muscle lisse). Le récepteur </w:t>
      </w:r>
      <w:r>
        <w:rPr>
          <w:b/>
        </w:rPr>
        <w:t>M2</w:t>
      </w:r>
      <w:r>
        <w:t xml:space="preserve">, majoritaire en densité (80 % des récepteurs vésicaux), module négativement la relaxation sympathique β3 et potentialise l'effet M3. Les effets indésirables périphériques des anticholinergiques (sécheresse buccale, constipation, mydriase, tachycardie, rétention) proviennent du blocage des M3 (glandes salivaires, tube digestif, œil, cœur, vessie), tandis que les effets cognitifs centraux (confusion, troubles mnésiques, hallucinations) proviennent du blocage des </w:t>
      </w:r>
      <w:r>
        <w:rPr>
          <w:b/>
        </w:rPr>
        <w:t>M1</w:t>
      </w:r>
      <w:r>
        <w:t xml:space="preserve"> hippocampiques et corticaux.</w:t>
      </w:r>
    </w:p>
    <w:p>
      <w:r>
        <w:t>Deux molécules sont disponibles en Algérie :</w:t>
      </w:r>
    </w:p>
    <w:p>
      <w:pPr>
        <w:pStyle w:val="ListBullet"/>
      </w:pPr>
      <w:r/>
      <w:r>
        <w:rPr>
          <w:b/>
        </w:rPr>
        <w:t>Oxybutynine</w:t>
      </w:r>
      <w:r>
        <w:t xml:space="preserve"> — princeps DITROPAN (Sanofi) et DRIPTANE (Fournier), 6 spécialités génériques actives à 5 mg comprimé sécable en Liste II. Métabolite actif N-déséthyloxybutynine responsable d'une forte charge anticholinergique périphérique (sécheresse buccale marquée) et centrale (traversée BBB). Forme transdermique (patch) et forme LP orale non commercialisées en Algérie.</w:t>
      </w:r>
    </w:p>
    <w:p>
      <w:pPr>
        <w:pStyle w:val="ListBullet"/>
      </w:pPr>
      <w:r/>
      <w:r>
        <w:rPr>
          <w:b/>
        </w:rPr>
        <w:t>Solifénacine</w:t>
      </w:r>
      <w:r>
        <w:t xml:space="preserve"> — princeps VESICARE (Astellas, RETIRÉ en 5 mg mais ACTIF en 10 mg) et 6 génériques à 5 mg + 5 à 10 mg, comprimés pelliculés en Liste II. Affinité plus élevée pour M3 (sélectivité M3/M2 environ 10) ; demi-vie longue 45-68 h permettant une prise unique quotidienne ; meilleure tolérance cognitive chez le sujet âgé vs oxybutynine mais sécheresse buccale et constipation dose-dépendantes.</w:t>
      </w:r>
    </w:p>
    <w:p>
      <w:r>
        <w:t xml:space="preserve">Les alternatives absentes du marché algérien : </w:t>
      </w:r>
      <w:r>
        <w:rPr>
          <w:b/>
        </w:rPr>
        <w:t>toltérodine</w:t>
      </w:r>
      <w:r>
        <w:t xml:space="preserve"> (Detrusitol, non listée), </w:t>
      </w:r>
      <w:r>
        <w:rPr>
          <w:b/>
        </w:rPr>
        <w:t>trospium</w:t>
      </w:r>
      <w:r>
        <w:t xml:space="preserve"> (quaternaire, ne traverse pas BBB, non listé), </w:t>
      </w:r>
      <w:r>
        <w:rPr>
          <w:b/>
        </w:rPr>
        <w:t>darifénacine</w:t>
      </w:r>
      <w:r>
        <w:t xml:space="preserve"> (Emselex, non listé), </w:t>
      </w:r>
      <w:r>
        <w:rPr>
          <w:b/>
        </w:rPr>
        <w:t>fésotérodine</w:t>
      </w:r>
      <w:r>
        <w:t xml:space="preserve"> (Toviaz, non listé), </w:t>
      </w:r>
      <w:r>
        <w:rPr>
          <w:b/>
        </w:rPr>
        <w:t>mirabégron</w:t>
      </w:r>
      <w:r>
        <w:t xml:space="preserve"> β3-agoniste (Betmiga, non listé), </w:t>
      </w:r>
      <w:r>
        <w:rPr>
          <w:b/>
        </w:rPr>
        <w:t>bétanéchol</w:t>
      </w:r>
      <w:r>
        <w:t xml:space="preserve"> parasympathomimétique pour la rétention chronique (non listé). Cette pauvreté relative oblige à privilégier la solifénacine chez le sujet âgé cognitivement vulnérable, et à réserver l'oxybutynine au patient plus jeune, à HAV invalidante, sans glaucome ni trouble cognitif. La pose de neuromodulateur sacré (InterStim) et les injections intra-détrusoriennes de </w:t>
      </w:r>
      <w:r>
        <w:rPr>
          <w:b/>
        </w:rPr>
        <w:t>toxine botulique de type A</w:t>
      </w:r>
      <w:r>
        <w:t xml:space="preserve"> (non listée pour cette indication en Algérie mais utilisée en pratique hospitalière) constituent les options de deuxième ligne.</w:t>
      </w:r>
    </w:p>
    <w:p>
      <w:r>
        <w:t xml:space="preserve">Les recommandations </w:t>
      </w:r>
      <w:r>
        <w:rPr>
          <w:b/>
        </w:rPr>
        <w:t>EAU (European Association of Urology) 2023</w:t>
      </w:r>
      <w:r>
        <w:t xml:space="preserve"> et </w:t>
      </w:r>
      <w:r>
        <w:rPr>
          <w:b/>
        </w:rPr>
        <w:t>AFU (Association Française d'Urologie) 2018</w:t>
      </w:r>
      <w:r>
        <w:t xml:space="preserve"> placent les anticholinergiques en première intention pharmacologique après échec ou intolérance des mesures comportementales (rééducation vésicale, restriction hydrique progressive, perte de poids, arrêt du tabac). La rééducation périnéale (rééducation vésico-sphinctérienne par biofeedback) doit précéder ou accompagner systématiquement le traitement médicamenteux. La posologie est débutée à la dose minimale efficace (solifénacine 5 mg/j, oxybutynine 5 mg × 2/j) et titrée après 4 semaines selon la tolérance. L'évaluation thérapeutique repose sur le </w:t>
      </w:r>
      <w:r>
        <w:rPr>
          <w:b/>
        </w:rPr>
        <w:t>calendrier mictionnel</w:t>
      </w:r>
      <w:r>
        <w:t xml:space="preserve"> (3 jours) et les échelles validées (ICIQ-SF, USP).</w:t>
      </w:r>
    </w:p>
    <w:p>
      <w:pPr>
        <w:pStyle w:val="Heading2"/>
      </w:pPr>
      <w:r>
        <w:t>3. Sous-classe 2 — Incontinence urinaire d'effort féminine : Inhibiteurs de la recapture de la sérotonine et de la noradrénaline (IRSN)</w:t>
      </w:r>
    </w:p>
    <w:p>
      <w:r>
        <w:t>L'</w:t>
      </w:r>
      <w:r>
        <w:rPr>
          <w:b/>
        </w:rPr>
        <w:t>incontinence urinaire d'effort (IUE)</w:t>
      </w:r>
      <w:r>
        <w:t xml:space="preserve"> féminine se définit par la fuite d'urine contemporaine d'une </w:t>
      </w:r>
      <w:r>
        <w:rPr>
          <w:b/>
        </w:rPr>
        <w:t>hyperpression abdominale</w:t>
      </w:r>
      <w:r>
        <w:t xml:space="preserve"> (toux, éternuement, rire, port de charges, activité physique). Sa prévalence augmente avec la parité, l'âge, la ménopause et l'obésité : 15 à 30 % des femmes adultes, jusqu'à 40 % des femmes ménopausées. Mécanisme : défaut de </w:t>
      </w:r>
      <w:r>
        <w:rPr>
          <w:b/>
        </w:rPr>
        <w:t>transmission de la pression abdominale</w:t>
      </w:r>
      <w:r>
        <w:t xml:space="preserve"> au sphincter urétral (« hypoconduite sphinctérienne »), lié à une </w:t>
      </w:r>
      <w:r>
        <w:rPr>
          <w:b/>
        </w:rPr>
        <w:t>insuffisance sphinctérienne intrinsèque</w:t>
      </w:r>
      <w:r>
        <w:t xml:space="preserve"> (faiblesse du sphincter lisse urétral) et/ou à une </w:t>
      </w:r>
      <w:r>
        <w:rPr>
          <w:b/>
        </w:rPr>
        <w:t>hypermobilité cervico-urétrale</w:t>
      </w:r>
      <w:r>
        <w:t xml:space="preserve"> (défaut de soutènement périnéal après accouchement, ménopause, vieillissement).</w:t>
      </w:r>
    </w:p>
    <w:p>
      <w:r>
        <w:t xml:space="preserve">Sur le plan neurophysiologique, le </w:t>
      </w:r>
      <w:r>
        <w:rPr>
          <w:b/>
        </w:rPr>
        <w:t>sphincter strié urétral</w:t>
      </w:r>
      <w:r>
        <w:t xml:space="preserve"> est innerve par les motoneurones du </w:t>
      </w:r>
      <w:r>
        <w:rPr>
          <w:b/>
        </w:rPr>
        <w:t>noyau d'Onuf</w:t>
      </w:r>
      <w:r>
        <w:t xml:space="preserve"> (substance grise de la corne antérieure S2–S4), dont l'activité est sous contrôle facilitateur descendant des voies </w:t>
      </w:r>
      <w:r>
        <w:rPr>
          <w:b/>
        </w:rPr>
        <w:t>sérotoninergiques (5-HT, noyaux du raphé)</w:t>
      </w:r>
      <w:r>
        <w:t xml:space="preserve"> et </w:t>
      </w:r>
      <w:r>
        <w:rPr>
          <w:b/>
        </w:rPr>
        <w:t>noradrénergiques (NA, locus coeruleus)</w:t>
      </w:r>
      <w:r>
        <w:t xml:space="preserve">. La 5-HT agit sur les récepteurs postsynaptiques </w:t>
      </w:r>
      <w:r>
        <w:rPr>
          <w:b/>
        </w:rPr>
        <w:t>5-HT2C</w:t>
      </w:r>
      <w:r>
        <w:t xml:space="preserve"> (excitation directe des motoneurones d'Onuf) et la NA sur les récepteurs </w:t>
      </w:r>
      <w:r>
        <w:rPr>
          <w:b/>
        </w:rPr>
        <w:t>α1-adrénergiques</w:t>
      </w:r>
      <w:r>
        <w:t xml:space="preserve"> (potentialisation de l'excitation). Les antidépresseurs IRSN, en inhibant la recapture de la 5-HT et de la NA par le transporteur </w:t>
      </w:r>
      <w:r>
        <w:rPr>
          <w:b/>
        </w:rPr>
        <w:t>SERT</w:t>
      </w:r>
      <w:r>
        <w:t xml:space="preserve"> et le transporteur </w:t>
      </w:r>
      <w:r>
        <w:rPr>
          <w:b/>
        </w:rPr>
        <w:t>NET</w:t>
      </w:r>
      <w:r>
        <w:t xml:space="preserve">, augmentent la concentration synaptique de ces deux neurotransmetteurs dans la fente synaptique de la corne antérieure médullaire, renforçant ainsi le </w:t>
      </w:r>
      <w:r>
        <w:rPr>
          <w:b/>
        </w:rPr>
        <w:t>tonus sphinctérien urétral</w:t>
      </w:r>
      <w:r>
        <w:t xml:space="preserve"> et la </w:t>
      </w:r>
      <w:r>
        <w:rPr>
          <w:b/>
        </w:rPr>
        <w:t>capacité de fermeture urétrale</w:t>
      </w:r>
      <w:r>
        <w:t xml:space="preserve"> (PCUM — pression de clôture urétrale maximale).</w:t>
      </w:r>
    </w:p>
    <w:p>
      <w:r>
        <w:t xml:space="preserve">La </w:t>
      </w:r>
      <w:r>
        <w:rPr>
          <w:b/>
        </w:rPr>
        <w:t>duloxétine</w:t>
      </w:r>
      <w:r>
        <w:t xml:space="preserve"> est le seul IRSN disposant d'une </w:t>
      </w:r>
      <w:r>
        <w:rPr>
          <w:b/>
        </w:rPr>
        <w:t>AMM spécifique</w:t>
      </w:r>
      <w:r>
        <w:t xml:space="preserve"> dans l'incontinence urinaire d'effort modérée à sévère chez la femme adulte (autorisation européenne 2004, fondée sur les études pivot de Norton et al. 2002 et van Kerrebroeck et al. 2004). Elle a été développée initialement par Lilly (Cymbalta) pour la dépression (2004) et la douleur neuropathique diabétique (2005), puis l'indication IUE a été étendue. Elle se distingue de la vénlafaxine (autre IRSN) par une </w:t>
      </w:r>
      <w:r>
        <w:rPr>
          <w:b/>
        </w:rPr>
        <w:t>affinité équilibrée</w:t>
      </w:r>
      <w:r>
        <w:t xml:space="preserve"> pour SERT et NET (ratio SERT/NET environ 10, vs vénlafaxine qui est surtout sérotoninergique à faible dose) et par une </w:t>
      </w:r>
      <w:r>
        <w:rPr>
          <w:b/>
        </w:rPr>
        <w:t>forme galénique à microgranules gastro-résistantes</w:t>
      </w:r>
      <w:r>
        <w:t xml:space="preserve"> assurant une libération prolongée et une meilleure tolérance digestive.</w:t>
      </w:r>
    </w:p>
    <w:p>
      <w:r>
        <w:t xml:space="preserve">En pratique, la duloxétine n'est </w:t>
      </w:r>
      <w:r>
        <w:rPr>
          <w:b/>
        </w:rPr>
        <w:t>pas un traitement de première intention</w:t>
      </w:r>
      <w:r>
        <w:t xml:space="preserve"> de l'IUE : les recommandations EAU 2023 et HAS 2018 placent en première ligne la </w:t>
      </w:r>
      <w:r>
        <w:rPr>
          <w:b/>
        </w:rPr>
        <w:t>rééducation périnéale</w:t>
      </w:r>
      <w:r>
        <w:t xml:space="preserve"> (séances de biofeedback, contraction musculaire volontaire, cônes vaginaux), les </w:t>
      </w:r>
      <w:r>
        <w:rPr>
          <w:b/>
        </w:rPr>
        <w:t>modifications du mode de vie</w:t>
      </w:r>
      <w:r>
        <w:t xml:space="preserve"> (perte de poids, arrêt du tabac, traitement d'une toux chronique), et en cas d'échec ou d'IUE sévère, la </w:t>
      </w:r>
      <w:r>
        <w:rPr>
          <w:b/>
        </w:rPr>
        <w:t>chirurgie</w:t>
      </w:r>
      <w:r>
        <w:t xml:space="preserve"> (bandelette sous-urétrale TOT/TVT, pose de ballons ajustables). La duloxétine est proposée chez les femmes refusant ou contre-indiquées pour la chirurgie, en attente de chirurgie, ou ayant un composant mixte avec prédominance d'effort. Elle est </w:t>
      </w:r>
      <w:r>
        <w:rPr>
          <w:b/>
        </w:rPr>
        <w:t>strictement contre-indiquée chez l'homme</w:t>
      </w:r>
      <w:r>
        <w:t xml:space="preserve"> (pas d'AMM dans l'IUE masculine post-prostatectomie).</w:t>
      </w:r>
    </w:p>
    <w:p>
      <w:r>
        <w:t xml:space="preserve">Le marché algérien compte </w:t>
      </w:r>
      <w:r>
        <w:rPr>
          <w:b/>
        </w:rPr>
        <w:t>5 marques actives</w:t>
      </w:r>
      <w:r>
        <w:t xml:space="preserve"> de duloxétine : princeps CYMBALTA (Eli Lilly Nederland, 30 et 60 mg) + 4 génériques (BALTAXINE El Kendi, CYMOXETINE Frater-Razes, DULOX Hikma, WYSERIN CPCM) + CYACETINE (Pharmalliance, 60 mg uniquement). Toutes sont en </w:t>
      </w:r>
      <w:r>
        <w:rPr>
          <w:b/>
        </w:rPr>
        <w:t>Liste I</w:t>
      </w:r>
      <w:r>
        <w:t xml:space="preserve">, en gélule gastro-résistante ou microgranules à libération prolongée. Le statut Liste I s'explique par le risque de </w:t>
      </w:r>
      <w:r>
        <w:rPr>
          <w:b/>
        </w:rPr>
        <w:t>syndrome sérotoninergique</w:t>
      </w:r>
      <w:r>
        <w:t xml:space="preserve"> en association, le risque de </w:t>
      </w:r>
      <w:r>
        <w:rPr>
          <w:b/>
        </w:rPr>
        <w:t>suicide</w:t>
      </w:r>
      <w:r>
        <w:t xml:space="preserve"> (indication psychiatrique sous-jacente), et le </w:t>
      </w:r>
      <w:r>
        <w:rPr>
          <w:b/>
        </w:rPr>
        <w:t>sevrage</w:t>
      </w:r>
      <w:r>
        <w:t xml:space="preserve"> à l'arrêt brutal (demi-vie courte 12 h, symptômes invalidants : vertiges, nausées, paresthésies, irritabilité, insomnie — « discontinuation syndrome »). La prescription est initialement hospitalière ou réservée aux spécialistes en psychiatrie pour l'indication dépression, mais pour l'indication IUE, elle relève de l'urologue ou du gynécologue.</w:t>
      </w:r>
    </w:p>
    <w:p>
      <w:pPr>
        <w:pStyle w:val="Heading2"/>
      </w:pPr>
      <w:r>
        <w:t>4. Sous-classe 3 — Antiseptiques urinaires — Hydroxyquinoléines</w:t>
      </w:r>
    </w:p>
    <w:p>
      <w:r>
        <w:t xml:space="preserve">Les </w:t>
      </w:r>
      <w:r>
        <w:rPr>
          <w:b/>
        </w:rPr>
        <w:t>antiseptiques urinaires</w:t>
      </w:r>
      <w:r>
        <w:t xml:space="preserve"> sont des molécules à spectre antibactérien limité aux germes responsables d'infections urinaires (Escherichia coli, Klebsiella, Proteus, Enterococcus, Staphylococcus saprophyticus), excrétées par voie rénale et atteignant des concentrations urinaires très supérieures aux concentrations plasmatiques. Ils se distinguent des </w:t>
      </w:r>
      <w:r>
        <w:rPr>
          <w:b/>
        </w:rPr>
        <w:t>antibiotiques</w:t>
      </w:r>
      <w:r>
        <w:t xml:space="preserve"> par leur mécanisme non antibiotique (chélation d'ions métalliques, inhibition du cycle de Krebs bactérien, altération de la paroi) et par l'absence de sélection de résistances croisées avec les antibiotiques systémiques. Historiquement, plusieurs classes ont été commercialisées : </w:t>
      </w:r>
      <w:r>
        <w:rPr>
          <w:b/>
        </w:rPr>
        <w:t>nitrofuranes</w:t>
      </w:r>
      <w:r>
        <w:t xml:space="preserve"> (nitrofurantoïne, furazolidone — non couvertes dans ce chapitre, voir Fascicule I), </w:t>
      </w:r>
      <w:r>
        <w:rPr>
          <w:b/>
        </w:rPr>
        <w:t>acide nalidixique</w:t>
      </w:r>
      <w:r>
        <w:t xml:space="preserve"> et fluoroquinolones urinaires (couvertes en Fascicule I), </w:t>
      </w:r>
      <w:r>
        <w:rPr>
          <w:b/>
        </w:rPr>
        <w:t>fosfomycine</w:t>
      </w:r>
      <w:r>
        <w:t xml:space="preserve"> (monodose, couverte en Fascicule I), </w:t>
      </w:r>
      <w:r>
        <w:rPr>
          <w:b/>
        </w:rPr>
        <w:t>acide pipémidique</w:t>
      </w:r>
      <w:r>
        <w:t xml:space="preserve"> et </w:t>
      </w:r>
      <w:r>
        <w:rPr>
          <w:b/>
        </w:rPr>
        <w:t>pipémidique</w:t>
      </w:r>
      <w:r>
        <w:t xml:space="preserve"> (quinolone de première génération), </w:t>
      </w:r>
      <w:r>
        <w:rPr>
          <w:b/>
        </w:rPr>
        <w:t>méthénamine</w:t>
      </w:r>
      <w:r>
        <w:t xml:space="preserve"> (mandélate d'hexamine, libérant formol urinaire en milieu acide — non disponible en Algérie), et </w:t>
      </w:r>
      <w:r>
        <w:rPr>
          <w:b/>
        </w:rPr>
        <w:t>hydroxyquinoléines</w:t>
      </w:r>
      <w:r>
        <w:t xml:space="preserve"> (nitroxoline, 5-NOK).</w:t>
      </w:r>
    </w:p>
    <w:p>
      <w:r>
        <w:t xml:space="preserve">La </w:t>
      </w:r>
      <w:r>
        <w:rPr>
          <w:b/>
        </w:rPr>
        <w:t>nitroxoline</w:t>
      </w:r>
      <w:r>
        <w:t xml:space="preserve"> (5-nitro-8-hydroxyquinoléine) est une hydroxyquinoléine de synthèse commercialisée depuis les années 1960 (NIBIOL Fourntier, NAXOLIN Nova Argentia). Son mécanisme d'action repose sur la </w:t>
      </w:r>
      <w:r>
        <w:rPr>
          <w:b/>
        </w:rPr>
        <w:t>chélation des ions métalliques divalents et trivalents</w:t>
      </w:r>
      <w:r>
        <w:t xml:space="preserve"> (Fe3+, Zn2+, Mn2+, Cu2+, Mg2+) indispensables au site actif des </w:t>
      </w:r>
      <w:r>
        <w:rPr>
          <w:b/>
        </w:rPr>
        <w:t>métallo-enzymes bactériennes</w:t>
      </w:r>
      <w:r>
        <w:t xml:space="preserve"> (cytochromes respiratoires, métallo-β-lactamases, superoxide dismutases, catalases). Cette chélation provoque une </w:t>
      </w:r>
      <w:r>
        <w:rPr>
          <w:b/>
        </w:rPr>
        <w:t>inhibition de la chaîne respiratoire</w:t>
      </w:r>
      <w:r>
        <w:t xml:space="preserve"> bactérienne, un </w:t>
      </w:r>
      <w:r>
        <w:rPr>
          <w:b/>
        </w:rPr>
        <w:t>stress oxydatif</w:t>
      </w:r>
      <w:r>
        <w:t xml:space="preserve"> (accumulation de radicaux libres), et une </w:t>
      </w:r>
      <w:r>
        <w:rPr>
          <w:b/>
        </w:rPr>
        <w:t>inhibition de la réplication</w:t>
      </w:r>
      <w:r>
        <w:t xml:space="preserve"> par altération des ADN polymérases. Spectre : actif sur les entérobactéries urinaires (E. coli, Klebsiella, Proteus, Enterobacter, Serratia), les cocci à Gram positif (Enterococcus, Staphylococcus saprophyticus, Streptococcus agalactiae), et certaines levures (Candida). Résistance : rare, non croisée avec les antibiotiques classiques.</w:t>
      </w:r>
    </w:p>
    <w:p>
      <w:r>
        <w:t xml:space="preserve">Les indications de la nitroxoline sont limitées aux </w:t>
      </w:r>
      <w:r>
        <w:rPr>
          <w:b/>
        </w:rPr>
        <w:t>infections urinaires basses non compliquées</w:t>
      </w:r>
      <w:r>
        <w:t xml:space="preserve"> (cystite aiguë simple de la femme jeune non enceinte, pyélite, urétrite), en traitement court de </w:t>
      </w:r>
      <w:r>
        <w:rPr>
          <w:b/>
        </w:rPr>
        <w:t>7 à 14 jours</w:t>
      </w:r>
      <w:r>
        <w:t xml:space="preserve"> (NE PAS dépasser 14 jours — risque de neuropathies périphériques et d'atteintes neurologiques centrales, en particulier neuropathie optique). Elle est </w:t>
      </w:r>
      <w:r>
        <w:rPr>
          <w:b/>
        </w:rPr>
        <w:t>contre-indiquée chez la femme enceinte</w:t>
      </w:r>
      <w:r>
        <w:t xml:space="preserve"> (manipulations hormonales thyroïdiennes suspectées, neuropathies fœtales), chez l'enfant, et chez l'insuffisant rénal sévère (ClCr &lt; 30 mL/min — concentration urinaire insuffisante). Son usage est aujourd'hui </w:t>
      </w:r>
      <w:r>
        <w:rPr>
          <w:b/>
        </w:rPr>
        <w:t>marginalisé</w:t>
      </w:r>
      <w:r>
        <w:t xml:space="preserve"> par les recommandations EAU 2023 et HAS 2020 qui placent la </w:t>
      </w:r>
      <w:r>
        <w:rPr>
          <w:b/>
        </w:rPr>
        <w:t>fosfomycine monodose</w:t>
      </w:r>
      <w:r>
        <w:t xml:space="preserve"> et la </w:t>
      </w:r>
      <w:r>
        <w:rPr>
          <w:b/>
        </w:rPr>
        <w:t>nitrofurantoïne 5 jours</w:t>
      </w:r>
      <w:r>
        <w:t xml:space="preserve"> en première ligne de la cystite simple, devant le cotrimoxazole (résistance E. coli &gt; 20 % en Algérie) et les fluoroquinolones (réserve aux pyélonéphrites). La nitroxoline reste cependant utile en </w:t>
      </w:r>
      <w:r>
        <w:rPr>
          <w:b/>
        </w:rPr>
        <w:t>deuxième ligne</w:t>
      </w:r>
      <w:r>
        <w:t xml:space="preserve">, en cas d'allergie aux bêta-lactamines et alternatives, et constitue une </w:t>
      </w:r>
      <w:r>
        <w:rPr>
          <w:b/>
        </w:rPr>
        <w:t>alternative écologique</w:t>
      </w:r>
      <w:r>
        <w:t xml:space="preserve"> (pas de sélection de résistance croisée).</w:t>
      </w:r>
    </w:p>
    <w:p>
      <w:r>
        <w:t xml:space="preserve">Le marché algérien est riche de </w:t>
      </w:r>
      <w:r>
        <w:rPr>
          <w:b/>
        </w:rPr>
        <w:t>7 marques actives</w:t>
      </w:r>
      <w:r>
        <w:t xml:space="preserve"> de nitroxoline : NAXOLIN 50 mg et 100 mg (Nova Argentia), NABYOL FORTE 100 mg (Bottu), NAXIBIOL 100 mg (Biorem), NEOBIOL 100 mg (Neomedic), NITROXAL 100 mg (Sophal), NOLIB 100 mg (Physiopharm), + 1 retiré </w:t>
      </w:r>
      <w:r>
        <w:rPr>
          <w:b/>
        </w:rPr>
        <w:t>NIBIOL</w:t>
      </w:r>
      <w:r>
        <w:t xml:space="preserve"> (Fournier). Toutes sont en Liste I, en comprimés enrobés ou pelliculés, conditionnement B/50 ou B/60. La diversité des dosages (50 et 100 mg) permet une adaptation posologique : la forme 100 mg permet une simplification à 2 comprimés × 3/j (vs 4 × 3/j pour 50 mg). Le traitement impose un rappel au patient : </w:t>
      </w:r>
      <w:r>
        <w:rPr>
          <w:b/>
        </w:rPr>
        <w:t>durée maximale 14 jours</w:t>
      </w:r>
      <w:r>
        <w:t>, surveillance d'une éventuelle neuropathie (paresthésies, troubles visuels), et arrêt immédiat en cas d'apparition.</w:t>
      </w:r>
    </w:p>
    <w:p>
      <w:pPr>
        <w:pStyle w:val="Heading2"/>
      </w:pPr>
      <w:r>
        <w:t>5. Sous-classe 4 — Lithiase urinaire — Alcalinisants urinaires</w:t>
      </w:r>
    </w:p>
    <w:p>
      <w:r>
        <w:t xml:space="preserve">La </w:t>
      </w:r>
      <w:r>
        <w:rPr>
          <w:b/>
        </w:rPr>
        <w:t>lithiase urique</w:t>
      </w:r>
      <w:r>
        <w:t xml:space="preserve"> représente 5 à 10 % des lithiases calciques et non calcieuses en France et en Algérie. Elle se forme préférentiellement en milieu </w:t>
      </w:r>
      <w:r>
        <w:rPr>
          <w:b/>
        </w:rPr>
        <w:t>acide</w:t>
      </w:r>
      <w:r>
        <w:t xml:space="preserve"> (pH urinaire &lt; 5,5), car l'acide urique (pKa = 5,4) est sous forme protonée non dissociée (HUr) — forme </w:t>
      </w:r>
      <w:r>
        <w:rPr>
          <w:b/>
        </w:rPr>
        <w:t>insoluble</w:t>
      </w:r>
      <w:r>
        <w:t xml:space="preserve"> — qui cristallise et précipite. À l'inverse, à pH &gt; 6,5, l'acide urique est sous forme d'</w:t>
      </w:r>
      <w:r>
        <w:rPr>
          <w:b/>
        </w:rPr>
        <w:t>urate</w:t>
      </w:r>
      <w:r>
        <w:t xml:space="preserve"> (Ur−) — forme </w:t>
      </w:r>
      <w:r>
        <w:rPr>
          <w:b/>
        </w:rPr>
        <w:t>soluble</w:t>
      </w:r>
      <w:r>
        <w:t xml:space="preserve"> — qui reste en solution. Le traitement pharmacologique de la lithiase urique repose donc essentiellement sur l'</w:t>
      </w:r>
      <w:r>
        <w:rPr>
          <w:b/>
        </w:rPr>
        <w:t>alcalinisation des urines</w:t>
      </w:r>
      <w:r>
        <w:t xml:space="preserve"> à un pH cible de </w:t>
      </w:r>
      <w:r>
        <w:rPr>
          <w:b/>
        </w:rPr>
        <w:t>6,5 à 7,0</w:t>
      </w:r>
      <w:r>
        <w:t xml:space="preserve"> (pas au-delà — risque de cristallisation de phosphates de calcium à pH &gt; 7,5). Cette alcalinisation est obtenue par le </w:t>
      </w:r>
      <w:r>
        <w:rPr>
          <w:b/>
        </w:rPr>
        <w:t>bicarbonate de sodium</w:t>
      </w:r>
      <w:r>
        <w:t xml:space="preserve"> (NaHCO3) par voie orale (comprimés 500 mg ou 1 g, non disponibles en Algérie) ou par le </w:t>
      </w:r>
      <w:r>
        <w:rPr>
          <w:b/>
        </w:rPr>
        <w:t>citrate de potassium</w:t>
      </w:r>
      <w:r>
        <w:t xml:space="preserve"> (Mac-k, non listé dans ce chapitre), qui métabolisé en bicarbonate endogène, alcalinise les urines sans apporter de sodium (intérêt chez l'hypertendu et l'insuffisant cardiaque).</w:t>
      </w:r>
    </w:p>
    <w:p>
      <w:r>
        <w:t xml:space="preserve">Le mécanisme d'action du bicarbonate de sodium est </w:t>
      </w:r>
      <w:r>
        <w:rPr>
          <w:b/>
        </w:rPr>
        <w:t>physico-chimique</w:t>
      </w:r>
      <w:r>
        <w:t xml:space="preserve"> : apport d'ions </w:t>
      </w:r>
      <w:r>
        <w:rPr>
          <w:b/>
        </w:rPr>
        <w:t>HCO3−</w:t>
      </w:r>
      <w:r>
        <w:t xml:space="preserve"> qui tamponnent les ions H+ urinaires (HCO3− + H+ → H2CO3 → H2O + CO2 expiré), augmentant ainsi le pH urinaire. Indications : </w:t>
      </w:r>
      <w:r>
        <w:rPr>
          <w:b/>
        </w:rPr>
        <w:t>lithiase urique</w:t>
      </w:r>
      <w:r>
        <w:t xml:space="preserve"> symptomatique (colique néphrétique, gravelle), </w:t>
      </w:r>
      <w:r>
        <w:rPr>
          <w:b/>
        </w:rPr>
        <w:t>hyperuricémie</w:t>
      </w:r>
      <w:r>
        <w:t xml:space="preserve"> goutteuse avec lithiase associée, </w:t>
      </w:r>
      <w:r>
        <w:rPr>
          <w:b/>
        </w:rPr>
        <w:t>alcalinisation urinaire thérapeutique</w:t>
      </w:r>
      <w:r>
        <w:t xml:space="preserve"> en cas d'intoxication par acides faibles (acide salicylique, phénobarbital, méthotrexate à haute dose — augmentation de l'excrétion ionisée), </w:t>
      </w:r>
      <w:r>
        <w:rPr>
          <w:b/>
        </w:rPr>
        <w:t>alcalinisation préventive</w:t>
      </w:r>
      <w:r>
        <w:t xml:space="preserve"> en chimiothérapie (protéolyse tumorale avec hyperuricémie aiguë), et </w:t>
      </w:r>
      <w:r>
        <w:rPr>
          <w:b/>
        </w:rPr>
        <w:t>perfusion d'urgence</w:t>
      </w:r>
      <w:r>
        <w:t xml:space="preserve"> en acidose métabolique sévère (acidose lactique, acidose cétoacidose diabétique — indication réanimatrice hors du périmètre de ce chapitre).</w:t>
      </w:r>
    </w:p>
    <w:p>
      <w:r>
        <w:t xml:space="preserve">Le marché algérien ne dispose que de </w:t>
      </w:r>
      <w:r>
        <w:rPr>
          <w:b/>
        </w:rPr>
        <w:t>formes injectables</w:t>
      </w:r>
      <w:r>
        <w:t xml:space="preserve"> de bicarbonate de sodium (perfusion IV) à trois dosages : </w:t>
      </w:r>
      <w:r>
        <w:rPr>
          <w:b/>
        </w:rPr>
        <w:t>0,014 g/mL</w:t>
      </w:r>
      <w:r>
        <w:t xml:space="preserve"> (1,4 % — isotonique, flacon 500 mL Saidal, RETIRÉ), </w:t>
      </w:r>
      <w:r>
        <w:rPr>
          <w:b/>
        </w:rPr>
        <w:t>0,042 g/mL</w:t>
      </w:r>
      <w:r>
        <w:t xml:space="preserve"> (4,2 % — hypertunique, ampoule 10 mL Aguettant, RETIRÉ), et </w:t>
      </w:r>
      <w:r>
        <w:rPr>
          <w:b/>
        </w:rPr>
        <w:t>0,084 g/mL</w:t>
      </w:r>
      <w:r>
        <w:t xml:space="preserve"> (8,4 % — molarité 1 mmol/mL, ampoules 10 et 20 mL Renaudin, NON RENOUVELABLES). Les </w:t>
      </w:r>
      <w:r>
        <w:rPr>
          <w:b/>
        </w:rPr>
        <w:t>formes orales</w:t>
      </w:r>
      <w:r>
        <w:t xml:space="preserve"> (comprimés 500 mg ou 1 g de bicarbonate de sodium) — pourtant inscrites au PPHO de l'OMS pour la lithiase urique — </w:t>
      </w:r>
      <w:r>
        <w:rPr>
          <w:b/>
        </w:rPr>
        <w:t>ne sont pas disponibles</w:t>
      </w:r>
      <w:r>
        <w:t xml:space="preserve"> dans la nomenclature algérienne, ce qui complique la prise en charge ambulatoire et impose l'usage de l'injection en hospitalisation ou la substitution par le citrate de potassium non listé ici. Le pharmacien d'officine doit donc orienter le patient vers son urologue ou néphrologue pour la prescription de citrate de potassium en pharmacie hospitalière, ou vers le bicarbonate alimentaire (bicarbonate de soude officinal, disponible en officine sous forme de poudre pour solution buvable).</w:t>
      </w:r>
    </w:p>
    <w:p>
      <w:r>
        <w:t xml:space="preserve">Le présent chapitre se concentre donc sur la forme injectable de bicarbonate de sodium, en rappelant les précautions majeures d'usage : </w:t>
      </w:r>
      <w:r>
        <w:rPr>
          <w:b/>
        </w:rPr>
        <w:t>hypersodée</w:t>
      </w:r>
      <w:r>
        <w:t xml:space="preserve"> (apport massif de Na+, à risque d'hypernatrémie, d'œdèmes, d'insuffisance cardiaque), </w:t>
      </w:r>
      <w:r>
        <w:rPr>
          <w:b/>
        </w:rPr>
        <w:t>alcalose métabolique</w:t>
      </w:r>
      <w:r>
        <w:t xml:space="preserve"> iatrogène en surdosage, </w:t>
      </w:r>
      <w:r>
        <w:rPr>
          <w:b/>
        </w:rPr>
        <w:t>hypokaliémie</w:t>
      </w:r>
      <w:r>
        <w:t xml:space="preserve"> (entrée cellulaire de K+ en alcalose — surveiller et supplémenter), </w:t>
      </w:r>
      <w:r>
        <w:rPr>
          <w:b/>
        </w:rPr>
        <w:t>interférence avec les ions calcium</w:t>
      </w:r>
      <w:r>
        <w:t xml:space="preserve"> (précipitation de CaCO3 en cas de perfusion associée avec gluconate de calcium — ne jamais mélanger dans la même tubulure), et </w:t>
      </w:r>
      <w:r>
        <w:rPr>
          <w:b/>
        </w:rPr>
        <w:t>extravasation</w:t>
      </w:r>
      <w:r>
        <w:t xml:space="preserve"> (nécrose tissulaire en cas de fuite extravasculaire, en particulier pour la forme 8,4 % hypertunique).</w:t>
      </w:r>
    </w:p>
    <w:p>
      <w:pPr>
        <w:pStyle w:val="Heading2"/>
      </w:pPr>
      <w:r>
        <w:t>6. Fiches DCI complètes</w:t>
      </w:r>
    </w:p>
    <w:p>
      <w:pPr>
        <w:pStyle w:val="Heading3"/>
      </w:pPr>
      <w:r>
        <w:t>73.1. DCI : Oxybutynine (Seule)</w:t>
      </w:r>
    </w:p>
    <w:p>
      <w:r/>
      <w:r>
        <w:rPr>
          <w:b/>
        </w:rPr>
        <w:t>Liste des Catégories :</w:t>
      </w:r>
      <w:r>
        <w:t xml:space="preserve"> Incontinence urinaire - Anticholinergiques (M3)</w:t>
      </w:r>
    </w:p>
    <w:p>
      <w:r>
        <w:t xml:space="preserve">L'oxybutynine est un anticholinergique de </w:t>
      </w:r>
      <w:r>
        <w:rPr>
          <w:b/>
        </w:rPr>
        <w:t>troisième génération</w:t>
      </w:r>
      <w:r>
        <w:t xml:space="preserve"> (tertiaire amine) historiquement développé dans les années 1970 (Ditropan, Sanofi). Sa structure associe un noyau </w:t>
      </w:r>
      <w:r>
        <w:rPr>
          <w:b/>
        </w:rPr>
        <w:t>phénylcyclohexylglycolate</w:t>
      </w:r>
      <w:r>
        <w:t xml:space="preserve"> et une </w:t>
      </w:r>
      <w:r>
        <w:rPr>
          <w:b/>
        </w:rPr>
        <w:t>chaîne amine tertiaire diéthylamino-éthyle</w:t>
      </w:r>
      <w:r>
        <w:t xml:space="preserve">, ce qui lui confère une </w:t>
      </w:r>
      <w:r>
        <w:rPr>
          <w:b/>
        </w:rPr>
        <w:t>forte liposolubilité</w:t>
      </w:r>
      <w:r>
        <w:t xml:space="preserve"> et un passage </w:t>
      </w:r>
      <w:r>
        <w:rPr>
          <w:b/>
        </w:rPr>
        <w:t>massif de la barrière hémato-encéphalique (BBB)</w:t>
      </w:r>
      <w:r>
        <w:t xml:space="preserve">. Cette propriété explique à la fois son efficacité sur l'hyperactivité vésicale (blocage M3 détrusorien) et sa </w:t>
      </w:r>
      <w:r>
        <w:rPr>
          <w:b/>
        </w:rPr>
        <w:t>mauvaise tolérance centrale</w:t>
      </w:r>
      <w:r>
        <w:t xml:space="preserve"> chez le sujet âgé (confusion, troubles mnésiques, hallucinations — liste de Beers 2019). Le métabolisme hépatique par </w:t>
      </w:r>
      <w:r>
        <w:rPr>
          <w:b/>
        </w:rPr>
        <w:t>CYP3A4</w:t>
      </w:r>
      <w:r>
        <w:t xml:space="preserve"> génère un </w:t>
      </w:r>
      <w:r>
        <w:rPr>
          <w:b/>
        </w:rPr>
        <w:t>métabolite actif N-déséthyloxybutynine</w:t>
      </w:r>
      <w:r>
        <w:t xml:space="preserve"> (DEO) qui atteint des concentrations plasmatiques 5 à 10 fois supérieures à la molécule mère et concentre une grande part de la toxicité anticholinergique périphérique (sécheresse buccale, constipation). Le passage cutané muqueux (forme transdermique) ou l'administration orale à libération prolongée (LP) permettent de s'affranchir partiellement de l'effet de premier passage hépatique et donc de réduire la production de DEO — mais ces formes </w:t>
      </w:r>
      <w:r>
        <w:rPr>
          <w:b/>
        </w:rPr>
        <w:t>ne sont pas disponibles</w:t>
      </w:r>
      <w:r>
        <w:t xml:space="preserve"> dans la nomenclature algérienne en 2026 (seul le comprimé sécable 5 mg en Liste II est commercialisé).</w:t>
      </w:r>
    </w:p>
    <w:p>
      <w:r/>
      <w:r>
        <w:rPr>
          <w:b/>
        </w:rPr>
        <w:t>Médicaments disponibles en Algérie (Marques, Laboratoires, Formes et Dosages) :</w:t>
      </w:r>
      <w:r/>
    </w:p>
    <w:p>
      <w:pPr>
        <w:pStyle w:val="ListBullet"/>
      </w:pPr>
      <w:r/>
      <w:r>
        <w:rPr>
          <w:b/>
        </w:rPr>
        <w:t>DITROPAN</w:t>
      </w:r>
      <w:r>
        <w:t xml:space="preserve"> (SANOFI SYNTHELABO FRANCE)</w:t>
      </w:r>
    </w:p>
    <w:p>
      <w:pPr>
        <w:pStyle w:val="ListBullet"/>
      </w:pPr>
      <w:r>
        <w:t>Formes et Dosages : Comprimé sécable 5 mg, boîte de 60</w:t>
      </w:r>
    </w:p>
    <w:p>
      <w:pPr>
        <w:pStyle w:val="ListBullet"/>
      </w:pPr>
      <w:r>
        <w:t>Statut : Actif — Liste II (princeps historique)</w:t>
      </w:r>
    </w:p>
    <w:p>
      <w:pPr>
        <w:pStyle w:val="ListBullet"/>
      </w:pPr>
      <w:r/>
      <w:r>
        <w:rPr>
          <w:b/>
        </w:rPr>
        <w:t>DRIPTANE</w:t>
      </w:r>
      <w:r>
        <w:t xml:space="preserve"> (FOURNIER SAS)</w:t>
      </w:r>
    </w:p>
    <w:p>
      <w:pPr>
        <w:pStyle w:val="ListBullet"/>
      </w:pPr>
      <w:r>
        <w:t>Formes et Dosages : Comprimé sécable 5 mg, boîte de 60</w:t>
      </w:r>
    </w:p>
    <w:p>
      <w:pPr>
        <w:pStyle w:val="ListBullet"/>
      </w:pPr>
      <w:r>
        <w:t>Statut : Actif — Liste II (marque historique, parfois considérée comme princeps alternatif)</w:t>
      </w:r>
    </w:p>
    <w:p>
      <w:pPr>
        <w:pStyle w:val="ListBullet"/>
      </w:pPr>
      <w:r/>
      <w:r>
        <w:rPr>
          <w:b/>
        </w:rPr>
        <w:t>DRIPDOZ</w:t>
      </w:r>
      <w:r>
        <w:t xml:space="preserve"> (NOVAPHARM TRADING)</w:t>
      </w:r>
    </w:p>
    <w:p>
      <w:pPr>
        <w:pStyle w:val="ListBullet"/>
      </w:pPr>
      <w:r>
        <w:t>Formes et Dosages : Comprimé sécable 5 mg, boîte de 60</w:t>
      </w:r>
    </w:p>
    <w:p>
      <w:pPr>
        <w:pStyle w:val="ListBullet"/>
      </w:pPr>
      <w:r>
        <w:t>Statut : Actif — Liste II</w:t>
      </w:r>
    </w:p>
    <w:p>
      <w:pPr>
        <w:pStyle w:val="ListBullet"/>
      </w:pPr>
      <w:r/>
      <w:r>
        <w:rPr>
          <w:b/>
        </w:rPr>
        <w:t>RINOSPAN</w:t>
      </w:r>
      <w:r>
        <w:t xml:space="preserve"> (GEOPHARM)</w:t>
      </w:r>
    </w:p>
    <w:p>
      <w:pPr>
        <w:pStyle w:val="ListBullet"/>
      </w:pPr>
      <w:r>
        <w:t>Formes et Dosages : Comprimé 5 mg, boîte de 20</w:t>
      </w:r>
    </w:p>
    <w:p>
      <w:pPr>
        <w:pStyle w:val="ListBullet"/>
      </w:pPr>
      <w:r>
        <w:t>Statut : Actif — Liste II (conditionnement réduit, utile pour essai thérapeutique court)</w:t>
      </w:r>
    </w:p>
    <w:p>
      <w:pPr>
        <w:pStyle w:val="ListBullet"/>
      </w:pPr>
      <w:r/>
      <w:r>
        <w:rPr>
          <w:b/>
        </w:rPr>
        <w:t>OXYPTANE BR</w:t>
      </w:r>
      <w:r>
        <w:t xml:space="preserve"> (BIOREM)</w:t>
      </w:r>
    </w:p>
    <w:p>
      <w:pPr>
        <w:pStyle w:val="ListBullet"/>
      </w:pPr>
      <w:r>
        <w:t>Formes et Dosages : Comprimé sécable 5 mg, boîte de 60</w:t>
      </w:r>
    </w:p>
    <w:p>
      <w:pPr>
        <w:pStyle w:val="ListBullet"/>
      </w:pPr>
      <w:r>
        <w:t>Statut : Actif — Liste II</w:t>
      </w:r>
    </w:p>
    <w:p>
      <w:pPr>
        <w:pStyle w:val="ListBullet"/>
      </w:pPr>
      <w:r/>
      <w:r>
        <w:rPr>
          <w:b/>
        </w:rPr>
        <w:t>UROXYB</w:t>
      </w:r>
      <w:r>
        <w:t xml:space="preserve"> (BIOGALENIC)</w:t>
      </w:r>
    </w:p>
    <w:p>
      <w:pPr>
        <w:pStyle w:val="ListBullet"/>
      </w:pPr>
      <w:r>
        <w:t>Formes et Dosages : Comprimé sécable 5 mg, boîte de 60</w:t>
      </w:r>
    </w:p>
    <w:p>
      <w:pPr>
        <w:pStyle w:val="ListBullet"/>
      </w:pPr>
      <w:r>
        <w:t>Statut : Actif — Liste II</w:t>
      </w:r>
    </w:p>
    <w:p>
      <w:r>
        <w:t xml:space="preserve">L'offre algérienne est donc composée de </w:t>
      </w:r>
      <w:r>
        <w:rPr>
          <w:b/>
        </w:rPr>
        <w:t>6 spécialités actives</w:t>
      </w:r>
      <w:r>
        <w:t xml:space="preserve"> en Liste II (sur prescription médicale) à l'unique dosage de 5 mg comprimé sécable. Aucune forme LP orale, aucune forme transdermique, aucune forme sirop n'est disponible — ce qui limite considérablement l'adaptation posologique chez le sujet âgé (titration lente impossible par paliers de 2,5 mg) et la tolérance globale. Le pharmacien d'officine devra privilégier les génériques (DRIPDOZ, OXYPTANE BR, UROXYB) pour des raisons de coût, et réserver DITROPAN/DRIPTANE aux patients équilibrés sous princeps ne souhaitant pas de substitution.</w:t>
      </w:r>
    </w:p>
    <w:p>
      <w:r/>
      <w:r>
        <w:rPr>
          <w:b/>
        </w:rPr>
        <w:t>Sous-classe et Mécanisme d'action :</w:t>
      </w:r>
      <w:r/>
    </w:p>
    <w:p>
      <w:pPr>
        <w:pStyle w:val="ListBullet"/>
      </w:pPr>
      <w:r/>
      <w:r>
        <w:rPr>
          <w:b/>
        </w:rPr>
        <w:t>Sous-classe</w:t>
      </w:r>
      <w:r>
        <w:t xml:space="preserve"> : Antagoniste muscarinique M3 (anticholinergique) de 3e génération, indiqué dans l'hyperactivité vésicale (urgenturie, incontinence par urgenturie, pollakiurie, nycturie). Appartient à la famille pharmacologique des antimuscariniques vésicaux, aux côtés de la solifénacine, tolterodine, trospium, darifénacine, fésotérodine.</w:t>
      </w:r>
    </w:p>
    <w:p>
      <w:pPr>
        <w:pStyle w:val="ListBullet"/>
      </w:pPr>
      <w:r/>
      <w:r>
        <w:rPr>
          <w:b/>
        </w:rPr>
        <w:t>Mécanisme d'action</w:t>
      </w:r>
      <w:r>
        <w:t xml:space="preserve"> : antagoniste compétitif des récepteurs </w:t>
      </w:r>
      <w:r>
        <w:rPr>
          <w:b/>
        </w:rPr>
        <w:t>muscariniques M3</w:t>
      </w:r>
      <w:r>
        <w:t xml:space="preserve"> du détrusor vésical. Le récepteur M3 est couplé à la protéine </w:t>
      </w:r>
      <w:r>
        <w:rPr>
          <w:b/>
        </w:rPr>
        <w:t>Gq/11</w:t>
      </w:r>
      <w:r>
        <w:t xml:space="preserve"> qui active la </w:t>
      </w:r>
      <w:r>
        <w:rPr>
          <w:b/>
        </w:rPr>
        <w:t>phospholipase C (PLC)</w:t>
      </w:r>
      <w:r>
        <w:t xml:space="preserve"> → hydrolyse du PIP2 en </w:t>
      </w:r>
      <w:r>
        <w:rPr>
          <w:b/>
        </w:rPr>
        <w:t>IP3 + DAG</w:t>
      </w:r>
      <w:r>
        <w:t xml:space="preserve"> → libération du </w:t>
      </w:r>
      <w:r>
        <w:rPr>
          <w:b/>
        </w:rPr>
        <w:t>Ca2+ intracellulaire</w:t>
      </w:r>
      <w:r>
        <w:t xml:space="preserve"> du réticulum sarcoplasmique → activation de la </w:t>
      </w:r>
      <w:r>
        <w:rPr>
          <w:b/>
        </w:rPr>
        <w:t>calmoduline</w:t>
      </w:r>
      <w:r>
        <w:t xml:space="preserve"> → activation de la </w:t>
      </w:r>
      <w:r>
        <w:rPr>
          <w:b/>
        </w:rPr>
        <w:t>MLCK</w:t>
      </w:r>
      <w:r>
        <w:t xml:space="preserve"> (myosine light-chain kinase) → </w:t>
      </w:r>
      <w:r>
        <w:rPr>
          <w:b/>
        </w:rPr>
        <w:t>phosphorylation des chaînes légères de la myosine (MLC)</w:t>
      </w:r>
      <w:r>
        <w:t xml:space="preserve"> → contraction du muscle lisse détrusorien. Le blocage compétitif de l'acétylcholine sur M3 empêche cette cascade et </w:t>
      </w:r>
      <w:r>
        <w:rPr>
          <w:b/>
        </w:rPr>
        <w:t>relaxe le détrusor</w:t>
      </w:r>
      <w:r>
        <w:t xml:space="preserve">, supprimant les contractions vésicales involontaires (CVI) à l'origine de l'urgenturie. L'oxybutynine présente également une </w:t>
      </w:r>
      <w:r>
        <w:rPr>
          <w:b/>
        </w:rPr>
        <w:t>affinité accessoire pour M1, M2, M5</w:t>
      </w:r>
      <w:r>
        <w:t xml:space="preserve"> : le blocage M1 central est responsable des </w:t>
      </w:r>
      <w:r>
        <w:rPr>
          <w:b/>
        </w:rPr>
        <w:t>troubles cognitifs</w:t>
      </w:r>
      <w:r>
        <w:t xml:space="preserve"> (mémoire, attention, confusion) ; le blocage M2 cardiaque peut entraîner une </w:t>
      </w:r>
      <w:r>
        <w:rPr>
          <w:b/>
        </w:rPr>
        <w:t>tachycardie réflexe</w:t>
      </w:r>
      <w:r>
        <w:t xml:space="preserve">. Le blocage des M3 périphériques non vésicaux est responsable des effets indésirables classiques : </w:t>
      </w:r>
      <w:r>
        <w:rPr>
          <w:b/>
        </w:rPr>
        <w:t>sécheresse buccale</w:t>
      </w:r>
      <w:r>
        <w:t xml:space="preserve"> (glandes salivaires), </w:t>
      </w:r>
      <w:r>
        <w:rPr>
          <w:b/>
        </w:rPr>
        <w:t>constipation</w:t>
      </w:r>
      <w:r>
        <w:t xml:space="preserve"> (tube digestif), </w:t>
      </w:r>
      <w:r>
        <w:rPr>
          <w:b/>
        </w:rPr>
        <w:t>mydriase et glaucome</w:t>
      </w:r>
      <w:r>
        <w:t xml:space="preserve"> (œil), </w:t>
      </w:r>
      <w:r>
        <w:rPr>
          <w:b/>
        </w:rPr>
        <w:t>rétention urinaire</w:t>
      </w:r>
      <w:r>
        <w:t xml:space="preserve"> (vessie — paradoxe), </w:t>
      </w:r>
      <w:r>
        <w:rPr>
          <w:b/>
        </w:rPr>
        <w:t>bouffées de chaleur</w:t>
      </w:r>
      <w:r>
        <w:t xml:space="preserve"> (glandes sudoripares — anidrose).</w:t>
      </w:r>
    </w:p>
    <w:p>
      <w:r/>
      <w:r>
        <w:rPr>
          <w:b/>
        </w:rPr>
        <w:t>Profil Pharmacologique :</w:t>
      </w:r>
      <w:r/>
    </w:p>
    <w:p>
      <w:pPr>
        <w:pStyle w:val="ListBullet"/>
      </w:pPr>
      <w:r/>
      <w:r>
        <w:rPr>
          <w:b/>
        </w:rPr>
        <w:t>Indications</w:t>
      </w:r>
      <w:r>
        <w:t xml:space="preserve"> : hyperactivité vésicale (HAV) idiopathique ou neurogène chez l'adulte, caractérisée par urgenturie, pollakiurie diurne, nycturie et/ou incontinence par urgenturie. Efficace sur les symptômes du syndrome clinique, sur les contractions vésicales involontaires (CVI) à l'urodynamique. Chez l'enfant (à partir de 5 ans) dans l'énurésie nocturne associée à une capacité vésicale fonctionnelle réduite (indication hors AMM en Algérie, réservée au spécialiste urologue pédiatre). Indication « neurogène » : vessie neurogène spastique post-lésion médullaire, sclérose en plaques.</w:t>
      </w:r>
    </w:p>
    <w:p>
      <w:pPr>
        <w:pStyle w:val="ListBullet"/>
      </w:pPr>
      <w:r/>
      <w:r>
        <w:rPr>
          <w:b/>
        </w:rPr>
        <w:t>Contre-indications</w:t>
      </w:r>
      <w:r>
        <w:t xml:space="preserve"> :</w:t>
      </w:r>
    </w:p>
    <w:p>
      <w:pPr>
        <w:pStyle w:val="ListBullet"/>
      </w:pPr>
      <w:r/>
      <w:r>
        <w:rPr>
          <w:b/>
        </w:rPr>
        <w:t>Glaucome à angle fermé</w:t>
      </w:r>
      <w:r>
        <w:t xml:space="preserve"> (à angle étroit) non traité — risque de crise aiguë de glaucome par mydriase (blocage M3 du sphincter irien)</w:t>
      </w:r>
    </w:p>
    <w:p>
      <w:pPr>
        <w:pStyle w:val="ListBullet"/>
      </w:pPr>
      <w:r/>
      <w:r>
        <w:rPr>
          <w:b/>
        </w:rPr>
        <w:t>Rétention urinaire</w:t>
      </w:r>
      <w:r>
        <w:t xml:space="preserve"> (vessie hypotonique, obstacle sous-vésical non levé, HBP obstructive sévère non traitée)</w:t>
      </w:r>
    </w:p>
    <w:p>
      <w:pPr>
        <w:pStyle w:val="ListBullet"/>
      </w:pPr>
      <w:r/>
      <w:r>
        <w:rPr>
          <w:b/>
        </w:rPr>
        <w:t>Rétention gastrique</w:t>
      </w:r>
      <w:r>
        <w:t xml:space="preserve"> (gastroparésie diabétique, obstruction pylorique)</w:t>
      </w:r>
    </w:p>
    <w:p>
      <w:pPr>
        <w:pStyle w:val="ListBullet"/>
      </w:pPr>
      <w:r/>
      <w:r>
        <w:rPr>
          <w:b/>
        </w:rPr>
        <w:t>Myasthénie</w:t>
      </w:r>
      <w:r>
        <w:t xml:space="preserve"> (antagonisme du blocage muscarinique potentialise la faiblesse musculaire)</w:t>
      </w:r>
    </w:p>
    <w:p>
      <w:pPr>
        <w:pStyle w:val="ListBullet"/>
      </w:pPr>
      <w:r/>
      <w:r>
        <w:rPr>
          <w:b/>
        </w:rPr>
        <w:t>Toxémie gravidique</w:t>
      </w:r>
      <w:r>
        <w:t xml:space="preserve"> (effet sur la motilité utérine non documenté mais prudence)</w:t>
      </w:r>
    </w:p>
    <w:p>
      <w:pPr>
        <w:pStyle w:val="ListBullet"/>
      </w:pPr>
      <w:r/>
      <w:r>
        <w:rPr>
          <w:b/>
        </w:rPr>
        <w:t>Allaitement</w:t>
      </w:r>
      <w:r>
        <w:t xml:space="preserve"> (à éviter — passage dans le lait, effets anticholinergiques chez le nourrisson)</w:t>
      </w:r>
    </w:p>
    <w:p>
      <w:pPr>
        <w:pStyle w:val="ListBullet"/>
      </w:pPr>
      <w:r/>
      <w:r>
        <w:rPr>
          <w:b/>
        </w:rPr>
        <w:t>Hypersensibilité connue</w:t>
      </w:r>
      <w:r>
        <w:t xml:space="preserve"> à l'oxybutynine ou à l'un des excipients</w:t>
      </w:r>
    </w:p>
    <w:p>
      <w:pPr>
        <w:pStyle w:val="ListBullet"/>
      </w:pPr>
      <w:r/>
      <w:r>
        <w:rPr>
          <w:b/>
        </w:rPr>
        <w:t>Sujet âgé fragile avec troubles cognitifs</w:t>
      </w:r>
      <w:r>
        <w:t xml:space="preserve"> ou démence (précaution d'usage — pas une CI absolue mais à discuter au cas par cas, en privilégiant la solifénacine ou les alternatives non anticholinergiques)</w:t>
      </w:r>
    </w:p>
    <w:p>
      <w:pPr>
        <w:pStyle w:val="ListBullet"/>
      </w:pPr>
      <w:r/>
      <w:r>
        <w:rPr>
          <w:b/>
        </w:rPr>
        <w:t>Effets Indésirables</w:t>
      </w:r>
      <w:r>
        <w:t xml:space="preserve"> :</w:t>
      </w:r>
    </w:p>
    <w:p>
      <w:pPr>
        <w:pStyle w:val="ListBullet"/>
      </w:pPr>
      <w:r/>
      <w:r>
        <w:rPr>
          <w:b/>
        </w:rPr>
        <w:t>Très fréquents (&gt; 10 %)</w:t>
      </w:r>
      <w:r>
        <w:t xml:space="preserve"> : sécheresse buccale (jusqu'à 70 % à dose pleine — gêne masticatoire, caries, candidose), constipation (25-40 %), sécheresse oculaire, troubles de l'accommodation (vision floue), bouffées de chaleur</w:t>
      </w:r>
    </w:p>
    <w:p>
      <w:pPr>
        <w:pStyle w:val="ListBullet"/>
      </w:pPr>
      <w:r/>
      <w:r>
        <w:rPr>
          <w:b/>
        </w:rPr>
        <w:t>Fréquents (1-10 %)</w:t>
      </w:r>
      <w:r>
        <w:t xml:space="preserve"> : tachycardie sinusale, palpitations, rétention urinaire (paradoxe — à surveiller chez l'homme avec HBP), confusional states chez le sujet âgé, somnolence, vertiges, insomnie, nausées, dyspepsie</w:t>
      </w:r>
    </w:p>
    <w:p>
      <w:pPr>
        <w:pStyle w:val="ListBullet"/>
      </w:pPr>
      <w:r/>
      <w:r>
        <w:rPr>
          <w:b/>
        </w:rPr>
        <w:t>Peu fréquents (0,1-1 %)</w:t>
      </w:r>
      <w:r>
        <w:t xml:space="preserve"> : réactions allergiques (rash, prurit, urticaire), troubles de la mémoire, hallucinations (sujet âgé), dépression</w:t>
      </w:r>
    </w:p>
    <w:p>
      <w:pPr>
        <w:pStyle w:val="ListBullet"/>
      </w:pPr>
      <w:r/>
      <w:r>
        <w:rPr>
          <w:b/>
        </w:rPr>
        <w:t>Rares (&lt; 0,1 %)</w:t>
      </w:r>
      <w:r>
        <w:t xml:space="preserve"> : anaphylaxie, syndrome malin des anticholinergiques (hyperthermie, confusion, tachycardie, mydriase, sécheresse cutanée — urgence médicale), QT allongé (cas isolés)</w:t>
      </w:r>
    </w:p>
    <w:p>
      <w:pPr>
        <w:pStyle w:val="ListBullet"/>
      </w:pPr>
      <w:r/>
      <w:r>
        <w:rPr>
          <w:b/>
        </w:rPr>
        <w:t>Sujet âgé</w:t>
      </w:r>
      <w:r>
        <w:t xml:space="preserve"> : risque majoré de </w:t>
      </w:r>
      <w:r>
        <w:rPr>
          <w:b/>
        </w:rPr>
        <w:t>chutes</w:t>
      </w:r>
      <w:r>
        <w:t xml:space="preserve"> (somnolence, troubles de l'accommodation, hypotension orthostatique), </w:t>
      </w:r>
      <w:r>
        <w:rPr>
          <w:b/>
        </w:rPr>
        <w:t>décompensation cognitive</w:t>
      </w:r>
      <w:r>
        <w:t xml:space="preserve"> jusqu'au tableau pseudo-démentiel (le syndrome anticholinergique central — « atropinique » — peut mimer une démence d'Alzheimer et régresser à l'arrêt). La liste de Beers 2019 recommande d'éviter l'oxybutynine chez le sujet âgé en raison de sa forte charge anticholinergique centrale (ACB score = 3 — maximal).</w:t>
      </w:r>
    </w:p>
    <w:p>
      <w:r/>
      <w:r>
        <w:rPr>
          <w:b/>
        </w:rPr>
        <w:t>Prévention et Gestion des Effets Indésirables :</w:t>
      </w:r>
      <w:r/>
    </w:p>
    <w:p>
      <w:pPr>
        <w:pStyle w:val="ListBullet"/>
      </w:pPr>
      <w:r/>
      <w:r>
        <w:rPr>
          <w:b/>
        </w:rPr>
        <w:t>Mesures Préventives</w:t>
      </w:r>
      <w:r>
        <w:t xml:space="preserve"> :</w:t>
      </w:r>
    </w:p>
    <w:p>
      <w:pPr>
        <w:pStyle w:val="ListBullet"/>
      </w:pPr>
      <w:r/>
      <w:r>
        <w:rPr>
          <w:b/>
        </w:rPr>
        <w:t>Évaluation cognitive systématique</w:t>
      </w:r>
      <w:r>
        <w:t xml:space="preserve"> chez le sujet âgé avant prescription (MMSE, MMS) et à 4 semaines de traitement — arrêt immédiat en cas de baisse &gt; 2 points</w:t>
      </w:r>
    </w:p>
    <w:p>
      <w:pPr>
        <w:pStyle w:val="ListBullet"/>
      </w:pPr>
      <w:r/>
      <w:r>
        <w:rPr>
          <w:b/>
        </w:rPr>
        <w:t>Examen ophtalmologique</w:t>
      </w:r>
      <w:r>
        <w:t xml:space="preserve"> à la recherche d'un angle irido-cornéen étroit (glaucome à angle fermé) avant initiation — gonioscopie si doute</w:t>
      </w:r>
    </w:p>
    <w:p>
      <w:pPr>
        <w:pStyle w:val="ListBullet"/>
      </w:pPr>
      <w:r/>
      <w:r>
        <w:rPr>
          <w:b/>
        </w:rPr>
        <w:t>Toucher rectal / débitmétrie</w:t>
      </w:r>
      <w:r>
        <w:t xml:space="preserve"> chez l'homme &gt; 50 ans (recherche HBP obstructive — IPSS &gt; 20 = prudence)</w:t>
      </w:r>
    </w:p>
    <w:p>
      <w:pPr>
        <w:pStyle w:val="ListBullet"/>
      </w:pPr>
      <w:r/>
      <w:r>
        <w:rPr>
          <w:b/>
        </w:rPr>
        <w:t>Calendrier mictionnel</w:t>
      </w:r>
      <w:r>
        <w:t xml:space="preserve"> avant et pendant traitement (3 jours) pour évaluation objective de la réponse et de la tolérance</w:t>
      </w:r>
    </w:p>
    <w:p>
      <w:pPr>
        <w:pStyle w:val="ListBullet"/>
      </w:pPr>
      <w:r/>
      <w:r>
        <w:rPr>
          <w:b/>
        </w:rPr>
        <w:t>Hydratation orale suffisante</w:t>
      </w:r>
      <w:r>
        <w:t xml:space="preserve"> (1,5 L/j) pour limiter la constipation</w:t>
      </w:r>
    </w:p>
    <w:p>
      <w:pPr>
        <w:pStyle w:val="ListBullet"/>
      </w:pPr>
      <w:r/>
      <w:r>
        <w:rPr>
          <w:b/>
        </w:rPr>
        <w:t>Hygiène bucco-dentaire renforcée</w:t>
      </w:r>
      <w:r>
        <w:t xml:space="preserve"> (caries favorisées par l'hypersialie réduite)</w:t>
      </w:r>
    </w:p>
    <w:p>
      <w:pPr>
        <w:pStyle w:val="ListBullet"/>
      </w:pPr>
      <w:r/>
      <w:r>
        <w:rPr>
          <w:b/>
        </w:rPr>
        <w:t>Lunettes de soleil</w:t>
      </w:r>
      <w:r>
        <w:t xml:space="preserve"> en cas de mydriase gênante ; éviter la conduite nocturne</w:t>
      </w:r>
    </w:p>
    <w:p>
      <w:pPr>
        <w:pStyle w:val="ListBullet"/>
      </w:pPr>
      <w:r>
        <w:t xml:space="preserve">Privilégier la </w:t>
      </w:r>
      <w:r>
        <w:rPr>
          <w:b/>
        </w:rPr>
        <w:t>solifénacine</w:t>
      </w:r>
      <w:r>
        <w:t xml:space="preserve"> (charge anticholinergique centrale moindre) chez le sujet âgé cognitivement vulnérable</w:t>
      </w:r>
    </w:p>
    <w:p>
      <w:pPr>
        <w:pStyle w:val="ListBullet"/>
      </w:pPr>
      <w:r/>
      <w:r>
        <w:rPr>
          <w:b/>
        </w:rPr>
        <w:t>Conduite à Tenir</w:t>
      </w:r>
      <w:r>
        <w:t xml:space="preserve"> :</w:t>
      </w:r>
    </w:p>
    <w:p>
      <w:pPr>
        <w:pStyle w:val="ListBullet"/>
      </w:pPr>
      <w:r/>
      <w:r>
        <w:rPr>
          <w:b/>
        </w:rPr>
        <w:t>Sécheresse buccale</w:t>
      </w:r>
      <w:r>
        <w:t xml:space="preserve"> : augmentation de l'hydratation, salivaires artificiels (si non suffisants) ; si intolérance majeure, diminution de dose (5 mg × 1 → 2,5 mg × 2) ou switch vers solifénacine (sélectivité M3 supérieure) ou mirabégron (non disponible Algérie)</w:t>
      </w:r>
    </w:p>
    <w:p>
      <w:pPr>
        <w:pStyle w:val="ListBullet"/>
      </w:pPr>
      <w:r/>
      <w:r>
        <w:rPr>
          <w:b/>
        </w:rPr>
        <w:t>Constipation</w:t>
      </w:r>
      <w:r>
        <w:t xml:space="preserve"> : mesure hygiéno-diététiques (fibres, hydratation), laxatifs osmotiques (macrogol) si nécessaire ; pas de stimulants (potentialisation des troubles)</w:t>
      </w:r>
    </w:p>
    <w:p>
      <w:pPr>
        <w:pStyle w:val="ListBullet"/>
      </w:pPr>
      <w:r/>
      <w:r>
        <w:rPr>
          <w:b/>
        </w:rPr>
        <w:t>Troubles cognitifs</w:t>
      </w:r>
      <w:r>
        <w:t xml:space="preserve"> (confusion, désorientation, hallucinations) : </w:t>
      </w:r>
      <w:r>
        <w:rPr>
          <w:b/>
        </w:rPr>
        <w:t>arrêt immédiat et définitif de l'oxybutynine</w:t>
      </w:r>
      <w:r>
        <w:t xml:space="preserve"> — relais par solifénacine ou mirabégron, ou arrêt pur et simple du traitement anticholinergique</w:t>
      </w:r>
    </w:p>
    <w:p>
      <w:pPr>
        <w:pStyle w:val="ListBullet"/>
      </w:pPr>
      <w:r/>
      <w:r>
        <w:rPr>
          <w:b/>
        </w:rPr>
        <w:t>Rétention urinaire</w:t>
      </w:r>
      <w:r>
        <w:t xml:space="preserve"> : arrêt immédiat, sondage évacuateur si nécessaire, recherche d'un obstacle sous-jacent (HBP, sténose urétrale)</w:t>
      </w:r>
    </w:p>
    <w:p>
      <w:pPr>
        <w:pStyle w:val="ListBullet"/>
      </w:pPr>
      <w:r/>
      <w:r>
        <w:rPr>
          <w:b/>
        </w:rPr>
        <w:t>Syndrome malin anticholinergique</w:t>
      </w:r>
      <w:r>
        <w:t xml:space="preserve"> : urgence — arrêt, hospitalisation, traitement symptomatique (rarement physostigmine — discussion réanimation)</w:t>
      </w:r>
    </w:p>
    <w:p>
      <w:pPr>
        <w:pStyle w:val="ListBullet"/>
      </w:pPr>
      <w:r/>
      <w:r>
        <w:rPr>
          <w:b/>
        </w:rPr>
        <w:t>Surdosage aigu</w:t>
      </w:r>
      <w:r>
        <w:t xml:space="preserve"> (enfant, tentative de suicide) : syndrome atropinique complet (sécheresse cutanée rouge, mydriase fixée, tachycardie, hyperthermie, confusion, convulsions) — urgence toxicologique, arrêt, lavage gastrique si ingestion récente, charbon activé, réanimation, antidote possible </w:t>
      </w:r>
      <w:r>
        <w:rPr>
          <w:b/>
        </w:rPr>
        <w:t>physostigmine</w:t>
      </w:r>
      <w:r>
        <w:t xml:space="preserve"> (Antilirium) à discuter en milieu spécialisé</w:t>
      </w:r>
    </w:p>
    <w:p>
      <w:r/>
      <w:r>
        <w:rPr>
          <w:b/>
        </w:rPr>
        <w:t>Interactions Importantes :</w:t>
      </w:r>
      <w:r/>
    </w:p>
    <w:p>
      <w:pPr>
        <w:pStyle w:val="ListBullet"/>
      </w:pPr>
      <w:r/>
      <w:r>
        <w:rPr>
          <w:b/>
        </w:rPr>
        <w:t>+ Autres anticholinergiques</w:t>
      </w:r>
      <w:r>
        <w:t xml:space="preserve"> (atropine, scopolamine, antidépresseurs tricycliques amitriptyline/clomipramine/imipramine, antihistaminiques H1 1re génération hydroxyzine/prométhazine/dexchlorphéniramine, antiparkinsoniens atropiniques trihexyphénidyle/bipéridène, antipsychotiques phénothiazines/chlorpromazine) : </w:t>
      </w:r>
      <w:r>
        <w:rPr>
          <w:b/>
        </w:rPr>
        <w:t>addition des effets anticholinergiques</w:t>
      </w:r>
      <w:r>
        <w:t xml:space="preserve"> — risque majoré de glaucome aigu, rétention urinaire, iléus paralytique, syndrome confusionnel. Associations déconseillées.</w:t>
      </w:r>
    </w:p>
    <w:p>
      <w:pPr>
        <w:pStyle w:val="ListBullet"/>
      </w:pPr>
      <w:r/>
      <w:r>
        <w:rPr>
          <w:b/>
        </w:rPr>
        <w:t>+ Inhibiteurs CYP3A4</w:t>
      </w:r>
      <w:r>
        <w:t xml:space="preserve"> (kétoconazole, itraconazole, clarithromycine, érythromycine, ritonavir, jus de pamplemousse en grande quantité) : </w:t>
      </w:r>
      <w:r>
        <w:rPr>
          <w:b/>
        </w:rPr>
        <w:t>augmentation des concentrations d'oxybutynine</w:t>
      </w:r>
      <w:r>
        <w:t xml:space="preserve"> (métabolisme hépatique inhibé) — majoration des effets indésirables. Surveillance clinique, ou alternative antibactérienne (azithromycine — peu inhibiteur CYP3A4).</w:t>
      </w:r>
    </w:p>
    <w:p>
      <w:pPr>
        <w:pStyle w:val="ListBullet"/>
      </w:pPr>
      <w:r/>
      <w:r>
        <w:rPr>
          <w:b/>
        </w:rPr>
        <w:t>+ Inducteurs CYP3A4</w:t>
      </w:r>
      <w:r>
        <w:t xml:space="preserve"> (rifampicine, phénytoïne, carbamazépine, phénobarbital, millepertuis) : </w:t>
      </w:r>
      <w:r>
        <w:rPr>
          <w:b/>
        </w:rPr>
        <w:t>baisse des concentrations d'oxybutynine</w:t>
      </w:r>
      <w:r>
        <w:t xml:space="preserve"> — perte d'efficacité possible. Surveillance clinique.</w:t>
      </w:r>
    </w:p>
    <w:p>
      <w:pPr>
        <w:pStyle w:val="ListBullet"/>
      </w:pPr>
      <w:r/>
      <w:r>
        <w:rPr>
          <w:b/>
        </w:rPr>
        <w:t>+ Lévodopa</w:t>
      </w:r>
      <w:r>
        <w:t xml:space="preserve"> (Parkinson) : antagonisme pharmacologique — baisse d'efficacité de la lévodopa, majoration des troubles moteurs. Association déconseillée, préférer les alternatives non anticholinergiques.</w:t>
      </w:r>
    </w:p>
    <w:p>
      <w:pPr>
        <w:pStyle w:val="ListBullet"/>
      </w:pPr>
      <w:r/>
      <w:r>
        <w:rPr>
          <w:b/>
        </w:rPr>
        <w:t>+ Alcool</w:t>
      </w:r>
      <w:r>
        <w:t xml:space="preserve"> : potentialisation de la sédation et des troubles cognitifs. Éviter.</w:t>
      </w:r>
    </w:p>
    <w:p>
      <w:pPr>
        <w:pStyle w:val="ListBullet"/>
      </w:pPr>
      <w:r/>
      <w:r>
        <w:rPr>
          <w:b/>
        </w:rPr>
        <w:t>+ Digoxine</w:t>
      </w:r>
      <w:r>
        <w:t xml:space="preserve"> (rare) : modifications de la biodisponibilité de la digoxine (modification de la motilité digestive). Surveillance.</w:t>
      </w:r>
    </w:p>
    <w:p>
      <w:pPr>
        <w:pStyle w:val="ListBullet"/>
      </w:pPr>
      <w:r/>
      <w:r>
        <w:rPr>
          <w:b/>
        </w:rPr>
        <w:t>+ Antiacides</w:t>
      </w:r>
      <w:r>
        <w:t xml:space="preserve"> (aluminium-magnésium) : diminution possible de l'absorption — espacer les prises de 2 h.</w:t>
      </w:r>
    </w:p>
    <w:p>
      <w:r/>
      <w:r>
        <w:rPr>
          <w:b/>
        </w:rPr>
        <w:t>Grossesse et Allaitement :</w:t>
      </w:r>
      <w:r/>
    </w:p>
    <w:p>
      <w:pPr>
        <w:pStyle w:val="ListBullet"/>
      </w:pPr>
      <w:r/>
      <w:r>
        <w:rPr>
          <w:b/>
        </w:rPr>
        <w:t>Grossesse</w:t>
      </w:r>
      <w:r>
        <w:t xml:space="preserve"> : les données animales n'ont pas mis en évidence de tératogénicité, mais les données cliniques humaines sont limitées. Le CRAT (Centre de Renseignement sur les Agents Téragènes) classe l'oxybutynine en « à éviter par mesure de prudence », en particulier au </w:t>
      </w:r>
      <w:r>
        <w:rPr>
          <w:b/>
        </w:rPr>
        <w:t>3e trimestre</w:t>
      </w:r>
      <w:r>
        <w:t xml:space="preserve"> (risque théorique de détresse paralytique néonatale, hyperthermie, tachycardie fœtale, hypotonie, troubles de succion) par passage transplacentaire. L'hyperactivité vésicale de la femme enceinte (compression par l'utérus gravide) est rarement au point de justifier un anticholinergique — privilégier les mesures hygiéno-diététiques (mictions régulières, restriction hydrique vespérale). En cas d'indication absolue (vessie neurogène avec rétention et surdistension), discuter au cas par cas avec l'urologue et l'obstétricien, en évitant le 1er trimestre et le 3e trimestre.</w:t>
      </w:r>
    </w:p>
    <w:p>
      <w:pPr>
        <w:pStyle w:val="ListBullet"/>
      </w:pPr>
      <w:r/>
      <w:r>
        <w:rPr>
          <w:b/>
        </w:rPr>
        <w:t>Allaitement</w:t>
      </w:r>
      <w:r>
        <w:t xml:space="preserve"> : l'oxybutynine </w:t>
      </w:r>
      <w:r>
        <w:rPr>
          <w:b/>
        </w:rPr>
        <w:t>passe dans le lait maternel</w:t>
      </w:r>
      <w:r>
        <w:t xml:space="preserve"> (lait plus liposoluble que le plasma en raison de la liposolubilité de la molécule). Risque théorique d'effets anticholinergiques chez le nourrisson (sécheresse buccale, tachycardie, constipation, somnolence, baisse de la lactation par inhibition du réflexe d'éjection). Le CRAT recommande de </w:t>
      </w:r>
      <w:r>
        <w:rPr>
          <w:b/>
        </w:rPr>
        <w:t>l'éviter pendant l'allaitement</w:t>
      </w:r>
      <w:r>
        <w:t xml:space="preserve"> ; si indispensable, surveiller l'enfant et envisager un arrêt temporaire de l'allaitement. Alternative : solifénacine (données plus limitées, même prudence).</w:t>
      </w:r>
    </w:p>
    <w:p>
      <w:pPr>
        <w:pStyle w:val="ListBullet"/>
      </w:pPr>
      <w:r/>
      <w:r>
        <w:rPr>
          <w:b/>
        </w:rPr>
        <w:t>Précisions</w:t>
      </w:r>
      <w:r>
        <w:t xml:space="preserve"> : l'oxybutynine ne doit pas être utilisée pour l'énurésie de l'enfant en bas âge (avant 5 ans) — données pédiatriques limitées, prudence.</w:t>
      </w:r>
    </w:p>
    <w:p>
      <w:r/>
      <w:r>
        <w:rPr>
          <w:b/>
        </w:rPr>
        <w:t>Posologie et Mode d'administration (Standard) :</w:t>
      </w:r>
      <w:r/>
    </w:p>
    <w:p>
      <w:pPr>
        <w:pStyle w:val="ListBullet"/>
      </w:pPr>
      <w:r/>
      <w:r>
        <w:rPr>
          <w:b/>
        </w:rPr>
        <w:t>Adulte (18-65 ans)</w:t>
      </w:r>
      <w:r>
        <w:t xml:space="preserve"> : 5 mg (1 comprimé sécable) </w:t>
      </w:r>
      <w:r>
        <w:rPr>
          <w:b/>
        </w:rPr>
        <w:t>2 à 3 fois par jour</w:t>
      </w:r>
      <w:r>
        <w:t xml:space="preserve"> (soit 10 à 15 mg/jour en 2 à 3 prises). Posologie maximale 20 mg/jour (4 comprimés) en cas d'échec à dose intermédiaire et tolérance acceptable. Démarrer à 5 mg × 2/j pendant 1 semaine, puis titrer selon efficacité et tolérance.</w:t>
      </w:r>
    </w:p>
    <w:p>
      <w:pPr>
        <w:pStyle w:val="ListBullet"/>
      </w:pPr>
      <w:r/>
      <w:r>
        <w:rPr>
          <w:b/>
        </w:rPr>
        <w:t>Sujet âgé (&gt; 65 ans)</w:t>
      </w:r>
      <w:r>
        <w:t xml:space="preserve"> : 2,5 mg (1/2 comprimé sécable) </w:t>
      </w:r>
      <w:r>
        <w:rPr>
          <w:b/>
        </w:rPr>
        <w:t>2 fois par jour</w:t>
      </w:r>
      <w:r>
        <w:t xml:space="preserve"> (soit 5 mg/jour en 2 prises) en démarrage, puis titration lente selon tolérance. Posologie maximale recommandée 10 mg/jour chez le sujet âgé fragile. Évaluation cognitive systématique avant et pendant traitement. Éviter chez le sujet âgé dément ou fragile (liste de Beers).</w:t>
      </w:r>
    </w:p>
    <w:p>
      <w:pPr>
        <w:pStyle w:val="ListBullet"/>
      </w:pPr>
      <w:r/>
      <w:r>
        <w:rPr>
          <w:b/>
        </w:rPr>
        <w:t>Enfant (5-18 ans, indication énurésie / HAV neurogène)</w:t>
      </w:r>
      <w:r>
        <w:t xml:space="preserve"> : 0,3 mg/kg/jour en 2 prises (sans dépasser 5 mg × 2/j), sous suivi urologique pédiatrique spécialisé. À éviter avant 5 ans.</w:t>
      </w:r>
    </w:p>
    <w:p>
      <w:pPr>
        <w:pStyle w:val="ListBullet"/>
      </w:pPr>
      <w:r/>
      <w:r>
        <w:rPr>
          <w:b/>
        </w:rPr>
        <w:t>Insuffisant hépatique</w:t>
      </w:r>
      <w:r>
        <w:t xml:space="preserve"> : prudence — métabolisme hépatique CYP3A4, démarrer à dose réduite (2,5 mg × 2/j)</w:t>
      </w:r>
    </w:p>
    <w:p>
      <w:pPr>
        <w:pStyle w:val="ListBullet"/>
      </w:pPr>
      <w:r/>
      <w:r>
        <w:rPr>
          <w:b/>
        </w:rPr>
        <w:t>Insuffisant rénal</w:t>
      </w:r>
      <w:r>
        <w:t xml:space="preserve"> : pas d'adaptation posologique systématique (élimination hépatique majoritaire), mais surveillance accrue en cas d'insuffisance sévère (clairance &lt; 30 mL/min)</w:t>
      </w:r>
    </w:p>
    <w:p>
      <w:pPr>
        <w:pStyle w:val="ListBullet"/>
      </w:pPr>
      <w:r/>
      <w:r>
        <w:rPr>
          <w:b/>
        </w:rPr>
        <w:t>Durée</w:t>
      </w:r>
      <w:r>
        <w:t xml:space="preserve"> : traitement au </w:t>
      </w:r>
      <w:r>
        <w:rPr>
          <w:b/>
        </w:rPr>
        <w:t>long cours</w:t>
      </w:r>
      <w:r>
        <w:t xml:space="preserve"> de l'hyperactivité vésicale chronique — réévaluation annuelle minimum (calendrier mictionnel, échelle USP/ICIQ-SF, débitmétrie, suivi cognitif sujet âgé). Tentative de sevrage tous les 6-12 mois si stabilité clinique prolongée.</w:t>
      </w:r>
    </w:p>
    <w:p>
      <w:pPr>
        <w:pStyle w:val="ListBullet"/>
      </w:pPr>
      <w:r/>
      <w:r>
        <w:rPr>
          <w:b/>
        </w:rPr>
        <w:t>Moment de la prise</w:t>
      </w:r>
      <w:r>
        <w:t xml:space="preserve"> : pendant ou après les repas (diminution des nausées), répartition homogène matin-midi-soir, prise vespérale précoce (avant 18h) pour limiter la nycturie iatrogène (la prise tardive peut aggraver la rétention nocturne et l'incontinence par regorgement).</w:t>
      </w:r>
    </w:p>
    <w:p>
      <w:r/>
      <w:r>
        <w:rPr>
          <w:b/>
        </w:rPr>
        <w:t>Arbitrage et Bénéfices des Formes Galéniques :</w:t>
      </w:r>
      <w:r/>
    </w:p>
    <w:p>
      <w:pPr>
        <w:pStyle w:val="ListBullet"/>
      </w:pPr>
      <w:r/>
      <w:r>
        <w:rPr>
          <w:b/>
        </w:rPr>
        <w:t>Comprimé sécable 5 mg</w:t>
      </w:r>
      <w:r>
        <w:t xml:space="preserve"> : seule forme disponible en Algérie. Permet la titration par paliers de 2,5 mg (sujet âgé), mais impose une prise pluriquotidienne (2 à 3 fois/jour) — observance médiocre à long terme (40 % d'arrêt à 6 mois dans les séries observationnelles). Score de charge anticholinergique ACB = 3 (maximal).</w:t>
      </w:r>
    </w:p>
    <w:p>
      <w:pPr>
        <w:pStyle w:val="ListBullet"/>
      </w:pPr>
      <w:r/>
      <w:r>
        <w:rPr>
          <w:b/>
        </w:rPr>
        <w:t>Forme LP orale (Ditropan LP 10 mg, 15 mg — NON disponible en Algérie)</w:t>
      </w:r>
      <w:r>
        <w:t xml:space="preserve"> : permettrait une prise unique quotidienne, diminution de 50 % du métabolite actif DEO et donc de la sécheresse buccale. Référence internationale pour la tolérance.</w:t>
      </w:r>
    </w:p>
    <w:p>
      <w:pPr>
        <w:pStyle w:val="ListBullet"/>
      </w:pPr>
      <w:r/>
      <w:r>
        <w:rPr>
          <w:b/>
        </w:rPr>
        <w:t>Forme transdermique patch (Kentera, NON disponible en Algérie)</w:t>
      </w:r>
      <w:r>
        <w:t xml:space="preserve"> : meilleure tolérance (bypass hépatique, stabilité des concentrations), mais irritation cutanée locale (prurit, érythème) et coût élevé.</w:t>
      </w:r>
    </w:p>
    <w:p>
      <w:pPr>
        <w:pStyle w:val="ListBullet"/>
      </w:pPr>
      <w:r/>
      <w:r>
        <w:rPr>
          <w:b/>
        </w:rPr>
        <w:t>Forme sirop (Ditropan sirop 5 mg/5 mL — NON disponible en Algérie)</w:t>
      </w:r>
      <w:r>
        <w:t xml:space="preserve"> : utile pour la pédiatrie et la titration fine chez le sujet âgé.</w:t>
      </w:r>
    </w:p>
    <w:p>
      <w:pPr>
        <w:pStyle w:val="ListBullet"/>
      </w:pPr>
      <w:r/>
      <w:r>
        <w:rPr>
          <w:b/>
        </w:rPr>
        <w:t>Forme gel topique (Gelnique — NON disponible)</w:t>
      </w:r>
      <w:r>
        <w:t xml:space="preserve"> : application quotidienne, faible passage systémique.</w:t>
      </w:r>
    </w:p>
    <w:p>
      <w:pPr>
        <w:pStyle w:val="ListBullet"/>
      </w:pPr>
      <w:r/>
      <w:r>
        <w:rPr>
          <w:b/>
        </w:rPr>
        <w:t>Recommandation Algérie</w:t>
      </w:r>
      <w:r>
        <w:t xml:space="preserve"> : en l'absence des formes LP et transdermique, </w:t>
      </w:r>
      <w:r>
        <w:rPr>
          <w:b/>
        </w:rPr>
        <w:t>privilégier la solifénacine</w:t>
      </w:r>
      <w:r>
        <w:t xml:space="preserve"> (prise unique, meilleure tolérance centrale) chez le sujet âgé ; réserver l'oxybutynine au sujet jeune (&lt; 65 ans) sans trouble cognitif, à HAV invalidante, en privilégiant les génériques (DRIPDOZ, UROXYB, OXYPTANE BR) pour des raisons de coût.</w:t>
      </w:r>
    </w:p>
    <w:p>
      <w:r/>
      <w:r>
        <w:rPr>
          <w:b/>
        </w:rPr>
        <w:t>Instructions et Conseils au Patient :</w:t>
      </w:r>
      <w:r/>
    </w:p>
    <w:p>
      <w:pPr>
        <w:pStyle w:val="ListBullet"/>
      </w:pPr>
      <w:r/>
      <w:r>
        <w:rPr>
          <w:b/>
        </w:rPr>
        <w:t>Communication au comptoir</w:t>
      </w:r>
      <w:r>
        <w:t xml:space="preserve"> :</w:t>
      </w:r>
    </w:p>
    <w:p>
      <w:pPr>
        <w:pStyle w:val="ListBullet"/>
      </w:pPr>
      <w:r>
        <w:t>« Ce médicament est prescrit pour réduire l'envie urgente et trop fréquente d'uriner. Il agit en relaxant le muscle de la vessie. »</w:t>
      </w:r>
    </w:p>
    <w:p>
      <w:pPr>
        <w:pStyle w:val="ListBullet"/>
      </w:pPr>
      <w:r>
        <w:t>« Prenez-le pendant ou après les repas, à heures fixes, pour ne pas oublier de prise. »</w:t>
      </w:r>
    </w:p>
    <w:p>
      <w:pPr>
        <w:pStyle w:val="ListBullet"/>
      </w:pPr>
      <w:r>
        <w:t>« Vous risquez une sécheresse de la bouche : buvez de l'eau régulièrement, sucez des bonbons sans sucre, brossez bien vos dents pour éviter les caries. »</w:t>
      </w:r>
    </w:p>
    <w:p>
      <w:pPr>
        <w:pStyle w:val="ListBullet"/>
      </w:pPr>
      <w:r>
        <w:t>« Vous risquez une constipation : mangez des fibres (fruits, légumes, pain complet), buvez 1,5 L d'eau/jour. »</w:t>
      </w:r>
    </w:p>
    <w:p>
      <w:pPr>
        <w:pStyle w:val="ListBullet"/>
      </w:pPr>
      <w:r>
        <w:t>« Si vous avez plus de 65 ans et que vous vous sentez confus, désorienté, que vous oubliez des choses inhabituellement, ou que vous voyez des choses qui n'existent pas : ARRÊTEZ le traitement et CONTACTEZ IMMÉDIATEMENT votre médecin traitant ou votre urologue. »</w:t>
      </w:r>
    </w:p>
    <w:p>
      <w:pPr>
        <w:pStyle w:val="ListBullet"/>
      </w:pPr>
      <w:r>
        <w:t>« Si vous avez des difficultés à uriner, un globe vésical douloureux, des maux de tête avec troubles visuels (halos colorés) : ARRÊTEZ et consulter en urgence (risque de rétention ou de glaucome). »</w:t>
      </w:r>
    </w:p>
    <w:p>
      <w:pPr>
        <w:pStyle w:val="ListBullet"/>
      </w:pPr>
      <w:r>
        <w:t>« Évitez l'alcool — il potentialise la somnolence. »</w:t>
      </w:r>
    </w:p>
    <w:p>
      <w:pPr>
        <w:pStyle w:val="ListBullet"/>
      </w:pPr>
      <w:r>
        <w:t>« Évitez la conduite nocturne si vous avez une vision floue. »</w:t>
      </w:r>
    </w:p>
    <w:p>
      <w:pPr>
        <w:pStyle w:val="ListBullet"/>
      </w:pPr>
      <w:r>
        <w:t>« Ce traitement est au long cours — ne l'arrêtez pas de vous-même, parlez-en à votre médecin pour une réévaluation annuelle. »</w:t>
      </w:r>
    </w:p>
    <w:p>
      <w:pPr>
        <w:pStyle w:val="ListBullet"/>
      </w:pPr>
      <w:r/>
      <w:r>
        <w:rPr>
          <w:b/>
        </w:rPr>
        <w:t>Mode d'utilisation pratique</w:t>
      </w:r>
      <w:r>
        <w:t xml:space="preserve"> : 1 comprimé à 8h, 1 comprimé à 14h, éventuellement 1 comprimé à 20h (selon prescription). En cas d'oubli &lt; 2h : prendre la dose. Si oubli &gt; 2h : sauter la dose et prendre la suivante à l'heure habituelle — </w:t>
      </w:r>
      <w:r>
        <w:rPr>
          <w:b/>
        </w:rPr>
        <w:t>ne jamais doubler</w:t>
      </w:r>
      <w:r>
        <w:t xml:space="preserve"> la dose. Conserver à température ambiante (&lt; 25°C), à l'abri de l'humidité et de la lumière. Tenir hors de portée des enfants.</w:t>
      </w:r>
    </w:p>
    <w:p>
      <w:r/>
      <w:r>
        <w:rPr>
          <w:b/>
        </w:rPr>
        <w:t>Notes, Règles d'Or &amp; Pièges au Comptoir :</w:t>
      </w:r>
      <w:r/>
    </w:p>
    <w:p>
      <w:pPr>
        <w:pStyle w:val="ListBullet"/>
      </w:pPr>
      <w:r/>
      <w:r>
        <w:rPr>
          <w:b/>
        </w:rPr>
        <w:t>Piège classique n°1 — Le sujet âgé cognitif</w:t>
      </w:r>
      <w:r>
        <w:t xml:space="preserve"> : une femme de 78 ans se plaint de fuites urinaires urgentes, le médecin prescrit oxybutynine 5 mg × 2/j. Deux semaines plus tard, sa fille revient dire que sa mère est « complètement perdue », désorientée, ne reconnaît plus ses petits-enfants. </w:t>
      </w:r>
      <w:r>
        <w:rPr>
          <w:b/>
        </w:rPr>
        <w:t>Diagnostic</w:t>
      </w:r>
      <w:r>
        <w:t xml:space="preserve"> : syndrome anticholinergique central iatrogène. </w:t>
      </w:r>
      <w:r>
        <w:rPr>
          <w:b/>
        </w:rPr>
        <w:t>Conduite</w:t>
      </w:r>
      <w:r>
        <w:t xml:space="preserve"> : arrêt immédiat de l'oxybutynine, consultation médicale pour évaluation cognitive et alternative thérapeutique (rééducation périnéale seule, ou solifénacine à dose réduite avec surveillance cognitive). Ne JAMAIS prescrire d'oxybutynine à un sujet âgé dément, fragile, ou cognitivement vulnérable — liste de Beers 2019.</w:t>
      </w:r>
    </w:p>
    <w:p>
      <w:pPr>
        <w:pStyle w:val="ListBullet"/>
      </w:pPr>
      <w:r/>
      <w:r>
        <w:rPr>
          <w:b/>
        </w:rPr>
        <w:t>Piège classique n°2 — Le glaucome méconnu</w:t>
      </w:r>
      <w:r>
        <w:t xml:space="preserve"> : patiente hypermétrope de 60 ans (yeux petits, hypermétropie = facteur de risque anatomique de glaucome à angle fermé), premier comprimé d'oxybutynine le soir → réveil à 3h du matin avec œil rouge douloureux, vision floue, halos colorés, nausées → </w:t>
      </w:r>
      <w:r>
        <w:rPr>
          <w:b/>
        </w:rPr>
        <w:t>crise aiguë de glaucome par fermeture de l'angle</w:t>
      </w:r>
      <w:r>
        <w:t xml:space="preserve">. </w:t>
      </w:r>
      <w:r>
        <w:rPr>
          <w:b/>
        </w:rPr>
        <w:t>Conduite</w:t>
      </w:r>
      <w:r>
        <w:t xml:space="preserve"> : urgence ophtalmologique absolue (piège à l'iris laser ou chirurgie). Prévention : interrogation systématique du patient sur un antécédent de glaucome, examen ophtalmologique préalable si âge &gt; 60 ans et hypermétropie.</w:t>
      </w:r>
    </w:p>
    <w:p>
      <w:pPr>
        <w:pStyle w:val="ListBullet"/>
      </w:pPr>
      <w:r/>
      <w:r>
        <w:rPr>
          <w:b/>
        </w:rPr>
        <w:t>Piège classique n°3 — La HBP obstructive masculine</w:t>
      </w:r>
      <w:r>
        <w:t xml:space="preserve"> : homme de 68 ans avec HBP non diagnostiquée, traité par oxybutynine pour « urgenturie » (qui est en fait une hyperactivité compensatrice à l'obstacle) → 48h plus tard, globe vésical douloureux, rétention aiguë d'urines, sondage évacuateur en urgence. </w:t>
      </w:r>
      <w:r>
        <w:rPr>
          <w:b/>
        </w:rPr>
        <w:t>Conduite</w:t>
      </w:r>
      <w:r>
        <w:t xml:space="preserve"> : arrêt de l'oxybutynine, bilan urologique (PSA, débitmétrie, échographie vésicale post-mictionnelle), traitement de l'HBP (alpha-bloquant ± inhibiteur 5-alpha-réductase).</w:t>
      </w:r>
    </w:p>
    <w:p>
      <w:pPr>
        <w:pStyle w:val="ListBullet"/>
      </w:pPr>
      <w:r/>
      <w:r>
        <w:rPr>
          <w:b/>
        </w:rPr>
        <w:t>Piège classique n°4 — L'association anticholinergique cachée</w:t>
      </w:r>
      <w:r>
        <w:t xml:space="preserve"> : patient sous amitriptyline (antidépresseur tricyclique, forte charge anticholinergique) pour dépression, se voit prescrire oxybutynine → syndrome atropinique complet en 48h. </w:t>
      </w:r>
      <w:r>
        <w:rPr>
          <w:b/>
        </w:rPr>
        <w:t>Prévention</w:t>
      </w:r>
      <w:r>
        <w:t xml:space="preserve"> : analyser la prescription avec l'outil </w:t>
      </w:r>
      <w:r>
        <w:rPr>
          <w:b/>
        </w:rPr>
        <w:t>ACB (Anticholinergic Cognitive Burden) score</w:t>
      </w:r>
      <w:r>
        <w:t xml:space="preserve"> — si score cumulé ≥ 3, déprescrire.</w:t>
      </w:r>
    </w:p>
    <w:p>
      <w:pPr>
        <w:pStyle w:val="ListBullet"/>
      </w:pPr>
      <w:r/>
      <w:r>
        <w:rPr>
          <w:b/>
        </w:rPr>
        <w:t>Règle de prise</w:t>
      </w:r>
      <w:r>
        <w:t xml:space="preserve"> : la dernière prise doit être </w:t>
      </w:r>
      <w:r>
        <w:rPr>
          <w:b/>
        </w:rPr>
        <w:t>avant 19h</w:t>
      </w:r>
      <w:r>
        <w:t xml:space="preserve"> pour limiter la nycturie paradoxale par rétention nocturne.</w:t>
      </w:r>
    </w:p>
    <w:p>
      <w:pPr>
        <w:pStyle w:val="ListBullet"/>
      </w:pPr>
      <w:r/>
      <w:r>
        <w:rPr>
          <w:b/>
        </w:rPr>
        <w:t>Préparation et Conservation</w:t>
      </w:r>
      <w:r>
        <w:t xml:space="preserve"> : comprimés à conserver à température &lt; 25°C, à l'abri de l'humidité. Durée de conservation 3 ans (voir DLC sur l'emballage).</w:t>
      </w:r>
    </w:p>
    <w:p>
      <w:pPr>
        <w:pStyle w:val="ListBullet"/>
      </w:pPr>
      <w:r/>
      <w:r>
        <w:rPr>
          <w:b/>
        </w:rPr>
        <w:t>Piège du surdosage / Substitution</w:t>
      </w:r>
      <w:r>
        <w:t xml:space="preserve"> : ne pas confondre DITROPAN et DRIPTANE avec les autres comprimés sécables blancs au comptoir — toujours vérifier la prescription. Le surdosage aigu (enfant, tentative de suicide) donne un tableau d'</w:t>
      </w:r>
      <w:r>
        <w:rPr>
          <w:b/>
        </w:rPr>
        <w:t>intoxication atropinique</w:t>
      </w:r>
      <w:r>
        <w:t xml:space="preserve"> (sécheresse, rougeur cutanée, mydriase, tachycardie, hyperthermie, confusion, convulsions) — urgence toxicologique (Centre Antipoison — CIDT Algérie). Le maintien des voies aériennes, l'hydratation IV, le refroidissement externe sont essentiels ; antidote discuté : physostigmine (Antilirium) en milieu spécialisé.</w:t>
      </w:r>
    </w:p>
    <w:p>
      <w:pPr>
        <w:pStyle w:val="Heading3"/>
      </w:pPr>
      <w:r>
        <w:t>73.2. DCI : Solifénacine (Seule)</w:t>
      </w:r>
    </w:p>
    <w:p>
      <w:r/>
      <w:r>
        <w:rPr>
          <w:b/>
        </w:rPr>
        <w:t>Liste des Catégories :</w:t>
      </w:r>
      <w:r>
        <w:t xml:space="preserve"> Incontinence urinaire - Anticholinergiques (M3)</w:t>
      </w:r>
    </w:p>
    <w:p>
      <w:r>
        <w:t xml:space="preserve">La solifénacine est un antimuscarinique vésical moderne (succinate de solifénacine, développé par Astellas/Yamanouchi, commercialisé en Europe depuis 2004 — VESICARE princeps). Sa structure chimique (tétrahydroisoquinoline) diffère de l'oxybutynine et lui confère une </w:t>
      </w:r>
      <w:r>
        <w:rPr>
          <w:b/>
        </w:rPr>
        <w:t>affinité marquée pour les récepteurs M3</w:t>
      </w:r>
      <w:r>
        <w:t xml:space="preserve"> (Ki 13 nM) par rapport aux M2 (Ki 250 nM), soit une </w:t>
      </w:r>
      <w:r>
        <w:rPr>
          <w:b/>
        </w:rPr>
        <w:t>sélectivité M3/M2 d'environ 20</w:t>
      </w:r>
      <w:r>
        <w:t xml:space="preserve"> — contre 6 pour l'oxybutynine. Cette sélectivité accrue n'élimine cependant pas les effets périphériques (sécheresse buccale, constipation) qui restent dose-dépendants, mais s'accompagne d'une </w:t>
      </w:r>
      <w:r>
        <w:rPr>
          <w:b/>
        </w:rPr>
        <w:t>moindre charge centrale</w:t>
      </w:r>
      <w:r>
        <w:t xml:space="preserve"> (ACB score = 2 — vs 3 pour l'oxybutynine), expliquant le meilleur profil cognitif chez le sujet âgé. La solifénacine traverse peu la BBB en raison d'une affinité pour la </w:t>
      </w:r>
      <w:r>
        <w:rPr>
          <w:b/>
        </w:rPr>
        <w:t>P-gp (P-glycoprotéine)</w:t>
      </w:r>
      <w:r>
        <w:t xml:space="preserve"> qui la refoule activement du cerveau vers le sang. Sa </w:t>
      </w:r>
      <w:r>
        <w:rPr>
          <w:b/>
        </w:rPr>
        <w:t>demi-vie d'élimination longue (45-68 h)</w:t>
      </w:r>
      <w:r>
        <w:t xml:space="preserve"> autorise une </w:t>
      </w:r>
      <w:r>
        <w:rPr>
          <w:b/>
        </w:rPr>
        <w:t>prise unique quotidienne</w:t>
      </w:r>
      <w:r>
        <w:t xml:space="preserve">, améliorant l'observance. Le métabolisme hépatique par </w:t>
      </w:r>
      <w:r>
        <w:rPr>
          <w:b/>
        </w:rPr>
        <w:t>CYP3A4</w:t>
      </w:r>
      <w:r>
        <w:t xml:space="preserve"> est moins intense que pour l'oxybutynine (moins de production de métabolites actifs), et la biodisponibilité orale est de 90 %. La solifénacine représente aujourd'hui la </w:t>
      </w:r>
      <w:r>
        <w:rPr>
          <w:b/>
        </w:rPr>
        <w:t>référence thérapeutique</w:t>
      </w:r>
      <w:r>
        <w:t xml:space="preserve"> de l'hyperactivité vésicale en Algérie en raison de sa meilleure tolérance cognitive, bien que le princeps VESICARE 5 mg soit </w:t>
      </w:r>
      <w:r>
        <w:rPr>
          <w:b/>
        </w:rPr>
        <w:t>retiré</w:t>
      </w:r>
      <w:r>
        <w:t xml:space="preserve"> et que la forme 10 mg reste disponible.</w:t>
      </w:r>
    </w:p>
    <w:p>
      <w:r/>
      <w:r>
        <w:rPr>
          <w:b/>
        </w:rPr>
        <w:t>Médicaments disponibles en Algérie (Marques, Laboratoires, Formes et Dosages) :</w:t>
      </w:r>
      <w:r/>
    </w:p>
    <w:p>
      <w:pPr>
        <w:pStyle w:val="ListBullet"/>
      </w:pPr>
      <w:r/>
      <w:r>
        <w:rPr>
          <w:b/>
        </w:rPr>
        <w:t>FENACARE</w:t>
      </w:r>
      <w:r>
        <w:t xml:space="preserve"> (BIOCARE)</w:t>
      </w:r>
    </w:p>
    <w:p>
      <w:pPr>
        <w:pStyle w:val="ListBullet"/>
      </w:pPr>
      <w:r>
        <w:t>Formes et Dosages : Comprimé pelliculé 5 mg, B/30 ; Comprimé pelliculé 10 mg, B/30</w:t>
      </w:r>
    </w:p>
    <w:p>
      <w:pPr>
        <w:pStyle w:val="ListBullet"/>
      </w:pPr>
      <w:r>
        <w:t>Statut : Actif — Liste II</w:t>
      </w:r>
    </w:p>
    <w:p>
      <w:pPr>
        <w:pStyle w:val="ListBullet"/>
      </w:pPr>
      <w:r/>
      <w:r>
        <w:rPr>
          <w:b/>
        </w:rPr>
        <w:t>OPRIM 5 / OPRIM 10</w:t>
      </w:r>
      <w:r>
        <w:t xml:space="preserve"> (DAR AL DAWA)</w:t>
      </w:r>
    </w:p>
    <w:p>
      <w:pPr>
        <w:pStyle w:val="ListBullet"/>
      </w:pPr>
      <w:r>
        <w:t>Formes et Dosages : Comprimé pelliculé 5 mg, B/30 ; Comprimé pelliculé 10 mg, B/30</w:t>
      </w:r>
    </w:p>
    <w:p>
      <w:pPr>
        <w:pStyle w:val="ListBullet"/>
      </w:pPr>
      <w:r>
        <w:t>Statut : Actif — Liste II</w:t>
      </w:r>
    </w:p>
    <w:p>
      <w:pPr>
        <w:pStyle w:val="ListBullet"/>
      </w:pPr>
      <w:r/>
      <w:r>
        <w:rPr>
          <w:b/>
        </w:rPr>
        <w:t>SOLIFETAB</w:t>
      </w:r>
      <w:r>
        <w:t xml:space="preserve"> (TABUK ALGERIE)</w:t>
      </w:r>
    </w:p>
    <w:p>
      <w:pPr>
        <w:pStyle w:val="ListBullet"/>
      </w:pPr>
      <w:r>
        <w:t>Formes et Dosages : Comprimé pelliculé 5 mg, B/30 ; Comprimé pelliculé 10 mg, B/30</w:t>
      </w:r>
    </w:p>
    <w:p>
      <w:pPr>
        <w:pStyle w:val="ListBullet"/>
      </w:pPr>
      <w:r>
        <w:t>Statut : Actif — Liste II</w:t>
      </w:r>
    </w:p>
    <w:p>
      <w:pPr>
        <w:pStyle w:val="ListBullet"/>
      </w:pPr>
      <w:r/>
      <w:r>
        <w:rPr>
          <w:b/>
        </w:rPr>
        <w:t>VENACINE</w:t>
      </w:r>
      <w:r>
        <w:t xml:space="preserve"> (EL KENDI INDUSTRIE DU MEDICAMENT)</w:t>
      </w:r>
    </w:p>
    <w:p>
      <w:pPr>
        <w:pStyle w:val="ListBullet"/>
      </w:pPr>
      <w:r>
        <w:t>Formes et Dosages : Comprimé pelliculé 5 mg, B/30 ; Comprimé pelliculé 10 mg, B/30</w:t>
      </w:r>
    </w:p>
    <w:p>
      <w:pPr>
        <w:pStyle w:val="ListBullet"/>
      </w:pPr>
      <w:r>
        <w:t>Statut : Actif — Liste II</w:t>
      </w:r>
    </w:p>
    <w:p>
      <w:pPr>
        <w:pStyle w:val="ListBullet"/>
      </w:pPr>
      <w:r/>
      <w:r>
        <w:rPr>
          <w:b/>
        </w:rPr>
        <w:t>SOLIFENACINE VECO</w:t>
      </w:r>
      <w:r>
        <w:t xml:space="preserve"> (VECOPHAM)</w:t>
      </w:r>
    </w:p>
    <w:p>
      <w:pPr>
        <w:pStyle w:val="ListBullet"/>
      </w:pPr>
      <w:r>
        <w:t>Formes et Dosages : Comprimé pelliculé 5 mg, B/30 ; Comprimé pelliculé 10 mg, B/30</w:t>
      </w:r>
    </w:p>
    <w:p>
      <w:pPr>
        <w:pStyle w:val="ListBullet"/>
      </w:pPr>
      <w:r>
        <w:t>Statut : Actif — Liste II</w:t>
      </w:r>
    </w:p>
    <w:p>
      <w:pPr>
        <w:pStyle w:val="ListBullet"/>
      </w:pPr>
      <w:r/>
      <w:r>
        <w:rPr>
          <w:b/>
        </w:rPr>
        <w:t>VESILAX</w:t>
      </w:r>
      <w:r>
        <w:t xml:space="preserve"> (HUPP PHARMA)</w:t>
      </w:r>
    </w:p>
    <w:p>
      <w:pPr>
        <w:pStyle w:val="ListBullet"/>
      </w:pPr>
      <w:r>
        <w:t>Formes et Dosages : Comprimé pelliculé 5 mg, B/30</w:t>
      </w:r>
    </w:p>
    <w:p>
      <w:pPr>
        <w:pStyle w:val="ListBullet"/>
      </w:pPr>
      <w:r>
        <w:t>Statut : Actif — Liste II (5 mg uniquement)</w:t>
      </w:r>
    </w:p>
    <w:p>
      <w:pPr>
        <w:pStyle w:val="ListBullet"/>
      </w:pPr>
      <w:r/>
      <w:r>
        <w:rPr>
          <w:b/>
        </w:rPr>
        <w:t>VESICARE</w:t>
      </w:r>
      <w:r>
        <w:t xml:space="preserve"> (ASTELLAS PHARMA EUROPE B.V.)</w:t>
      </w:r>
    </w:p>
    <w:p>
      <w:pPr>
        <w:pStyle w:val="ListBullet"/>
      </w:pPr>
      <w:r>
        <w:t>Formes et Dosages : Comprimé pelliculé 10 mg, B/30</w:t>
      </w:r>
    </w:p>
    <w:p>
      <w:pPr>
        <w:pStyle w:val="ListBullet"/>
      </w:pPr>
      <w:r>
        <w:t>Statut : Actif — Liste II (princeps, dosage 10 mg)</w:t>
      </w:r>
    </w:p>
    <w:p>
      <w:pPr>
        <w:pStyle w:val="ListBullet"/>
      </w:pPr>
      <w:r>
        <w:t xml:space="preserve">Note : </w:t>
      </w:r>
      <w:r>
        <w:rPr>
          <w:b/>
        </w:rPr>
        <w:t>VESICARE 5 mg est RETIRÉ (R)</w:t>
      </w:r>
      <w:r>
        <w:t xml:space="preserve"> de la nomenclature algérienne — seule la forme 10 mg reste disponible chez Astellas. Le patient sous princeps 5 mg devra basculer vers un générique 5 mg (FENACARE, OPRIM 5, SOLIFETAB, VENACINE, VESILAX) ou vers VESICARE 10 mg sécable (mais la forme 10 mg n'est pas sécable — prévoir une alternative).</w:t>
      </w:r>
    </w:p>
    <w:p>
      <w:r>
        <w:t xml:space="preserve">L'offre algérienne est donc composée de </w:t>
      </w:r>
      <w:r>
        <w:rPr>
          <w:b/>
        </w:rPr>
        <w:t>6 marques actives</w:t>
      </w:r>
      <w:r>
        <w:t xml:space="preserve"> à 5 mg, </w:t>
      </w:r>
      <w:r>
        <w:rPr>
          <w:b/>
        </w:rPr>
        <w:t>5 marques actives</w:t>
      </w:r>
      <w:r>
        <w:t xml:space="preserve"> à 10 mg (FENACARE, OPRIM 10, SOLIFETAB, VENACINE, SOLIFENACINE VECO, VESICARE) + </w:t>
      </w:r>
      <w:r>
        <w:rPr>
          <w:b/>
        </w:rPr>
        <w:t>1 retirée</w:t>
      </w:r>
      <w:r>
        <w:t xml:space="preserve"> (VESICARE 5 mg princeps), toutes en Liste II. La diversité des génériques à 5 et 10 mg permet une grande flexibilité posologique — notamment une titration facile de 5 à 10 mg en cas d'échec à dose initiale. Le conditionnement standard B/30 correspond à </w:t>
      </w:r>
      <w:r>
        <w:rPr>
          <w:b/>
        </w:rPr>
        <w:t>un mois de traitement</w:t>
      </w:r>
      <w:r>
        <w:t xml:space="preserve"> à 5 mg/jour (et B/30 = 15 jours à 10 mg/jour — à anticiper lors de la dispensation).</w:t>
      </w:r>
    </w:p>
    <w:p>
      <w:r/>
      <w:r>
        <w:rPr>
          <w:b/>
        </w:rPr>
        <w:t>Sous-classe et Mécanisme d'action :</w:t>
      </w:r>
      <w:r/>
    </w:p>
    <w:p>
      <w:pPr>
        <w:pStyle w:val="ListBullet"/>
      </w:pPr>
      <w:r/>
      <w:r>
        <w:rPr>
          <w:b/>
        </w:rPr>
        <w:t>Sous-classe</w:t>
      </w:r>
      <w:r>
        <w:t xml:space="preserve"> : Antagoniste muscarinique M3 (anticholinergique) de 3e génération, indiqué dans l'hyperactivité vésicale (urgenturie, incontinence par urgenturie, pollakiurie, nycturie). Référence thérapeutique moderne avec meilleure sélectivité M3/M2 que l'oxybutynine.</w:t>
      </w:r>
    </w:p>
    <w:p>
      <w:pPr>
        <w:pStyle w:val="ListBullet"/>
      </w:pPr>
      <w:r/>
      <w:r>
        <w:rPr>
          <w:b/>
        </w:rPr>
        <w:t>Mécanisme d'action</w:t>
      </w:r>
      <w:r>
        <w:t xml:space="preserve"> : antagoniste compétitif des récepteurs </w:t>
      </w:r>
      <w:r>
        <w:rPr>
          <w:b/>
        </w:rPr>
        <w:t>muscariniques M3</w:t>
      </w:r>
      <w:r>
        <w:t xml:space="preserve"> du détrusor vésical, couplés à la protéine </w:t>
      </w:r>
      <w:r>
        <w:rPr>
          <w:b/>
        </w:rPr>
        <w:t>Gq/11</w:t>
      </w:r>
      <w:r>
        <w:t xml:space="preserve"> → activation de la </w:t>
      </w:r>
      <w:r>
        <w:rPr>
          <w:b/>
        </w:rPr>
        <w:t>PLC</w:t>
      </w:r>
      <w:r>
        <w:t xml:space="preserve"> → hydrolyse du PIP2 en </w:t>
      </w:r>
      <w:r>
        <w:rPr>
          <w:b/>
        </w:rPr>
        <w:t>IP3 + DAG</w:t>
      </w:r>
      <w:r>
        <w:t xml:space="preserve"> → libération du </w:t>
      </w:r>
      <w:r>
        <w:rPr>
          <w:b/>
        </w:rPr>
        <w:t>Ca2+</w:t>
      </w:r>
      <w:r>
        <w:t xml:space="preserve"> intracellulaire → activation de la </w:t>
      </w:r>
      <w:r>
        <w:rPr>
          <w:b/>
        </w:rPr>
        <w:t>calmoduline-MLCK</w:t>
      </w:r>
      <w:r>
        <w:t xml:space="preserve"> → </w:t>
      </w:r>
      <w:r>
        <w:rPr>
          <w:b/>
        </w:rPr>
        <w:t>phosphorylation MLC</w:t>
      </w:r>
      <w:r>
        <w:t xml:space="preserve"> → contraction. Le blocage compétitif par la solifénacine empêche l'activation de cette cascade par l'acétylcholine endogène, </w:t>
      </w:r>
      <w:r>
        <w:rPr>
          <w:b/>
        </w:rPr>
        <w:t>relaxe le détrusor</w:t>
      </w:r>
      <w:r>
        <w:t xml:space="preserve">, augmente la </w:t>
      </w:r>
      <w:r>
        <w:rPr>
          <w:b/>
        </w:rPr>
        <w:t>capacité vésicale fonctionnelle</w:t>
      </w:r>
      <w:r>
        <w:t xml:space="preserve"> (CVF), réduit le </w:t>
      </w:r>
      <w:r>
        <w:rPr>
          <w:b/>
        </w:rPr>
        <w:t>nombre de mictions par 24 h</w:t>
      </w:r>
      <w:r>
        <w:t xml:space="preserve">, diminue les </w:t>
      </w:r>
      <w:r>
        <w:rPr>
          <w:b/>
        </w:rPr>
        <w:t>urgenturies</w:t>
      </w:r>
      <w:r>
        <w:t xml:space="preserve"> et les fuites par urgenturie. La </w:t>
      </w:r>
      <w:r>
        <w:rPr>
          <w:b/>
        </w:rPr>
        <w:t>sélectivité M3/M2 ≈ 20</w:t>
      </w:r>
      <w:r>
        <w:t xml:space="preserve"> (vs 6 pour l'oxybutynine) limite le blocage M2 cardiaque (tachycardie) et le blocage M1 central (troubles cognitifs). La solifénacine est </w:t>
      </w:r>
      <w:r>
        <w:rPr>
          <w:b/>
        </w:rPr>
        <w:t>substrat de la P-gp</w:t>
      </w:r>
      <w:r>
        <w:t xml:space="preserve"> (glycoprotéine P, efflux BBB), ce qui explique son passage cérébral limité et son meilleur profil cognitif. La longue demi-vie (45-68 h) permet une </w:t>
      </w:r>
      <w:r>
        <w:rPr>
          <w:b/>
        </w:rPr>
        <w:t>prise unique quotidienne</w:t>
      </w:r>
      <w:r>
        <w:t xml:space="preserve"> avec des concentrations plasmatiques stables, réduisant les pics de concentration responsables des effets indésirables.</w:t>
      </w:r>
    </w:p>
    <w:p>
      <w:r/>
      <w:r>
        <w:rPr>
          <w:b/>
        </w:rPr>
        <w:t>Profil Pharmacologique :</w:t>
      </w:r>
      <w:r/>
    </w:p>
    <w:p>
      <w:pPr>
        <w:pStyle w:val="ListBullet"/>
      </w:pPr>
      <w:r/>
      <w:r>
        <w:rPr>
          <w:b/>
        </w:rPr>
        <w:t>Indications</w:t>
      </w:r>
      <w:r>
        <w:t xml:space="preserve"> : hyperactivité vésicale (HAV) idiopathique ou neurogène chez l'adulte, caractérisée par urgenturie, pollakiurie diurne, nycturie et/ou incontinence par urgenturie. AMM européenne dans l'HAV adulte ; extension à l'enfant ≥ 5 ans (≥ 20 kg) dans l'HAV neurogène (selon le RCP européen — vérifier le statut de l'AMM locale). Étude STAR (Chapple et al. 2007) a montré une supériorité vs tolterodine sur la réduction des mictions et de l'urgenturie, et une meilleure tolérance vs oxybutynine (sécheresse buccale moins marquée).</w:t>
      </w:r>
    </w:p>
    <w:p>
      <w:pPr>
        <w:pStyle w:val="ListBullet"/>
      </w:pPr>
      <w:r/>
      <w:r>
        <w:rPr>
          <w:b/>
        </w:rPr>
        <w:t>Contre-indications</w:t>
      </w:r>
      <w:r>
        <w:t xml:space="preserve"> :</w:t>
      </w:r>
    </w:p>
    <w:p>
      <w:pPr>
        <w:pStyle w:val="ListBullet"/>
      </w:pPr>
      <w:r/>
      <w:r>
        <w:rPr>
          <w:b/>
        </w:rPr>
        <w:t>Glaucome à angle fermé</w:t>
      </w:r>
      <w:r>
        <w:t xml:space="preserve"> non traité (risque de crise aiguë)</w:t>
      </w:r>
    </w:p>
    <w:p>
      <w:pPr>
        <w:pStyle w:val="ListBullet"/>
      </w:pPr>
      <w:r/>
      <w:r>
        <w:rPr>
          <w:b/>
        </w:rPr>
        <w:t>Rétention urinaire</w:t>
      </w:r>
      <w:r>
        <w:t xml:space="preserve"> (obstacle sous-vésical, vessie hypotonique)</w:t>
      </w:r>
    </w:p>
    <w:p>
      <w:pPr>
        <w:pStyle w:val="ListBullet"/>
      </w:pPr>
      <w:r/>
      <w:r>
        <w:rPr>
          <w:b/>
        </w:rPr>
        <w:t>Rétention gastrique</w:t>
      </w:r>
      <w:r>
        <w:t xml:space="preserve"> (gastroparésie, obstruction pylorique)</w:t>
      </w:r>
    </w:p>
    <w:p>
      <w:pPr>
        <w:pStyle w:val="ListBullet"/>
      </w:pPr>
      <w:r/>
      <w:r>
        <w:rPr>
          <w:b/>
        </w:rPr>
        <w:t>Myasthénie</w:t>
      </w:r>
      <w:r>
        <w:t xml:space="preserve"> (potentialisation de la faiblesse)</w:t>
      </w:r>
    </w:p>
    <w:p>
      <w:pPr>
        <w:pStyle w:val="ListBullet"/>
      </w:pPr>
      <w:r/>
      <w:r>
        <w:rPr>
          <w:b/>
        </w:rPr>
        <w:t>Hypersensibilité</w:t>
      </w:r>
      <w:r>
        <w:t xml:space="preserve"> à la solifénacine ou excipients</w:t>
      </w:r>
    </w:p>
    <w:p>
      <w:pPr>
        <w:pStyle w:val="ListBullet"/>
      </w:pPr>
      <w:r/>
      <w:r>
        <w:rPr>
          <w:b/>
        </w:rPr>
        <w:t>Patients sous dialyse rénale</w:t>
      </w:r>
      <w:r>
        <w:t xml:space="preserve"> ou insuffisance hépatique sévère (CI absolue à la dose 10 mg)</w:t>
      </w:r>
    </w:p>
    <w:p>
      <w:pPr>
        <w:pStyle w:val="ListBullet"/>
      </w:pPr>
      <w:r/>
      <w:r>
        <w:rPr>
          <w:b/>
        </w:rPr>
        <w:t>Patients sous inhibiteur puissant CYP3A4</w:t>
      </w:r>
      <w:r>
        <w:t xml:space="preserve"> (ketoconazole, itraconazole, ritonavir) — CI à la dose 10 mg, dose maximale 5 mg</w:t>
      </w:r>
    </w:p>
    <w:p>
      <w:pPr>
        <w:pStyle w:val="ListBullet"/>
      </w:pPr>
      <w:r/>
      <w:r>
        <w:rPr>
          <w:b/>
        </w:rPr>
        <w:t>Sujet âgé fragile avec démence</w:t>
      </w:r>
      <w:r>
        <w:t xml:space="preserve"> : prudence (la solifénacine est préférée à l'oxybutynine mais n'est pas exempte de risque cognitif)</w:t>
      </w:r>
    </w:p>
    <w:p>
      <w:pPr>
        <w:pStyle w:val="ListBullet"/>
      </w:pPr>
      <w:r/>
      <w:r>
        <w:rPr>
          <w:b/>
        </w:rPr>
        <w:t>Effets Indésirables</w:t>
      </w:r>
      <w:r>
        <w:t xml:space="preserve"> :</w:t>
      </w:r>
    </w:p>
    <w:p>
      <w:pPr>
        <w:pStyle w:val="ListBullet"/>
      </w:pPr>
      <w:r/>
      <w:r>
        <w:rPr>
          <w:b/>
        </w:rPr>
        <w:t>Très fréquents (&gt; 10 %)</w:t>
      </w:r>
      <w:r>
        <w:t xml:space="preserve"> : sécheresse buccale (30-35 % à 5 mg, 45-50 % à 10 mg), constipation (5-15 % à 5 mg, 20-25 % à 10 mg)</w:t>
      </w:r>
    </w:p>
    <w:p>
      <w:pPr>
        <w:pStyle w:val="ListBullet"/>
      </w:pPr>
      <w:r/>
      <w:r>
        <w:rPr>
          <w:b/>
        </w:rPr>
        <w:t>Fréquents (1-10 %)</w:t>
      </w:r>
      <w:r>
        <w:t xml:space="preserve"> : sécheresse oculaire, troubles de l'accommodation, dyspepsie, nausées, somnolence (rare mais à surveiller), rétention urinaire (sujet masculin avec HBP — rare)</w:t>
      </w:r>
    </w:p>
    <w:p>
      <w:pPr>
        <w:pStyle w:val="ListBullet"/>
      </w:pPr>
      <w:r/>
      <w:r>
        <w:rPr>
          <w:b/>
        </w:rPr>
        <w:t>Peu fréquents (0,1-1 %)</w:t>
      </w:r>
      <w:r>
        <w:t xml:space="preserve"> : réactions allergiques, troubles cognitifs (sujet âgé — moins fréquents qu'oxybutynine mais existent), tachycardie sinusale modérée</w:t>
      </w:r>
    </w:p>
    <w:p>
      <w:pPr>
        <w:pStyle w:val="ListBullet"/>
      </w:pPr>
      <w:r/>
      <w:r>
        <w:rPr>
          <w:b/>
        </w:rPr>
        <w:t>Rares (&lt; 0,1 %)</w:t>
      </w:r>
      <w:r>
        <w:t xml:space="preserve"> : hallucinations (sujet âgé), confusion, angio-œdème, anaphylaxie, allongement du QT (cas isolés — discuter surveillance ECG si terrain à risque)</w:t>
      </w:r>
    </w:p>
    <w:p>
      <w:pPr>
        <w:pStyle w:val="ListBullet"/>
      </w:pPr>
      <w:r/>
      <w:r>
        <w:rPr>
          <w:b/>
        </w:rPr>
        <w:t>Syndrome anticholinergique central</w:t>
      </w:r>
      <w:r>
        <w:t xml:space="preserve"> : rare mais possible en surdosage ou association</w:t>
      </w:r>
    </w:p>
    <w:p>
      <w:pPr>
        <w:pStyle w:val="ListBullet"/>
      </w:pPr>
      <w:r>
        <w:t>Sujet âgé : charge anticholinergique ACB = 2 (modérée, inférieure à oxybutynine mais pas négligeable) — surveillance cognitive recommandée</w:t>
      </w:r>
    </w:p>
    <w:p>
      <w:r/>
      <w:r>
        <w:rPr>
          <w:b/>
        </w:rPr>
        <w:t>Prévention et Gestion des Effets Indésirables :</w:t>
      </w:r>
      <w:r/>
    </w:p>
    <w:p>
      <w:pPr>
        <w:pStyle w:val="ListBullet"/>
      </w:pPr>
      <w:r/>
      <w:r>
        <w:rPr>
          <w:b/>
        </w:rPr>
        <w:t>Mesures Préventives</w:t>
      </w:r>
      <w:r>
        <w:t xml:space="preserve"> :</w:t>
      </w:r>
    </w:p>
    <w:p>
      <w:pPr>
        <w:pStyle w:val="ListBullet"/>
      </w:pPr>
      <w:r/>
      <w:r>
        <w:rPr>
          <w:b/>
        </w:rPr>
        <w:t>Évaluation cognitive</w:t>
      </w:r>
      <w:r>
        <w:t xml:space="preserve"> chez le sujet âgé avant et pendant traitement (MoCA, MMSE) — réévaluation à 1 mois puis tous les 6 mois</w:t>
      </w:r>
    </w:p>
    <w:p>
      <w:pPr>
        <w:pStyle w:val="ListBullet"/>
      </w:pPr>
      <w:r/>
      <w:r>
        <w:rPr>
          <w:b/>
        </w:rPr>
        <w:t>Examen ophtalmologique</w:t>
      </w:r>
      <w:r>
        <w:t xml:space="preserve"> (gonioscopie) si antécédent de glaucome ou hypermétropie forte</w:t>
      </w:r>
    </w:p>
    <w:p>
      <w:pPr>
        <w:pStyle w:val="ListBullet"/>
      </w:pPr>
      <w:r/>
      <w:r>
        <w:rPr>
          <w:b/>
        </w:rPr>
        <w:t>Débitmétrie et échographie post-mictionnelle</w:t>
      </w:r>
      <w:r>
        <w:t xml:space="preserve"> chez l'homme &gt; 50 ans (recherche HBP obstructive — IPSS)</w:t>
      </w:r>
    </w:p>
    <w:p>
      <w:pPr>
        <w:pStyle w:val="ListBullet"/>
      </w:pPr>
      <w:r/>
      <w:r>
        <w:rPr>
          <w:b/>
        </w:rPr>
        <w:t>Calendrier mictionnel</w:t>
      </w:r>
      <w:r>
        <w:t xml:space="preserve"> de 3 jours avant/après traitement</w:t>
      </w:r>
    </w:p>
    <w:p>
      <w:pPr>
        <w:pStyle w:val="ListBullet"/>
      </w:pPr>
      <w:r/>
      <w:r>
        <w:rPr>
          <w:b/>
        </w:rPr>
        <w:t>Dose initiale 5 mg/jour</w:t>
      </w:r>
      <w:r>
        <w:t xml:space="preserve"> systématique, titration à 10 mg/jour après 4 semaines si réponse insuffisante et tolérance acceptable</w:t>
      </w:r>
    </w:p>
    <w:p>
      <w:pPr>
        <w:pStyle w:val="ListBullet"/>
      </w:pPr>
      <w:r/>
      <w:r>
        <w:rPr>
          <w:b/>
        </w:rPr>
        <w:t>Hydratation orale 1,5 L/j</w:t>
      </w:r>
      <w:r>
        <w:t xml:space="preserve"> et hygiène alimentaire riche en fibres pour limiter la constipation</w:t>
      </w:r>
    </w:p>
    <w:p>
      <w:pPr>
        <w:pStyle w:val="ListBullet"/>
      </w:pPr>
      <w:r>
        <w:t>Privilégier la solifénacine vs oxybutynine chez le sujet âgé, en raison du meilleur profil cognitif (P-gp efflux)</w:t>
      </w:r>
    </w:p>
    <w:p>
      <w:pPr>
        <w:pStyle w:val="ListBullet"/>
      </w:pPr>
      <w:r/>
      <w:r>
        <w:rPr>
          <w:b/>
        </w:rPr>
        <w:t>Conduite à Tenir</w:t>
      </w:r>
      <w:r>
        <w:t xml:space="preserve"> :</w:t>
      </w:r>
    </w:p>
    <w:p>
      <w:pPr>
        <w:pStyle w:val="ListBullet"/>
      </w:pPr>
      <w:r/>
      <w:r>
        <w:rPr>
          <w:b/>
        </w:rPr>
        <w:t>Sécheresse buccale</w:t>
      </w:r>
      <w:r>
        <w:t xml:space="preserve"> : hydratation, salivaires artificiels, bonbons sans sucre ; si intolérance, retour à 5 mg ou alternative (mirabégron — non disponible)</w:t>
      </w:r>
    </w:p>
    <w:p>
      <w:pPr>
        <w:pStyle w:val="ListBullet"/>
      </w:pPr>
      <w:r/>
      <w:r>
        <w:rPr>
          <w:b/>
        </w:rPr>
        <w:t>Constipation</w:t>
      </w:r>
      <w:r>
        <w:t xml:space="preserve"> : macrogol (laxatif osmotique) si nécessaire, éviter les stimulants (risque d'iléus paralytique en association)</w:t>
      </w:r>
    </w:p>
    <w:p>
      <w:pPr>
        <w:pStyle w:val="ListBullet"/>
      </w:pPr>
      <w:r/>
      <w:r>
        <w:rPr>
          <w:b/>
        </w:rPr>
        <w:t>Rétention urinaire</w:t>
      </w:r>
      <w:r>
        <w:t xml:space="preserve"> : arrêt immédiat, sondage évacuateur si globe, bilan urologique</w:t>
      </w:r>
    </w:p>
    <w:p>
      <w:pPr>
        <w:pStyle w:val="ListBullet"/>
      </w:pPr>
      <w:r/>
      <w:r>
        <w:rPr>
          <w:b/>
        </w:rPr>
        <w:t>Troubles cognitifs</w:t>
      </w:r>
      <w:r>
        <w:t xml:space="preserve"> : arrêt immédiat (sujet âgé), relais par alternative non anticholinergique (mirabégron, botox intra-détrusorien — usage spécialisé)</w:t>
      </w:r>
    </w:p>
    <w:p>
      <w:pPr>
        <w:pStyle w:val="ListBullet"/>
      </w:pPr>
      <w:r/>
      <w:r>
        <w:rPr>
          <w:b/>
        </w:rPr>
        <w:t>Allongement QT / troubles du rythme</w:t>
      </w:r>
      <w:r>
        <w:t xml:space="preserve"> : surveillance ECG si cardiopathie sous-jacente ou association à allongeurs QT</w:t>
      </w:r>
    </w:p>
    <w:p>
      <w:pPr>
        <w:pStyle w:val="ListBullet"/>
      </w:pPr>
      <w:r/>
      <w:r>
        <w:rPr>
          <w:b/>
        </w:rPr>
        <w:t>Surdosage</w:t>
      </w:r>
      <w:r>
        <w:t xml:space="preserve"> : syndrome anticholinergique complet — arrêt, lavage gastrique si ingestion récente, charbon activé, surveillance réanimation, antidote discuté physostigmine</w:t>
      </w:r>
    </w:p>
    <w:p>
      <w:r/>
      <w:r>
        <w:rPr>
          <w:b/>
        </w:rPr>
        <w:t>Interactions Importantes :</w:t>
      </w:r>
      <w:r/>
    </w:p>
    <w:p>
      <w:pPr>
        <w:pStyle w:val="ListBullet"/>
      </w:pPr>
      <w:r/>
      <w:r>
        <w:rPr>
          <w:b/>
        </w:rPr>
        <w:t>+ Inhibiteurs puissants CYP3A4</w:t>
      </w:r>
      <w:r>
        <w:t xml:space="preserve"> (ketoconazole, itraconazole, voriconazole, clarithromycine, néfazodone, ritonavir, saquinavir, nelfinavir) : </w:t>
      </w:r>
      <w:r>
        <w:rPr>
          <w:b/>
        </w:rPr>
        <w:t>augmentation importante des concentrations de solifénacine</w:t>
      </w:r>
      <w:r>
        <w:t xml:space="preserve"> (AUC × 2 à 3) — </w:t>
      </w:r>
      <w:r>
        <w:rPr>
          <w:b/>
        </w:rPr>
        <w:t>dose maximale 5 mg/jour</w:t>
      </w:r>
      <w:r>
        <w:t xml:space="preserve"> en association ; contre-indication à la dose 10 mg en cas d'association avec ketoconazole 400 mg/j</w:t>
      </w:r>
    </w:p>
    <w:p>
      <w:pPr>
        <w:pStyle w:val="ListBullet"/>
      </w:pPr>
      <w:r/>
      <w:r>
        <w:rPr>
          <w:b/>
        </w:rPr>
        <w:t>+ Inhibiteurs modérés CYP3A4</w:t>
      </w:r>
      <w:r>
        <w:t xml:space="preserve"> (érythromycine, fluconazole, diltiazem, vérapamil, jus de pamplemousse en grande quantité) : augmentation modérée des concentrations, prudence, surveillance clinique</w:t>
      </w:r>
    </w:p>
    <w:p>
      <w:pPr>
        <w:pStyle w:val="ListBullet"/>
      </w:pPr>
      <w:r/>
      <w:r>
        <w:rPr>
          <w:b/>
        </w:rPr>
        <w:t>+ Inducteurs CYP3A4</w:t>
      </w:r>
      <w:r>
        <w:t xml:space="preserve"> (rifampicine, phénytoïne, carbamazépine, phénobarbital, millepertuis) : </w:t>
      </w:r>
      <w:r>
        <w:rPr>
          <w:b/>
        </w:rPr>
        <w:t>baisse des concentrations de solifénacine</w:t>
      </w:r>
      <w:r>
        <w:t xml:space="preserve"> — perte d'efficacité possible, envisager augmentation de dose</w:t>
      </w:r>
    </w:p>
    <w:p>
      <w:pPr>
        <w:pStyle w:val="ListBullet"/>
      </w:pPr>
      <w:r/>
      <w:r>
        <w:rPr>
          <w:b/>
        </w:rPr>
        <w:t>+ Autres anticholinergiques</w:t>
      </w:r>
      <w:r>
        <w:t xml:space="preserve"> (atropine, scopolamine, ATC, antihistaminiques H1 1re génération, antiparkinsoniens atropiniques) : </w:t>
      </w:r>
      <w:r>
        <w:rPr>
          <w:b/>
        </w:rPr>
        <w:t>addition des effets anticholinergiques</w:t>
      </w:r>
      <w:r>
        <w:t xml:space="preserve"> — risque majoré de glaucome, rétention, iléus, confusion. Association déconseillée.</w:t>
      </w:r>
    </w:p>
    <w:p>
      <w:pPr>
        <w:pStyle w:val="ListBullet"/>
      </w:pPr>
      <w:r/>
      <w:r>
        <w:rPr>
          <w:b/>
        </w:rPr>
        <w:t>+ Substrats CYP3A4 à marge thérapeutique étroite</w:t>
      </w:r>
      <w:r>
        <w:t xml:space="preserve"> : pas d'interaction significative (la solifénacine n'est pas inducteur/inhibiteur notable du CYP3A4)</w:t>
      </w:r>
    </w:p>
    <w:p>
      <w:pPr>
        <w:pStyle w:val="ListBullet"/>
      </w:pPr>
      <w:r/>
      <w:r>
        <w:rPr>
          <w:b/>
        </w:rPr>
        <w:t>+ Médicaments allongeurs QT</w:t>
      </w:r>
      <w:r>
        <w:t xml:space="preserve"> (antiarythmiques classe Ia et III, certains antipsychotiques, macrolides, fluoroquinolones, ondansétron) : risque théorique d'allongement additif du QT — surveillance ECG si nécessaire (signal rare, à confirmer)</w:t>
      </w:r>
    </w:p>
    <w:p>
      <w:pPr>
        <w:pStyle w:val="ListBullet"/>
      </w:pPr>
      <w:r/>
      <w:r>
        <w:rPr>
          <w:b/>
        </w:rPr>
        <w:t>+ Lévodopa</w:t>
      </w:r>
      <w:r>
        <w:t xml:space="preserve"> : antagonisme pharmacologique — prudence, surveillance clinique</w:t>
      </w:r>
    </w:p>
    <w:p>
      <w:pPr>
        <w:pStyle w:val="ListBullet"/>
      </w:pPr>
      <w:r/>
      <w:r>
        <w:rPr>
          <w:b/>
        </w:rPr>
        <w:t>+ Alcool</w:t>
      </w:r>
      <w:r>
        <w:t xml:space="preserve"> : potentialisation de la somnolence — éviter</w:t>
      </w:r>
    </w:p>
    <w:p>
      <w:r/>
      <w:r>
        <w:rPr>
          <w:b/>
        </w:rPr>
        <w:t>Grossesse et Allaitement :</w:t>
      </w:r>
      <w:r/>
    </w:p>
    <w:p>
      <w:pPr>
        <w:pStyle w:val="ListBullet"/>
      </w:pPr>
      <w:r/>
      <w:r>
        <w:rPr>
          <w:b/>
        </w:rPr>
        <w:t>Grossesse</w:t>
      </w:r>
      <w:r>
        <w:t xml:space="preserve"> : les données animales ont mis en évidence une </w:t>
      </w:r>
      <w:r>
        <w:rPr>
          <w:b/>
        </w:rPr>
        <w:t>toxicité sur la reproduction</w:t>
      </w:r>
      <w:r>
        <w:t xml:space="preserve"> à doses maternotoxiques (foie, rein, perte d'implantation) mais pas d'effet tératogène clair. Les données humaines sont insuffisantes. Le CRAT recommande de </w:t>
      </w:r>
      <w:r>
        <w:rPr>
          <w:b/>
        </w:rPr>
        <w:t>l'éviter par mesure de prudence pendant la grossesse</w:t>
      </w:r>
      <w:r>
        <w:t xml:space="preserve">, en particulier au </w:t>
      </w:r>
      <w:r>
        <w:rPr>
          <w:b/>
        </w:rPr>
        <w:t>3e trimestre</w:t>
      </w:r>
      <w:r>
        <w:t xml:space="preserve"> (risque théorique de détresse paralytique néonatale, hyperthermie, tachycardie, hypotonie, troubles de succion). L'hyperactivité vésicale gravidique (compression utérine) est rarement au point de justifier un traitement anticholinergique — privilégier les mesures hygiéno-diététiques.</w:t>
      </w:r>
    </w:p>
    <w:p>
      <w:pPr>
        <w:pStyle w:val="ListBullet"/>
      </w:pPr>
      <w:r/>
      <w:r>
        <w:rPr>
          <w:b/>
        </w:rPr>
        <w:t>Allaitement</w:t>
      </w:r>
      <w:r>
        <w:t xml:space="preserve"> : la solifénacine </w:t>
      </w:r>
      <w:r>
        <w:rPr>
          <w:b/>
        </w:rPr>
        <w:t>passe dans le lait maternel</w:t>
      </w:r>
      <w:r>
        <w:t xml:space="preserve"> chez l'animal (données humaines limitées). Risque théorique d'effets anticholinergiques chez le nourrisson (sécheresse, tachycardie, somnolence, baisse de lactation). Le CRAT recommande de </w:t>
      </w:r>
      <w:r>
        <w:rPr>
          <w:b/>
        </w:rPr>
        <w:t>l'éviter pendant l'allaitement</w:t>
      </w:r>
      <w:r>
        <w:t xml:space="preserve"> ; si indispensable, surveillance étroite de l'enfant, ou arrêt temporaire de l'allaitement.</w:t>
      </w:r>
    </w:p>
    <w:p>
      <w:pPr>
        <w:pStyle w:val="ListBullet"/>
      </w:pPr>
      <w:r/>
      <w:r>
        <w:rPr>
          <w:b/>
        </w:rPr>
        <w:t>Précisions</w:t>
      </w:r>
      <w:r>
        <w:t xml:space="preserve"> : la solifénacine n'a pas d'indication pédiatrique validée en Algérie chez l'enfant &lt; 5 ans — éviter. Chez l'enfant de 5 à 18 ans (HAV neurogène), uniquement sous suivi urologique pédiatrique spécialisé.</w:t>
      </w:r>
    </w:p>
    <w:p>
      <w:r/>
      <w:r>
        <w:rPr>
          <w:b/>
        </w:rPr>
        <w:t>Posologie et Mode d'administration (Standard) :</w:t>
      </w:r>
      <w:r/>
    </w:p>
    <w:p>
      <w:pPr>
        <w:pStyle w:val="ListBullet"/>
      </w:pPr>
      <w:r/>
      <w:r>
        <w:rPr>
          <w:b/>
        </w:rPr>
        <w:t>Adulte (18-65 ans)</w:t>
      </w:r>
      <w:r>
        <w:t xml:space="preserve"> : 5 mg/jour en </w:t>
      </w:r>
      <w:r>
        <w:rPr>
          <w:b/>
        </w:rPr>
        <w:t>une prise unique</w:t>
      </w:r>
      <w:r>
        <w:t xml:space="preserve"> ; en cas de réponse insuffisante à 4 semaines et bonne tolérance, titration à </w:t>
      </w:r>
      <w:r>
        <w:rPr>
          <w:b/>
        </w:rPr>
        <w:t>10 mg/jour en une prise</w:t>
      </w:r>
      <w:r>
        <w:t>. Posologie maximale 10 mg/jour.</w:t>
      </w:r>
    </w:p>
    <w:p>
      <w:pPr>
        <w:pStyle w:val="ListBullet"/>
      </w:pPr>
      <w:r/>
      <w:r>
        <w:rPr>
          <w:b/>
        </w:rPr>
        <w:t>Sujet âgé (&gt; 65 ans)</w:t>
      </w:r>
      <w:r>
        <w:t xml:space="preserve"> : 5 mg/jour en une prise ; titration à 10 mg/jour possible mais avec surveillance accrue (cognitive, ophtalmologique, urologique). Pas d'adaptation systématique liée à l'âge seul.</w:t>
      </w:r>
    </w:p>
    <w:p>
      <w:pPr>
        <w:pStyle w:val="ListBullet"/>
      </w:pPr>
      <w:r/>
      <w:r>
        <w:rPr>
          <w:b/>
        </w:rPr>
        <w:t>Enfant (≥ 5 ans, ≥ 20 kg)</w:t>
      </w:r>
      <w:r>
        <w:t xml:space="preserve"> : HAV neurogène pédiatrique — selon RCP européen, 5 mg/jour ; adapté au poids, sous suivi spécialisé.</w:t>
      </w:r>
    </w:p>
    <w:p>
      <w:pPr>
        <w:pStyle w:val="ListBullet"/>
      </w:pPr>
      <w:r/>
      <w:r>
        <w:rPr>
          <w:b/>
        </w:rPr>
        <w:t>Insuffisant hépatique léger à modéré (Child-Pugh A-B)</w:t>
      </w:r>
      <w:r>
        <w:t xml:space="preserve"> : dose maximale 5 mg/jour</w:t>
      </w:r>
    </w:p>
    <w:p>
      <w:pPr>
        <w:pStyle w:val="ListBullet"/>
      </w:pPr>
      <w:r/>
      <w:r>
        <w:rPr>
          <w:b/>
        </w:rPr>
        <w:t>Insuffisant hépatique sévère (Child-Pugh C)</w:t>
      </w:r>
      <w:r>
        <w:t xml:space="preserve"> : contre-indication</w:t>
      </w:r>
    </w:p>
    <w:p>
      <w:pPr>
        <w:pStyle w:val="ListBullet"/>
      </w:pPr>
      <w:r/>
      <w:r>
        <w:rPr>
          <w:b/>
        </w:rPr>
        <w:t>Insuffisant rénal sévère (ClCr &lt; 30 mL/min)</w:t>
      </w:r>
      <w:r>
        <w:t xml:space="preserve"> : dose maximale 5 mg/jour</w:t>
      </w:r>
    </w:p>
    <w:p>
      <w:pPr>
        <w:pStyle w:val="ListBullet"/>
      </w:pPr>
      <w:r/>
      <w:r>
        <w:rPr>
          <w:b/>
        </w:rPr>
        <w:t>Patients sous dialyse</w:t>
      </w:r>
      <w:r>
        <w:t xml:space="preserve"> : contre-indication</w:t>
      </w:r>
    </w:p>
    <w:p>
      <w:pPr>
        <w:pStyle w:val="ListBullet"/>
      </w:pPr>
      <w:r/>
      <w:r>
        <w:rPr>
          <w:b/>
        </w:rPr>
        <w:t>Patients sous inhibiteur puissant CYP3A4</w:t>
      </w:r>
      <w:r>
        <w:t xml:space="preserve"> : dose maximale 5 mg/jour</w:t>
      </w:r>
    </w:p>
    <w:p>
      <w:pPr>
        <w:pStyle w:val="ListBullet"/>
      </w:pPr>
      <w:r/>
      <w:r>
        <w:rPr>
          <w:b/>
        </w:rPr>
        <w:t>Durée</w:t>
      </w:r>
      <w:r>
        <w:t xml:space="preserve"> : traitement au long cours de l'hyperactivité vésicale chronique — réévaluation annuelle (calendrier mictionnel, échelle ICIQ-SF/USP, débitmétrie, suivi cognitif sujet âgé). Tentative de sevrage tous les 6-12 mois si stabilité clinique.</w:t>
      </w:r>
    </w:p>
    <w:p>
      <w:pPr>
        <w:pStyle w:val="ListBullet"/>
      </w:pPr>
      <w:r/>
      <w:r>
        <w:rPr>
          <w:b/>
        </w:rPr>
        <w:t>Moment de la prise</w:t>
      </w:r>
      <w:r>
        <w:t xml:space="preserve"> : prise unique quotidienne, à heure fixe, </w:t>
      </w:r>
      <w:r>
        <w:rPr>
          <w:b/>
        </w:rPr>
        <w:t>au cours d'un repas</w:t>
      </w:r>
      <w:r>
        <w:t xml:space="preserve"> (améliore la tolérance digestive), de préférence le matin (réduit le risque de nycturie par rétention nocturne). En cas de somnolence, décaler la prise au soir.</w:t>
      </w:r>
    </w:p>
    <w:p>
      <w:r/>
      <w:r>
        <w:rPr>
          <w:b/>
        </w:rPr>
        <w:t>Arbitrage et Bénéfices des Formes Galéniques :</w:t>
      </w:r>
      <w:r/>
    </w:p>
    <w:p>
      <w:pPr>
        <w:pStyle w:val="ListBullet"/>
      </w:pPr>
      <w:r/>
      <w:r>
        <w:rPr>
          <w:b/>
        </w:rPr>
        <w:t>Comprimé pelliculé 5 mg et 10 mg</w:t>
      </w:r>
      <w:r>
        <w:t xml:space="preserve"> : seule forme disponible en Algérie. La titration de 5 à 10 mg est simple (1 cp/jour → 1 cp de 10 mg/jour), mais la forme 10 mg n'est pas sécable — pas de palier intermédiaire à 7,5 mg. Conditionnement B/30 (1 mois à 5 mg, 15 jours à 10 mg — prévoir 2 boîtes pour 1 mois à dose pleine).</w:t>
      </w:r>
    </w:p>
    <w:p>
      <w:pPr>
        <w:pStyle w:val="ListBullet"/>
      </w:pPr>
      <w:r/>
      <w:r>
        <w:rPr>
          <w:b/>
        </w:rPr>
        <w:t>Forme orodispersible (VESNEO, NON disponible en Algérie)</w:t>
      </w:r>
      <w:r>
        <w:t xml:space="preserve"> : utile en cas de dysphagie ou de sonde naso-gastrique, mais pas d'avantage pharmacocinétique notable.</w:t>
      </w:r>
    </w:p>
    <w:p>
      <w:pPr>
        <w:pStyle w:val="ListBullet"/>
      </w:pPr>
      <w:r/>
      <w:r>
        <w:rPr>
          <w:b/>
        </w:rPr>
        <w:t>Forme transdermique (non disponible)</w:t>
      </w:r>
      <w:r>
        <w:t xml:space="preserve"> : non développée pour la solifénacine.</w:t>
      </w:r>
    </w:p>
    <w:p>
      <w:pPr>
        <w:pStyle w:val="ListBullet"/>
      </w:pPr>
      <w:r/>
      <w:r>
        <w:rPr>
          <w:b/>
        </w:rPr>
        <w:t>Forme associée à mirabégron (non disponible en Algérie)</w:t>
      </w:r>
      <w:r>
        <w:t xml:space="preserve"> : bithérapie fixe solifénacine 5 mg + mirabégron 25 ou 50 mg (combo), intéressante dans l'HAV sévère.</w:t>
      </w:r>
    </w:p>
    <w:p>
      <w:pPr>
        <w:pStyle w:val="ListBullet"/>
      </w:pPr>
      <w:r/>
      <w:r>
        <w:rPr>
          <w:b/>
        </w:rPr>
        <w:t>Recommandation Algérie</w:t>
      </w:r>
      <w:r>
        <w:t xml:space="preserve"> : la solifénacine est la </w:t>
      </w:r>
      <w:r>
        <w:rPr>
          <w:b/>
        </w:rPr>
        <w:t>référence thérapeutique</w:t>
      </w:r>
      <w:r>
        <w:t xml:space="preserve"> moderne de l'hyperactivité vésicale en Algérie, à privilégier chez le sujet âgé et en cas d'intolérance à l'oxybutynine. Marque recommandée : génériques (FENACARE, VENACINE, SOLIFETAB) pour des raisons de coût, ou VESICARE 10 mg pour les patients nécessitant la dose pleine. Le retrait du VESICARE 5 mg princeps ne doit pas bloquer l'initiation du traitement — bascule immédiate vers un générique 5 mg (équivalence stricte).</w:t>
      </w:r>
    </w:p>
    <w:p>
      <w:r/>
      <w:r>
        <w:rPr>
          <w:b/>
        </w:rPr>
        <w:t>Instructions et Conseils au Patient :</w:t>
      </w:r>
      <w:r/>
    </w:p>
    <w:p>
      <w:pPr>
        <w:pStyle w:val="ListBullet"/>
      </w:pPr>
      <w:r/>
      <w:r>
        <w:rPr>
          <w:b/>
        </w:rPr>
        <w:t>Communication au comptoir</w:t>
      </w:r>
      <w:r>
        <w:t xml:space="preserve"> :</w:t>
      </w:r>
    </w:p>
    <w:p>
      <w:pPr>
        <w:pStyle w:val="ListBullet"/>
      </w:pPr>
      <w:r>
        <w:t>« Ce médicament est prescrit pour réduire l'envie urgente et trop fréquente d'uriner, et les fuites urinaires urgentes. Il agit en relaxant le muscle de la vessie. »</w:t>
      </w:r>
    </w:p>
    <w:p>
      <w:pPr>
        <w:pStyle w:val="ListBullet"/>
      </w:pPr>
      <w:r>
        <w:t>« Prenez UN comprimé par jour, à heure fixe, le matin, au cours du petit-déjeuner. »</w:t>
      </w:r>
    </w:p>
    <w:p>
      <w:pPr>
        <w:pStyle w:val="ListBullet"/>
      </w:pPr>
      <w:r>
        <w:t>« Si vous êtes âgé et que vous vous sentez confus, désorienté, ou que vous voyez des choses inhabituelles : ARRÊTEZ et consulter votre médecin. »</w:t>
      </w:r>
    </w:p>
    <w:p>
      <w:pPr>
        <w:pStyle w:val="ListBullet"/>
      </w:pPr>
      <w:r>
        <w:t>« Vous risquez une sécheresse de la bouche : buvez de l'eau, sucez des bonbons sans sucre, brossez bien vos dents. »</w:t>
      </w:r>
    </w:p>
    <w:p>
      <w:pPr>
        <w:pStyle w:val="ListBullet"/>
      </w:pPr>
      <w:r>
        <w:t>« Vous risquez une constipation : mangez des fibres, buvez 1,5 L d'eau/jour, parlez-en à votre médecin si elle persiste. »</w:t>
      </w:r>
    </w:p>
    <w:p>
      <w:pPr>
        <w:pStyle w:val="ListBullet"/>
      </w:pPr>
      <w:r>
        <w:t>« Si vous avez des difficultés à uriner ou un mal de tête avec troubles visuels (halos colorés) : ARRÊTEZ et consulter en urgence. »</w:t>
      </w:r>
    </w:p>
    <w:p>
      <w:pPr>
        <w:pStyle w:val="ListBullet"/>
      </w:pPr>
      <w:r>
        <w:t>« Ce traitement est au long cours — ne l'arrêtez pas seul, parlez-en à votre médecin pour une réévaluation annuelle. »</w:t>
      </w:r>
    </w:p>
    <w:p>
      <w:pPr>
        <w:pStyle w:val="ListBullet"/>
      </w:pPr>
      <w:r>
        <w:t>« Si vous prenez aussi du clarithromycine (antibiotique) ou du kétoconazole (antifongique), prévenez votre médecin : la dose de solifénacine devra être réduite à 5 mg. »</w:t>
      </w:r>
    </w:p>
    <w:p>
      <w:pPr>
        <w:pStyle w:val="ListBullet"/>
      </w:pPr>
      <w:r/>
      <w:r>
        <w:rPr>
          <w:b/>
        </w:rPr>
        <w:t>Mode d'utilisation pratique</w:t>
      </w:r>
      <w:r>
        <w:t xml:space="preserve"> : 1 comprimé par jour au même moment, le matin au petit-déjeuner. En cas d'oubli &lt; 12h : prendre la dose. Si oubli &gt; 12h : sauter la dose et prendre le lendemain à l'heure habituelle — </w:t>
      </w:r>
      <w:r>
        <w:rPr>
          <w:b/>
        </w:rPr>
        <w:t>ne jamais doubler</w:t>
      </w:r>
      <w:r>
        <w:t>. Conserver à température &lt; 25°C, à l'abri de l'humidité. Tenir hors de portée des enfants.</w:t>
      </w:r>
    </w:p>
    <w:p>
      <w:r/>
      <w:r>
        <w:rPr>
          <w:b/>
        </w:rPr>
        <w:t>Notes, Règles d'Or &amp; Pièges au Comptoir :</w:t>
      </w:r>
      <w:r/>
    </w:p>
    <w:p>
      <w:pPr>
        <w:pStyle w:val="ListBullet"/>
      </w:pPr>
      <w:r/>
      <w:r>
        <w:rPr>
          <w:b/>
        </w:rPr>
        <w:t>Piège classique n°1 — Le sujet âgé cognitif sous solifénacine</w:t>
      </w:r>
      <w:r>
        <w:t xml:space="preserve"> : bien que la solifénacine ait un meilleur profil cognitif que l'oxybutynine, elle n'est </w:t>
      </w:r>
      <w:r>
        <w:rPr>
          <w:b/>
        </w:rPr>
        <w:t>pas exempte de risque cognitif</w:t>
      </w:r>
      <w:r>
        <w:t xml:space="preserve"> — surveiller MMSE, éviter en cas de démence avérée (MMS &lt; 20). En cas de trouble cognitif sous solifénacine, arrêt et discussion d'alternatives (mirabégron non disponible, toxine botulique intra-détrusorienne en milieu spécialisé).</w:t>
      </w:r>
    </w:p>
    <w:p>
      <w:pPr>
        <w:pStyle w:val="ListBullet"/>
      </w:pPr>
      <w:r/>
      <w:r>
        <w:rPr>
          <w:b/>
        </w:rPr>
        <w:t>Piège classique n°2 — Le patient sous ketoconazole/clarithromycine</w:t>
      </w:r>
      <w:r>
        <w:t xml:space="preserve"> : patient sous solifénacine 10 mg qui reçoit ketoconazole pour mycose systémique → risque de surdosage (AUC × 2-3), syndrome anticholinergique. </w:t>
      </w:r>
      <w:r>
        <w:rPr>
          <w:b/>
        </w:rPr>
        <w:t>Conduite</w:t>
      </w:r>
      <w:r>
        <w:t xml:space="preserve"> : réduire à 5 mg/jour pendant la durée de l'antifongique, surveillance clinique.</w:t>
      </w:r>
    </w:p>
    <w:p>
      <w:pPr>
        <w:pStyle w:val="ListBullet"/>
      </w:pPr>
      <w:r/>
      <w:r>
        <w:rPr>
          <w:b/>
        </w:rPr>
        <w:t>Piège classique n°3 — Le patient sous dose 10 mg avec HBP masculine</w:t>
      </w:r>
      <w:r>
        <w:t xml:space="preserve"> : homme de 70 ans avec HBP légère (IPSS 8), prescrit solifénacine 10 mg pour HAV → rétention urinaire aiguë à J3. </w:t>
      </w:r>
      <w:r>
        <w:rPr>
          <w:b/>
        </w:rPr>
        <w:t>Conduite</w:t>
      </w:r>
      <w:r>
        <w:t xml:space="preserve"> : arrêt, sondage, retour à 5 mg sous surveillance urologique, ou alternative (alpha-bloquant HBP + bithérapie). Prudence particulière chez l'homme &gt; 65 ans avec HBP.</w:t>
      </w:r>
    </w:p>
    <w:p>
      <w:pPr>
        <w:pStyle w:val="ListBullet"/>
      </w:pPr>
      <w:r/>
      <w:r>
        <w:rPr>
          <w:b/>
        </w:rPr>
        <w:t>Piège classique n°4 — La substitution VESICARE 5 mg retiré</w:t>
      </w:r>
      <w:r>
        <w:t xml:space="preserve"> : patient stable sous VESICARE 5 mg princeps depuis 2 ans se présente en officine — boîte indisponible (retrait). </w:t>
      </w:r>
      <w:r>
        <w:rPr>
          <w:b/>
        </w:rPr>
        <w:t>Conduite</w:t>
      </w:r>
      <w:r>
        <w:t xml:space="preserve"> : bascule immédiate vers un générique 5 mg (FENACARE, VENACINE, SOLIFETAB) en expliquant l'équivalence stricte. Si patient réticent au générique, bascule vers VESICARE 10 mg (mais cp non sécable — envisager jours alternés 5 mg/10 mg/5 mg, peu pratique).</w:t>
      </w:r>
    </w:p>
    <w:p>
      <w:pPr>
        <w:pStyle w:val="ListBullet"/>
      </w:pPr>
      <w:r/>
      <w:r>
        <w:rPr>
          <w:b/>
        </w:rPr>
        <w:t>Règle de prise</w:t>
      </w:r>
      <w:r>
        <w:t xml:space="preserve"> : prise unique matinale pendant le petit-déjeuner, à heure fixe pour faciliter l'observance.</w:t>
      </w:r>
    </w:p>
    <w:p>
      <w:pPr>
        <w:pStyle w:val="ListBullet"/>
      </w:pPr>
      <w:r/>
      <w:r>
        <w:rPr>
          <w:b/>
        </w:rPr>
        <w:t>Préparation et Conservation</w:t>
      </w:r>
      <w:r>
        <w:t xml:space="preserve"> : comprimés à conserver à température &lt; 25°C, à l'abri de l'humidité. Durée de conservation 3 ans (voir DLC sur l'emballage).</w:t>
      </w:r>
    </w:p>
    <w:p>
      <w:pPr>
        <w:pStyle w:val="ListBullet"/>
      </w:pPr>
      <w:r/>
      <w:r>
        <w:rPr>
          <w:b/>
        </w:rPr>
        <w:t>Piège du surdosage / Substitution</w:t>
      </w:r>
      <w:r>
        <w:t xml:space="preserve"> : surdosage aigu = syndrome atropinique complet (sécheresse, rougeur cutanée, mydriase, tachycardie, hyperthermie, confusion, convulsions) — urgence toxicologique (Centre Antipoison). La substitution VESICARE 5 mg → générique ne pose pas de problème pharmacocinétique (équivalence stricte), mais anticiper le changement pour le patient stable (ne pas attendre la rupture).</w:t>
      </w:r>
    </w:p>
    <w:p>
      <w:pPr>
        <w:pStyle w:val="Heading3"/>
      </w:pPr>
      <w:r>
        <w:t>73.3. DCI : Duloxétine (Seule)</w:t>
      </w:r>
    </w:p>
    <w:p>
      <w:r/>
      <w:r>
        <w:rPr>
          <w:b/>
        </w:rPr>
        <w:t>Liste des Catégories :</w:t>
      </w:r>
      <w:r>
        <w:t xml:space="preserve"> Incontinence urinaire d'effort - Inhibiteurs recapture sérotonine-noradrénaline</w:t>
      </w:r>
    </w:p>
    <w:p>
      <w:r>
        <w:t xml:space="preserve">La duloxétine est un </w:t>
      </w:r>
      <w:r>
        <w:rPr>
          <w:b/>
        </w:rPr>
        <w:t>inhibiteur de la recapture de la sérotonine (5-HT) et de la noradrénaline (NA)</w:t>
      </w:r>
      <w:r>
        <w:t xml:space="preserve"> (IRSN) utilisé dans trois indications distinctes : </w:t>
      </w:r>
      <w:r>
        <w:rPr>
          <w:b/>
        </w:rPr>
        <w:t>dépression majeure</w:t>
      </w:r>
      <w:r>
        <w:t xml:space="preserve">, </w:t>
      </w:r>
      <w:r>
        <w:rPr>
          <w:b/>
        </w:rPr>
        <w:t>douleur neuropathique diabétique</w:t>
      </w:r>
      <w:r>
        <w:t xml:space="preserve"> et </w:t>
      </w:r>
      <w:r>
        <w:rPr>
          <w:b/>
        </w:rPr>
        <w:t>incontinence urinaire d'effort féminine modérée à sévère</w:t>
      </w:r>
      <w:r>
        <w:t xml:space="preserve"> (IUE). Développée par Eli Lilly (CYMBALTA, autorisation européenne 2004), elle se distingue de la vénlafaxine (autre IRSN) par une </w:t>
      </w:r>
      <w:r>
        <w:rPr>
          <w:b/>
        </w:rPr>
        <w:t>affinité équilibrée SERT/NET</w:t>
      </w:r>
      <w:r>
        <w:t xml:space="preserve"> (ratio SERT/NET ≈ 10, vs vénlafaxine surtout sérotoninergique à dose usuelle). Sa structure chimique (naphtyl-2-propylamine, dérivé de la phényl-éthylamine) lui confère une </w:t>
      </w:r>
      <w:r>
        <w:rPr>
          <w:b/>
        </w:rPr>
        <w:t>biodisponibilité orale de 50 %</w:t>
      </w:r>
      <w:r>
        <w:t xml:space="preserve"> (effet de premier passage hépatique important), une </w:t>
      </w:r>
      <w:r>
        <w:rPr>
          <w:b/>
        </w:rPr>
        <w:t>forte liaison aux protéines plasmatiques (&gt; 90 %)</w:t>
      </w:r>
      <w:r>
        <w:t xml:space="preserve">, et un </w:t>
      </w:r>
      <w:r>
        <w:rPr>
          <w:b/>
        </w:rPr>
        <w:t>métabolisme hépatique intense par CYP1A2 (naphtoxylation) et CYP2D6 (hydroxylation)</w:t>
      </w:r>
      <w:r>
        <w:t xml:space="preserve"> générant des métabolites inactifs conjugués (glucuronides, sulfates) éliminés à 70 % dans les urines et 20 % dans les fèces. La </w:t>
      </w:r>
      <w:r>
        <w:rPr>
          <w:b/>
        </w:rPr>
        <w:t>demi-vie d'élimination de 12 h</w:t>
      </w:r>
      <w:r>
        <w:t xml:space="preserve"> impose une </w:t>
      </w:r>
      <w:r>
        <w:rPr>
          <w:b/>
        </w:rPr>
        <w:t>prise biquotidienne</w:t>
      </w:r>
      <w:r>
        <w:t xml:space="preserve"> (ou une forme LP une prise/jour). La forme galénique algérienne est la </w:t>
      </w:r>
      <w:r>
        <w:rPr>
          <w:b/>
        </w:rPr>
        <w:t>gélule gastro-résistante à microgranules</w:t>
      </w:r>
      <w:r>
        <w:t xml:space="preserve"> (CYMBALTA, CYMOXETINE, DULOX, WYSERIN, BALTAXINE) ou </w:t>
      </w:r>
      <w:r>
        <w:rPr>
          <w:b/>
        </w:rPr>
        <w:t>microgranules à libération prolongée</w:t>
      </w:r>
      <w:r>
        <w:t xml:space="preserve"> — protégeant la duloxétine de la dégradation acide gastrique et permettant une libération intestinale prolongée. Le statut </w:t>
      </w:r>
      <w:r>
        <w:rPr>
          <w:b/>
        </w:rPr>
        <w:t>Liste I</w:t>
      </w:r>
      <w:r>
        <w:t xml:space="preserve"> s'explique par le risque de </w:t>
      </w:r>
      <w:r>
        <w:rPr>
          <w:b/>
        </w:rPr>
        <w:t>syndrome sérotoninergique</w:t>
      </w:r>
      <w:r>
        <w:t xml:space="preserve"> en association, le </w:t>
      </w:r>
      <w:r>
        <w:rPr>
          <w:b/>
        </w:rPr>
        <w:t>sevrage à l'arrêt</w:t>
      </w:r>
      <w:r>
        <w:t xml:space="preserve"> (symptômes invalidants), et l'indication psychiatrique sous-jacente (dépression — risque suicidaire).</w:t>
      </w:r>
    </w:p>
    <w:p>
      <w:r/>
      <w:r>
        <w:rPr>
          <w:b/>
        </w:rPr>
        <w:t>Médicaments disponibles en Algérie (Marques, Laboratoires, Formes et Dosages) :</w:t>
      </w:r>
      <w:r/>
    </w:p>
    <w:p>
      <w:r/>
      <w:r>
        <w:rPr>
          <w:b/>
        </w:rPr>
        <w:t>Forme 30 mg :</w:t>
      </w:r>
      <w:r/>
    </w:p>
    <w:p>
      <w:pPr>
        <w:pStyle w:val="ListBullet"/>
      </w:pPr>
      <w:r/>
      <w:r>
        <w:rPr>
          <w:b/>
        </w:rPr>
        <w:t>BALTAXINE</w:t>
      </w:r>
      <w:r>
        <w:t xml:space="preserve"> (EL KENDI INDUSTRIE DU MEDICAMENT)</w:t>
      </w:r>
    </w:p>
    <w:p>
      <w:pPr>
        <w:pStyle w:val="ListBullet"/>
      </w:pPr>
      <w:r>
        <w:t>Formes et Dosages : Gélule gastro-résistante 30 mg, pilulier de 30</w:t>
      </w:r>
    </w:p>
    <w:p>
      <w:pPr>
        <w:pStyle w:val="ListBullet"/>
      </w:pPr>
      <w:r>
        <w:t>Statut : Actif — Liste I</w:t>
      </w:r>
    </w:p>
    <w:p>
      <w:pPr>
        <w:pStyle w:val="ListBullet"/>
      </w:pPr>
      <w:r/>
      <w:r>
        <w:rPr>
          <w:b/>
        </w:rPr>
        <w:t>CYMBALTA</w:t>
      </w:r>
      <w:r>
        <w:t xml:space="preserve"> (ELI LILLY NEDERLAND B.V.)</w:t>
      </w:r>
    </w:p>
    <w:p>
      <w:pPr>
        <w:pStyle w:val="ListBullet"/>
      </w:pPr>
      <w:r>
        <w:t>Formes et Dosages : Gélule gastro-résistante 30 mg, boîte de 28</w:t>
      </w:r>
    </w:p>
    <w:p>
      <w:pPr>
        <w:pStyle w:val="ListBullet"/>
      </w:pPr>
      <w:r>
        <w:t>Statut : Actif — Liste I (princeps)</w:t>
      </w:r>
    </w:p>
    <w:p>
      <w:pPr>
        <w:pStyle w:val="ListBullet"/>
      </w:pPr>
      <w:r/>
      <w:r>
        <w:rPr>
          <w:b/>
        </w:rPr>
        <w:t>CYMOXETINE</w:t>
      </w:r>
      <w:r>
        <w:t xml:space="preserve"> (FRATER-RAZES FORME SECHE)</w:t>
      </w:r>
    </w:p>
    <w:p>
      <w:pPr>
        <w:pStyle w:val="ListBullet"/>
      </w:pPr>
      <w:r>
        <w:t>Formes et Dosages : Gélule gastro-résistante 30 mg, boîte de 30</w:t>
      </w:r>
    </w:p>
    <w:p>
      <w:pPr>
        <w:pStyle w:val="ListBullet"/>
      </w:pPr>
      <w:r>
        <w:t>Statut : Actif — Liste I</w:t>
      </w:r>
    </w:p>
    <w:p>
      <w:pPr>
        <w:pStyle w:val="ListBullet"/>
      </w:pPr>
      <w:r/>
      <w:r>
        <w:rPr>
          <w:b/>
        </w:rPr>
        <w:t>DULOX</w:t>
      </w:r>
      <w:r>
        <w:t xml:space="preserve"> (HIKMA PHARMA ALGERIA)</w:t>
      </w:r>
    </w:p>
    <w:p>
      <w:pPr>
        <w:pStyle w:val="ListBullet"/>
      </w:pPr>
      <w:r>
        <w:t>Formes et Dosages : Microgranules en gélule 30 mg, pilulier de 30</w:t>
      </w:r>
    </w:p>
    <w:p>
      <w:pPr>
        <w:pStyle w:val="ListBullet"/>
      </w:pPr>
      <w:r>
        <w:t>Statut : Actif — Liste I</w:t>
      </w:r>
    </w:p>
    <w:p>
      <w:pPr>
        <w:pStyle w:val="ListBullet"/>
      </w:pPr>
      <w:r/>
      <w:r>
        <w:rPr>
          <w:b/>
        </w:rPr>
        <w:t>WYSERIN</w:t>
      </w:r>
      <w:r>
        <w:t xml:space="preserve"> (CHIMIE PHARMACIE COMMERCE MULTIPLE - CPCM)</w:t>
      </w:r>
    </w:p>
    <w:p>
      <w:pPr>
        <w:pStyle w:val="ListBullet"/>
      </w:pPr>
      <w:r>
        <w:t>Formes et Dosages : Microgranules en gélule 30 mg, boîte de 30</w:t>
      </w:r>
    </w:p>
    <w:p>
      <w:pPr>
        <w:pStyle w:val="ListBullet"/>
      </w:pPr>
      <w:r>
        <w:t>Statut : Actif — Liste I</w:t>
      </w:r>
    </w:p>
    <w:p>
      <w:r/>
      <w:r>
        <w:rPr>
          <w:b/>
        </w:rPr>
        <w:t>Forme 60 mg :</w:t>
      </w:r>
      <w:r/>
    </w:p>
    <w:p>
      <w:pPr>
        <w:pStyle w:val="ListBullet"/>
      </w:pPr>
      <w:r/>
      <w:r>
        <w:rPr>
          <w:b/>
        </w:rPr>
        <w:t>BALTAXINE</w:t>
      </w:r>
      <w:r>
        <w:t xml:space="preserve"> (EL KENDI INDUSTRIE DU MEDICAMENT)</w:t>
      </w:r>
    </w:p>
    <w:p>
      <w:pPr>
        <w:pStyle w:val="ListBullet"/>
      </w:pPr>
      <w:r>
        <w:t>Formes et Dosages : Microgranules gastro-résistants en gélule 60 mg, pilulier de 30</w:t>
      </w:r>
    </w:p>
    <w:p>
      <w:pPr>
        <w:pStyle w:val="ListBullet"/>
      </w:pPr>
      <w:r>
        <w:t>Statut : Actif — Liste I</w:t>
      </w:r>
    </w:p>
    <w:p>
      <w:pPr>
        <w:pStyle w:val="ListBullet"/>
      </w:pPr>
      <w:r/>
      <w:r>
        <w:rPr>
          <w:b/>
        </w:rPr>
        <w:t>CYACETINE</w:t>
      </w:r>
      <w:r>
        <w:t xml:space="preserve"> (PHARMALLIANCE)</w:t>
      </w:r>
    </w:p>
    <w:p>
      <w:pPr>
        <w:pStyle w:val="ListBullet"/>
      </w:pPr>
      <w:r>
        <w:t>Formes et Dosages : Gélule à microgranules gastro-résistants 60 mg, boîte de 30</w:t>
      </w:r>
    </w:p>
    <w:p>
      <w:pPr>
        <w:pStyle w:val="ListBullet"/>
      </w:pPr>
      <w:r>
        <w:t>Statut : Actif — Liste I</w:t>
      </w:r>
    </w:p>
    <w:p>
      <w:pPr>
        <w:pStyle w:val="ListBullet"/>
      </w:pPr>
      <w:r/>
      <w:r>
        <w:rPr>
          <w:b/>
        </w:rPr>
        <w:t>CYMBALTA</w:t>
      </w:r>
      <w:r>
        <w:t xml:space="preserve"> (ELI LILLY NEDERLAND B.V.)</w:t>
      </w:r>
    </w:p>
    <w:p>
      <w:pPr>
        <w:pStyle w:val="ListBullet"/>
      </w:pPr>
      <w:r>
        <w:t>Formes et Dosages : Gélule gastro-résistante 60 mg, boîte de 28</w:t>
      </w:r>
    </w:p>
    <w:p>
      <w:pPr>
        <w:pStyle w:val="ListBullet"/>
      </w:pPr>
      <w:r>
        <w:t>Statut : Actif — Liste I (princeps)</w:t>
      </w:r>
    </w:p>
    <w:p>
      <w:pPr>
        <w:pStyle w:val="ListBullet"/>
      </w:pPr>
      <w:r/>
      <w:r>
        <w:rPr>
          <w:b/>
        </w:rPr>
        <w:t>CYMOXETINE</w:t>
      </w:r>
      <w:r>
        <w:t xml:space="preserve"> (FRATER-RAZES FORME SECHE)</w:t>
      </w:r>
    </w:p>
    <w:p>
      <w:pPr>
        <w:pStyle w:val="ListBullet"/>
      </w:pPr>
      <w:r>
        <w:t>Formes et Dosages : Microgranules en gélule 60 mg, boîte de 30</w:t>
      </w:r>
    </w:p>
    <w:p>
      <w:pPr>
        <w:pStyle w:val="ListBullet"/>
      </w:pPr>
      <w:r>
        <w:t>Statut : Actif — Liste I</w:t>
      </w:r>
    </w:p>
    <w:p>
      <w:pPr>
        <w:pStyle w:val="ListBullet"/>
      </w:pPr>
      <w:r/>
      <w:r>
        <w:rPr>
          <w:b/>
        </w:rPr>
        <w:t>DULOX</w:t>
      </w:r>
      <w:r>
        <w:t xml:space="preserve"> (HIKMA PHARMA ALGERIA)</w:t>
      </w:r>
    </w:p>
    <w:p>
      <w:pPr>
        <w:pStyle w:val="ListBullet"/>
      </w:pPr>
      <w:r>
        <w:t>Formes et Dosages : Microgranules en gélule 60 mg, pilulier de 30</w:t>
      </w:r>
    </w:p>
    <w:p>
      <w:pPr>
        <w:pStyle w:val="ListBullet"/>
      </w:pPr>
      <w:r>
        <w:t>Statut : Actif — Liste I</w:t>
      </w:r>
    </w:p>
    <w:p>
      <w:pPr>
        <w:pStyle w:val="ListBullet"/>
      </w:pPr>
      <w:r/>
      <w:r>
        <w:rPr>
          <w:b/>
        </w:rPr>
        <w:t>WYSERIN</w:t>
      </w:r>
      <w:r>
        <w:t xml:space="preserve"> (CHIMIE PHARMACIE COMMERCE MULTIPLE - CPCM)</w:t>
      </w:r>
    </w:p>
    <w:p>
      <w:pPr>
        <w:pStyle w:val="ListBullet"/>
      </w:pPr>
      <w:r>
        <w:t>Formes et Dosages : Microgranules en gélule à libération prolongée 60 mg, boîte de 30</w:t>
      </w:r>
    </w:p>
    <w:p>
      <w:pPr>
        <w:pStyle w:val="ListBullet"/>
      </w:pPr>
      <w:r>
        <w:t>Statut : Actif — Liste I</w:t>
      </w:r>
    </w:p>
    <w:p>
      <w:r>
        <w:t xml:space="preserve">L'offre algérienne compte donc </w:t>
      </w:r>
      <w:r>
        <w:rPr>
          <w:b/>
        </w:rPr>
        <w:t>5 marques actives à 30 mg</w:t>
      </w:r>
      <w:r>
        <w:t xml:space="preserve"> et </w:t>
      </w:r>
      <w:r>
        <w:rPr>
          <w:b/>
        </w:rPr>
        <w:t>6 marques actives à 60 mg</w:t>
      </w:r>
      <w:r>
        <w:t xml:space="preserve"> (dont CYACETINE qui n'existe qu'à 60 mg), toutes en </w:t>
      </w:r>
      <w:r>
        <w:rPr>
          <w:b/>
        </w:rPr>
        <w:t>Liste I</w:t>
      </w:r>
      <w:r>
        <w:t xml:space="preserve">, en gélule gastro-résistante ou microgranules LP, conditionnement B/28 ou B/30 (1 mois de traitement à une prise/jour). La </w:t>
      </w:r>
      <w:r>
        <w:rPr>
          <w:b/>
        </w:rPr>
        <w:t>titration</w:t>
      </w:r>
      <w:r>
        <w:t xml:space="preserve"> recommandée est </w:t>
      </w:r>
      <w:r>
        <w:rPr>
          <w:b/>
        </w:rPr>
        <w:t>30 mg/jour pendant 1 semaine, puis 60 mg/jour</w:t>
      </w:r>
      <w:r>
        <w:t xml:space="preserve"> en entretien — d'où l'importance de disposer des deux dosages. La dose maximale pour l'indication IUE est 80 mg/jour (40 mg × 2/j, à discuter en seconde intention). Pour la dépression, la dose usuelle est 60 mg/jour ; pour la douleur neuropathique diabétique, 60 mg/jour.</w:t>
      </w:r>
    </w:p>
    <w:p>
      <w:r/>
      <w:r>
        <w:rPr>
          <w:b/>
        </w:rPr>
        <w:t>Sous-classe et Mécanisme d'action :</w:t>
      </w:r>
      <w:r/>
    </w:p>
    <w:p>
      <w:pPr>
        <w:pStyle w:val="ListBullet"/>
      </w:pPr>
      <w:r/>
      <w:r>
        <w:rPr>
          <w:b/>
        </w:rPr>
        <w:t>Sous-classe</w:t>
      </w:r>
      <w:r>
        <w:t xml:space="preserve"> : Inhibiteur de la recapture de la sérotonine et de la noradrénaline (IRSN), indiqué dans la dépression majeure, la douleur neuropathique diabétique et l'incontinence urinaire d'effort féminine. La seule molécule IRSN disposant d'une AMM spécifique dans l'IUE en Europe.</w:t>
      </w:r>
    </w:p>
    <w:p>
      <w:pPr>
        <w:pStyle w:val="ListBullet"/>
      </w:pPr>
      <w:r/>
      <w:r>
        <w:rPr>
          <w:b/>
        </w:rPr>
        <w:t>Mécanisme d'action</w:t>
      </w:r>
      <w:r>
        <w:t xml:space="preserve"> : inhibition du transporteur de recapture de la </w:t>
      </w:r>
      <w:r>
        <w:rPr>
          <w:b/>
        </w:rPr>
        <w:t>sérotonine (SERT)</w:t>
      </w:r>
      <w:r>
        <w:t xml:space="preserve"> et de la </w:t>
      </w:r>
      <w:r>
        <w:rPr>
          <w:b/>
        </w:rPr>
        <w:t>noradrénaline (NET)</w:t>
      </w:r>
      <w:r>
        <w:t xml:space="preserve"> au niveau présynaptique → augmentation des concentrations synaptiques de 5-HT et NA dans la fente synaptique. Cette augmentation est </w:t>
      </w:r>
      <w:r>
        <w:rPr>
          <w:b/>
        </w:rPr>
        <w:t>systémique</w:t>
      </w:r>
      <w:r>
        <w:t xml:space="preserve"> (effet antidépresseur sur le système limbique et cortical) et </w:t>
      </w:r>
      <w:r>
        <w:rPr>
          <w:b/>
        </w:rPr>
        <w:t>spinal</w:t>
      </w:r>
      <w:r>
        <w:t xml:space="preserve"> (effet sur la corne antérieure médullaire S2–S4, noyau d'Onuf) : les voies descendantes bulbospinales sérotoninergiques (noyaux du raphé) et noradrénergiques (locus coeruleus) libèrent 5-HT et NA qui activent les récepteurs </w:t>
      </w:r>
      <w:r>
        <w:rPr>
          <w:b/>
        </w:rPr>
        <w:t>5-HT2C</w:t>
      </w:r>
      <w:r>
        <w:t xml:space="preserve"> et </w:t>
      </w:r>
      <w:r>
        <w:rPr>
          <w:b/>
        </w:rPr>
        <w:t>α1-adrénergiques</w:t>
      </w:r>
      <w:r>
        <w:t xml:space="preserve"> postsynaptiques sur les motoneurones d'Onuf, augmentant ainsi le </w:t>
      </w:r>
      <w:r>
        <w:rPr>
          <w:b/>
        </w:rPr>
        <w:t>tonus sphinctérien urétral strié</w:t>
      </w:r>
      <w:r>
        <w:t xml:space="preserve"> (sphincter externe) et la </w:t>
      </w:r>
      <w:r>
        <w:rPr>
          <w:b/>
        </w:rPr>
        <w:t>pression de clôture urétrale maximale (PCUM)</w:t>
      </w:r>
      <w:r>
        <w:t>. L'effet est spécifique de l'effort : la contraction réflexe du sphincter strié en réponse à la toux est potentialisée. Les études pivot (Norton et al. 2002 ; van Kerrebroeck et al. 2004) ont montré une réduction de 50 % des épisodes d'IUE vs placebo (vs 27 % sous placebo), avec un effet significatif dès 4 semaines, maximal à 12 semaines. L'effet persiste pendant le traitement, s'éteint à l'arrêt en 1-2 semaines.</w:t>
      </w:r>
    </w:p>
    <w:p>
      <w:r/>
      <w:r>
        <w:rPr>
          <w:b/>
        </w:rPr>
        <w:t>Profil Pharmacologique :</w:t>
      </w:r>
      <w:r/>
    </w:p>
    <w:p>
      <w:pPr>
        <w:pStyle w:val="ListBullet"/>
      </w:pPr>
      <w:r/>
      <w:r>
        <w:rPr>
          <w:b/>
        </w:rPr>
        <w:t>Indications</w:t>
      </w:r>
      <w:r>
        <w:t xml:space="preserve"> :</w:t>
      </w:r>
    </w:p>
    <w:p>
      <w:pPr>
        <w:pStyle w:val="ListBullet"/>
      </w:pPr>
      <w:r/>
      <w:r>
        <w:rPr>
          <w:b/>
        </w:rPr>
        <w:t>Incontinence urinaire d'effort (IUE) modérée à sévère chez la femme adulte</w:t>
      </w:r>
      <w:r>
        <w:t xml:space="preserve"> — AMM européenne 2004. En deuxième intention après rééducation périnéale, en cas de refus ou de contre-indication chirurgicale, ou en attente de chirurgie. La duloxétine n'est PAS indiquée chez l'homme (pas d'AMM dans l'IUE masculine post-prostatectomie).</w:t>
      </w:r>
    </w:p>
    <w:p>
      <w:pPr>
        <w:pStyle w:val="ListBullet"/>
      </w:pPr>
      <w:r/>
      <w:r>
        <w:rPr>
          <w:b/>
        </w:rPr>
        <w:t>Épisode dépressif majeur</w:t>
      </w:r>
      <w:r>
        <w:t xml:space="preserve"> (EDM) chez l'adulte — 60 mg/jour</w:t>
      </w:r>
    </w:p>
    <w:p>
      <w:pPr>
        <w:pStyle w:val="ListBullet"/>
      </w:pPr>
      <w:r/>
      <w:r>
        <w:rPr>
          <w:b/>
        </w:rPr>
        <w:t>Douleur neuropathique diabétique</w:t>
      </w:r>
      <w:r>
        <w:t xml:space="preserve"> périphérique — 60 mg/jour</w:t>
      </w:r>
    </w:p>
    <w:p>
      <w:pPr>
        <w:pStyle w:val="ListBullet"/>
      </w:pPr>
      <w:r/>
      <w:r>
        <w:rPr>
          <w:b/>
        </w:rPr>
        <w:t>Fibromyalgie</w:t>
      </w:r>
      <w:r>
        <w:t xml:space="preserve"> (indication non couverte par l'AMM européenne, mais AMM FDA aux USA)</w:t>
      </w:r>
    </w:p>
    <w:p>
      <w:pPr>
        <w:pStyle w:val="ListBullet"/>
      </w:pPr>
      <w:r/>
      <w:r>
        <w:rPr>
          <w:b/>
        </w:rPr>
        <w:t>Douleurs chroniques musculo-squelettiques</w:t>
      </w:r>
      <w:r>
        <w:t xml:space="preserve"> (chronic musculoskeletal pain) — indication FDA</w:t>
      </w:r>
    </w:p>
    <w:p>
      <w:pPr>
        <w:pStyle w:val="ListBullet"/>
      </w:pPr>
      <w:r/>
      <w:r>
        <w:rPr>
          <w:b/>
        </w:rPr>
        <w:t>Contre-indications</w:t>
      </w:r>
      <w:r>
        <w:t xml:space="preserve"> :</w:t>
      </w:r>
    </w:p>
    <w:p>
      <w:pPr>
        <w:pStyle w:val="ListBullet"/>
      </w:pPr>
      <w:r/>
      <w:r>
        <w:rPr>
          <w:b/>
        </w:rPr>
        <w:t>Hypersensibilité connue</w:t>
      </w:r>
      <w:r>
        <w:t xml:space="preserve"> à la duloxétine ou à l'un des excipients</w:t>
      </w:r>
    </w:p>
    <w:p>
      <w:pPr>
        <w:pStyle w:val="ListBullet"/>
      </w:pPr>
      <w:r/>
      <w:r>
        <w:rPr>
          <w:b/>
        </w:rPr>
        <w:t>Insuffisance hépatique sévère</w:t>
      </w:r>
      <w:r>
        <w:t xml:space="preserve"> (Child-Pugh C) — élévation des transaminases, hépatotoxicité (voir EI)</w:t>
      </w:r>
    </w:p>
    <w:p>
      <w:pPr>
        <w:pStyle w:val="ListBullet"/>
      </w:pPr>
      <w:r/>
      <w:r>
        <w:rPr>
          <w:b/>
        </w:rPr>
        <w:t>Insuffisance rénale sévère (ClCr &lt; 30 mL/min)</w:t>
      </w:r>
      <w:r>
        <w:t xml:space="preserve"> — accumulation, élévation des concentrations</w:t>
      </w:r>
    </w:p>
    <w:p>
      <w:pPr>
        <w:pStyle w:val="ListBullet"/>
      </w:pPr>
      <w:r/>
      <w:r>
        <w:rPr>
          <w:b/>
        </w:rPr>
        <w:t>Association aux IMAO</w:t>
      </w:r>
      <w:r>
        <w:t xml:space="preserve"> (non sélectifs irreversibles : iproniazide, nialamide — CI absolue, délai de wash-out 14 jours avant/après) — </w:t>
      </w:r>
      <w:r>
        <w:rPr>
          <w:b/>
        </w:rPr>
        <w:t>syndrome sérotoninergique</w:t>
      </w:r>
      <w:r>
        <w:t xml:space="preserve"> (fièvre, myoclonies, tremblements, hyperréflexie, confusion, convulsions, collapsus, décès)</w:t>
      </w:r>
    </w:p>
    <w:p>
      <w:pPr>
        <w:pStyle w:val="ListBullet"/>
      </w:pPr>
      <w:r/>
      <w:r>
        <w:rPr>
          <w:b/>
        </w:rPr>
        <w:t>Association à la fluoxétine</w:t>
      </w:r>
      <w:r>
        <w:t xml:space="preserve"> (IMAO indirect, IRS — demi-vie longue 7 jours, wash-out 5 semaines)</w:t>
      </w:r>
    </w:p>
    <w:p>
      <w:pPr>
        <w:pStyle w:val="ListBullet"/>
      </w:pPr>
      <w:r/>
      <w:r>
        <w:rPr>
          <w:b/>
        </w:rPr>
        <w:t>Association au pimozide</w:t>
      </w:r>
      <w:r>
        <w:t xml:space="preserve"> (antipsychotique — allongement QT)</w:t>
      </w:r>
    </w:p>
    <w:p>
      <w:pPr>
        <w:pStyle w:val="ListBullet"/>
      </w:pPr>
      <w:r/>
      <w:r>
        <w:rPr>
          <w:b/>
        </w:rPr>
        <w:t>Hypertension artérielle non contrôlée</w:t>
      </w:r>
      <w:r>
        <w:t xml:space="preserve"> — risque d'augmentation tensionnelle (effet NA)</w:t>
      </w:r>
    </w:p>
    <w:p>
      <w:pPr>
        <w:pStyle w:val="ListBullet"/>
      </w:pPr>
      <w:r/>
      <w:r>
        <w:rPr>
          <w:b/>
        </w:rPr>
        <w:t>Glaucome à angle fermé non contrôlé</w:t>
      </w:r>
      <w:r>
        <w:t xml:space="preserve"> — risque de mydriase par effet NA</w:t>
      </w:r>
    </w:p>
    <w:p>
      <w:pPr>
        <w:pStyle w:val="ListBullet"/>
      </w:pPr>
      <w:r/>
      <w:r>
        <w:rPr>
          <w:b/>
        </w:rPr>
        <w:t>3e trimestre de grossesse</w:t>
      </w:r>
      <w:r>
        <w:t xml:space="preserve"> (voir section Grossesse)</w:t>
      </w:r>
    </w:p>
    <w:p>
      <w:pPr>
        <w:pStyle w:val="ListBullet"/>
      </w:pPr>
      <w:r/>
      <w:r>
        <w:rPr>
          <w:b/>
        </w:rPr>
        <w:t>Effets Indésirables</w:t>
      </w:r>
      <w:r>
        <w:t xml:space="preserve"> :</w:t>
      </w:r>
    </w:p>
    <w:p>
      <w:pPr>
        <w:pStyle w:val="ListBullet"/>
      </w:pPr>
      <w:r/>
      <w:r>
        <w:rPr>
          <w:b/>
        </w:rPr>
        <w:t>Très fréquents (&gt; 10 %)</w:t>
      </w:r>
      <w:r>
        <w:t xml:space="preserve"> : </w:t>
      </w:r>
      <w:r>
        <w:rPr>
          <w:b/>
        </w:rPr>
        <w:t>nausées</w:t>
      </w:r>
      <w:r>
        <w:t xml:space="preserve"> (jusqu'à 30 % à l'initiation, régressent en 2-4 semaines), sécheresse buccale, somnolence (ou insomnie), céphalées, vertiges</w:t>
      </w:r>
    </w:p>
    <w:p>
      <w:pPr>
        <w:pStyle w:val="ListBullet"/>
      </w:pPr>
      <w:r/>
      <w:r>
        <w:rPr>
          <w:b/>
        </w:rPr>
        <w:t>Fréquents (1-10 %)</w:t>
      </w:r>
      <w:r>
        <w:t xml:space="preserve"> : </w:t>
      </w:r>
      <w:r>
        <w:rPr>
          <w:b/>
        </w:rPr>
        <w:t>fatigue</w:t>
      </w:r>
      <w:r>
        <w:t xml:space="preserve">, asthénie, </w:t>
      </w:r>
      <w:r>
        <w:rPr>
          <w:b/>
        </w:rPr>
        <w:t>constipation</w:t>
      </w:r>
      <w:r>
        <w:t xml:space="preserve">, diarrhée, douleurs abdominales, transpiration augmentée (sudation nocturne), bouffées de chaleur, </w:t>
      </w:r>
      <w:r>
        <w:rPr>
          <w:b/>
        </w:rPr>
        <w:t>hypertension artérielle</w:t>
      </w:r>
      <w:r>
        <w:t xml:space="preserve"> (effet NA dose-dépendante — surveiller TA), </w:t>
      </w:r>
      <w:r>
        <w:rPr>
          <w:b/>
        </w:rPr>
        <w:t>hypertension orthostatique</w:t>
      </w:r>
      <w:r>
        <w:t xml:space="preserve"> ou hypotension orthostatique, troubles visuels (mydriase, accommodation), palpitations, tachycardie, anxiété, baisse de libido, anorgasmie, dysfonction érectile, trouble de l'éjaculation (retard)</w:t>
      </w:r>
    </w:p>
    <w:p>
      <w:pPr>
        <w:pStyle w:val="ListBullet"/>
      </w:pPr>
      <w:r/>
      <w:r>
        <w:rPr>
          <w:b/>
        </w:rPr>
        <w:t>Peu fréquents (0,1-1 %)</w:t>
      </w:r>
      <w:r>
        <w:t xml:space="preserve"> : </w:t>
      </w:r>
      <w:r>
        <w:rPr>
          <w:b/>
        </w:rPr>
        <w:t>hépatotoxicité</w:t>
      </w:r>
      <w:r>
        <w:t xml:space="preserve"> (élévation ALAT/ASAT, hépatite cytolytique, rares cas d'insuffisance hépatique aiguë — surveillance mensuelle des transaminases le 1er mois), convulsions (en cas d'antécédents épileptiques), syndrome sérotoninergique (en cas d'association à un autre sérotoninergique), hyponatrémie (SIADH — sujet âgé), hémorragies (atteinte de la fonction plaquettaire par déplétion en sérotonine), allongement QT (rare)</w:t>
      </w:r>
    </w:p>
    <w:p>
      <w:pPr>
        <w:pStyle w:val="ListBullet"/>
      </w:pPr>
      <w:r/>
      <w:r>
        <w:rPr>
          <w:b/>
        </w:rPr>
        <w:t>Rares (&lt; 0,1 %)</w:t>
      </w:r>
      <w:r>
        <w:t xml:space="preserve"> : anaphylaxie, angio-œdème, syndrome malin des neuroleptiques (exceptionnel), pensées suicidaires (classe antidépresseurs — surveillance homme &lt; 25 ans, enfant/adolescent)</w:t>
      </w:r>
    </w:p>
    <w:p>
      <w:pPr>
        <w:pStyle w:val="ListBullet"/>
      </w:pPr>
      <w:r/>
      <w:r>
        <w:rPr>
          <w:b/>
        </w:rPr>
        <w:t>À l'arrêt (sevrage)</w:t>
      </w:r>
      <w:r>
        <w:t xml:space="preserve"> : </w:t>
      </w:r>
      <w:r>
        <w:rPr>
          <w:b/>
        </w:rPr>
        <w:t>« discontinuation syndrome »</w:t>
      </w:r>
      <w:r>
        <w:t xml:space="preserve"> — symptômes dans les 24-72h après arrêt brutal : vertiges, nausées, paresthésies (sensations électriques), céphalées, irritabilité, anxiété, insomnie, larmoiement, sueurs, tremblements. Prévention par décroissance progressive sur 2-4 semaines (paliers de 30 mg → 30 mg un jour sur deux → arrêt).</w:t>
      </w:r>
    </w:p>
    <w:p>
      <w:r/>
      <w:r>
        <w:rPr>
          <w:b/>
        </w:rPr>
        <w:t>Prévention et Gestion des Effets Indésirables :</w:t>
      </w:r>
      <w:r/>
    </w:p>
    <w:p>
      <w:pPr>
        <w:pStyle w:val="ListBullet"/>
      </w:pPr>
      <w:r/>
      <w:r>
        <w:rPr>
          <w:b/>
        </w:rPr>
        <w:t>Mesures Préventives</w:t>
      </w:r>
      <w:r>
        <w:t xml:space="preserve"> :</w:t>
      </w:r>
    </w:p>
    <w:p>
      <w:pPr>
        <w:pStyle w:val="ListBullet"/>
      </w:pPr>
      <w:r/>
      <w:r>
        <w:rPr>
          <w:b/>
        </w:rPr>
        <w:t>Évaluation psychiatrique</w:t>
      </w:r>
      <w:r>
        <w:t xml:space="preserve"> initiale (sans lien avec l'IUE mais l'indication dépression est fréquente — dépistage des idées suicidaires)</w:t>
      </w:r>
    </w:p>
    <w:p>
      <w:pPr>
        <w:pStyle w:val="ListBullet"/>
      </w:pPr>
      <w:r/>
      <w:r>
        <w:rPr>
          <w:b/>
        </w:rPr>
        <w:t>Bilan hépatique pré-thérapeutique</w:t>
      </w:r>
      <w:r>
        <w:t xml:space="preserve"> (ALAT, ASAT, bilirubine) et à 1 mois — arrêt si ALAT/ASAT &gt; 3 × LSN</w:t>
      </w:r>
    </w:p>
    <w:p>
      <w:pPr>
        <w:pStyle w:val="ListBullet"/>
      </w:pPr>
      <w:r/>
      <w:r>
        <w:rPr>
          <w:b/>
        </w:rPr>
        <w:t>Surveillance tensionnelle</w:t>
      </w:r>
      <w:r>
        <w:t xml:space="preserve"> : mesure de la TA à l'initiation, à 2 semaines, à 1 mois, puis tous les 3 mois — arrêt ou adaptation si TA &gt; 140/90 mmHg ou si augmentation &gt; 10 mmHg par rapport à l'état basal</w:t>
      </w:r>
    </w:p>
    <w:p>
      <w:pPr>
        <w:pStyle w:val="ListBullet"/>
      </w:pPr>
      <w:r/>
      <w:r>
        <w:rPr>
          <w:b/>
        </w:rPr>
        <w:t>Évaluation cardiologique</w:t>
      </w:r>
      <w:r>
        <w:t xml:space="preserve"> si antécédent d'arythmie, allongement QT, infarctus récent</w:t>
      </w:r>
    </w:p>
    <w:p>
      <w:pPr>
        <w:pStyle w:val="ListBullet"/>
      </w:pPr>
      <w:r/>
      <w:r>
        <w:rPr>
          <w:b/>
        </w:rPr>
        <w:t>Pesée et bilan ionique</w:t>
      </w:r>
      <w:r>
        <w:t xml:space="preserve"> (natrémie chez le sujet âgé)</w:t>
      </w:r>
    </w:p>
    <w:p>
      <w:pPr>
        <w:pStyle w:val="ListBullet"/>
      </w:pPr>
      <w:r/>
      <w:r>
        <w:rPr>
          <w:b/>
        </w:rPr>
        <w:t>Information du patient</w:t>
      </w:r>
      <w:r>
        <w:t xml:space="preserve"> sur le syndrome de sevrage et la nécessité d'un arrêt progressif (ne jamais arrêter brutalement)</w:t>
      </w:r>
    </w:p>
    <w:p>
      <w:pPr>
        <w:pStyle w:val="ListBullet"/>
      </w:pPr>
      <w:r/>
      <w:r>
        <w:rPr>
          <w:b/>
        </w:rPr>
        <w:t>Dose initiale réduite à 30 mg/jour pendant 1 semaine</w:t>
      </w:r>
      <w:r>
        <w:t xml:space="preserve"> avant titration à 60 mg — diminue les nausées et la somnolence d'initiation</w:t>
      </w:r>
    </w:p>
    <w:p>
      <w:pPr>
        <w:pStyle w:val="ListBullet"/>
      </w:pPr>
      <w:r/>
      <w:r>
        <w:rPr>
          <w:b/>
        </w:rPr>
        <w:t>Prise au cours d'un repas</w:t>
      </w:r>
      <w:r>
        <w:t xml:space="preserve"> (diminue les nausées), de préférence le soir (diminue la somnolence diurne)</w:t>
      </w:r>
    </w:p>
    <w:p>
      <w:pPr>
        <w:pStyle w:val="ListBullet"/>
      </w:pPr>
      <w:r/>
      <w:r>
        <w:rPr>
          <w:b/>
        </w:rPr>
        <w:t>Conduite à Tenir</w:t>
      </w:r>
      <w:r>
        <w:t xml:space="preserve"> :</w:t>
      </w:r>
    </w:p>
    <w:p>
      <w:pPr>
        <w:pStyle w:val="ListBullet"/>
      </w:pPr>
      <w:r/>
      <w:r>
        <w:rPr>
          <w:b/>
        </w:rPr>
        <w:t>Nausées</w:t>
      </w:r>
      <w:r>
        <w:t xml:space="preserve"> : prise pendant repas, fractionnement 30 mg × 2/jour, antinauséeux si nécessaire, régression spontanée en 2-4 semaines</w:t>
      </w:r>
    </w:p>
    <w:p>
      <w:pPr>
        <w:pStyle w:val="ListBullet"/>
      </w:pPr>
      <w:r/>
      <w:r>
        <w:rPr>
          <w:b/>
        </w:rPr>
        <w:t>Hypertension artérielle</w:t>
      </w:r>
      <w:r>
        <w:t xml:space="preserve"> : surveillance, adaptation posologique, voire arrêt si non contrôlable</w:t>
      </w:r>
    </w:p>
    <w:p>
      <w:pPr>
        <w:pStyle w:val="ListBullet"/>
      </w:pPr>
      <w:r/>
      <w:r>
        <w:rPr>
          <w:b/>
        </w:rPr>
        <w:t>Hépatotoxicité</w:t>
      </w:r>
      <w:r>
        <w:t xml:space="preserve"> : arrêt immédiat si ALAT/ASAT &gt; 3 × LSN ou symptômes (ictère, prurit, urines foncées, douleur hypocondre droit)</w:t>
      </w:r>
    </w:p>
    <w:p>
      <w:pPr>
        <w:pStyle w:val="ListBullet"/>
      </w:pPr>
      <w:r/>
      <w:r>
        <w:rPr>
          <w:b/>
        </w:rPr>
        <w:t>Syndrome sérotoninergique</w:t>
      </w:r>
      <w:r>
        <w:t xml:space="preserve"> : arrêt immédiat, hospitalisation en urgence, symptômes : fièvre, myoclonies, hyperréflexie, tremblements, agitation, confusion, sueurs, diarrhée — traitement symptomatique, réanimation, parfois cyproheptadine (Periactine) antagoniste 5-HT</w:t>
      </w:r>
    </w:p>
    <w:p>
      <w:pPr>
        <w:pStyle w:val="ListBullet"/>
      </w:pPr>
      <w:r/>
      <w:r>
        <w:rPr>
          <w:b/>
        </w:rPr>
        <w:t>Hyponatrémie</w:t>
      </w:r>
      <w:r>
        <w:t xml:space="preserve"> (SIADH) : arrêt, restriction hydrique, surveillance iono, sujet âgé à risque</w:t>
      </w:r>
    </w:p>
    <w:p>
      <w:pPr>
        <w:pStyle w:val="ListBullet"/>
      </w:pPr>
      <w:r/>
      <w:r>
        <w:rPr>
          <w:b/>
        </w:rPr>
        <w:t>Saignements anormaux</w:t>
      </w:r>
      <w:r>
        <w:t xml:space="preserve"> (ecchymoses, saignements digestifs) : arrêt, bilan hémostase, surveillance — association à AINS/anticoagulants à risque</w:t>
      </w:r>
    </w:p>
    <w:p>
      <w:pPr>
        <w:pStyle w:val="ListBullet"/>
      </w:pPr>
      <w:r/>
      <w:r>
        <w:rPr>
          <w:b/>
        </w:rPr>
        <w:t>Syndrome de sevrage à l'arrêt</w:t>
      </w:r>
      <w:r>
        <w:t xml:space="preserve"> : décroissance progressive par paliers de 30 mg sur 2-4 semaines (30 mg × 2/j → 30 mg/j → 30 mg 1 jour/2 → arrêt) ; ne jamais arrêter brutalement</w:t>
      </w:r>
    </w:p>
    <w:p>
      <w:pPr>
        <w:pStyle w:val="ListBullet"/>
      </w:pPr>
      <w:r/>
      <w:r>
        <w:rPr>
          <w:b/>
        </w:rPr>
        <w:t>Idées suicidaires</w:t>
      </w:r>
      <w:r>
        <w:t xml:space="preserve"> : arrêt, prise en charge psychiatrique urgente, surveillance rapprochée</w:t>
      </w:r>
    </w:p>
    <w:p>
      <w:r/>
      <w:r>
        <w:rPr>
          <w:b/>
        </w:rPr>
        <w:t>Interactions Importantes :</w:t>
      </w:r>
      <w:r/>
    </w:p>
    <w:p>
      <w:pPr>
        <w:pStyle w:val="ListBullet"/>
      </w:pPr>
      <w:r/>
      <w:r>
        <w:rPr>
          <w:b/>
        </w:rPr>
        <w:t>+ IMAO</w:t>
      </w:r>
      <w:r>
        <w:t xml:space="preserve"> (iproniazide, nialamide, phénelzine, tranylcypromine) : </w:t>
      </w:r>
      <w:r>
        <w:rPr>
          <w:b/>
        </w:rPr>
        <w:t>CI absolue</w:t>
      </w:r>
      <w:r>
        <w:t xml:space="preserve"> — syndrome sérotoninergique grave. Wash-out de 14 jours entre IMAO et duloxétine.</w:t>
      </w:r>
    </w:p>
    <w:p>
      <w:pPr>
        <w:pStyle w:val="ListBullet"/>
      </w:pPr>
      <w:r/>
      <w:r>
        <w:rPr>
          <w:b/>
        </w:rPr>
        <w:t>+ Fluoxétine</w:t>
      </w:r>
      <w:r>
        <w:t xml:space="preserve"> (IRS, demi-vie longue 7 jours) : CI absolue — syndrome sérotoninergique. Wash-out 5 semaines.</w:t>
      </w:r>
    </w:p>
    <w:p>
      <w:pPr>
        <w:pStyle w:val="ListBullet"/>
      </w:pPr>
      <w:r/>
      <w:r>
        <w:rPr>
          <w:b/>
        </w:rPr>
        <w:t>+ Autres IRS/IRSN</w:t>
      </w:r>
      <w:r>
        <w:t xml:space="preserve"> (sertraline, paroxétine, citalopram, escitalopram, venlafaxine, milnacipran) : risque de syndrome sérotoninergique — éviter l'association, ou surveillance stricte</w:t>
      </w:r>
    </w:p>
    <w:p>
      <w:pPr>
        <w:pStyle w:val="ListBullet"/>
      </w:pPr>
      <w:r/>
      <w:r>
        <w:rPr>
          <w:b/>
        </w:rPr>
        <w:t>+ Tramadol, péthidine, dextrométhorphane, triptans</w:t>
      </w:r>
      <w:r>
        <w:t xml:space="preserve"> (sérotoninergiques) : risque de syndrome sérotoninergique — éviter ou surveiller</w:t>
      </w:r>
    </w:p>
    <w:p>
      <w:pPr>
        <w:pStyle w:val="ListBullet"/>
      </w:pPr>
      <w:r/>
      <w:r>
        <w:rPr>
          <w:b/>
        </w:rPr>
        <w:t>+ Lithium</w:t>
      </w:r>
      <w:r>
        <w:t xml:space="preserve"> : syndrome sérotoninergique possible — surveillance stricte</w:t>
      </w:r>
    </w:p>
    <w:p>
      <w:pPr>
        <w:pStyle w:val="ListBullet"/>
      </w:pPr>
      <w:r/>
      <w:r>
        <w:rPr>
          <w:b/>
        </w:rPr>
        <w:t>+ CYP1A2 inhibiteurs</w:t>
      </w:r>
      <w:r>
        <w:t xml:space="preserve"> (fluvoxamine, ciprofloxacine, énoxacine) : </w:t>
      </w:r>
      <w:r>
        <w:rPr>
          <w:b/>
        </w:rPr>
        <w:t>augmentation des concentrations de duloxétine</w:t>
      </w:r>
      <w:r>
        <w:t xml:space="preserve"> (métabolisme inhibé) — éviter l'association ou réduire la dose</w:t>
      </w:r>
    </w:p>
    <w:p>
      <w:pPr>
        <w:pStyle w:val="ListBullet"/>
      </w:pPr>
      <w:r/>
      <w:r>
        <w:rPr>
          <w:b/>
        </w:rPr>
        <w:t>+ CYP2D6 inhibiteurs</w:t>
      </w:r>
      <w:r>
        <w:t xml:space="preserve"> (paroxétine, fluoxétine, quinidine, cinacalcet) : augmentation des concentrations de duloxétine — éviter ou réduire</w:t>
      </w:r>
    </w:p>
    <w:p>
      <w:pPr>
        <w:pStyle w:val="ListBullet"/>
      </w:pPr>
      <w:r/>
      <w:r>
        <w:rPr>
          <w:b/>
        </w:rPr>
        <w:t>+ CYP1A2 inducteurs</w:t>
      </w:r>
      <w:r>
        <w:t xml:space="preserve"> (tabac) : baisse des concentrations de duloxétine de 30-50 % — adapter la dose chez le grand fumeur</w:t>
      </w:r>
    </w:p>
    <w:p>
      <w:pPr>
        <w:pStyle w:val="ListBullet"/>
      </w:pPr>
      <w:r/>
      <w:r>
        <w:rPr>
          <w:b/>
        </w:rPr>
        <w:t>+ Substrats CYP2D6 à marge thérapeutique étroite</w:t>
      </w:r>
      <w:r>
        <w:t xml:space="preserve"> (flecainide, propafénone, métoprolol, tramadol, désipramine, nortriptyline, amitriptyline) : augmentation de leurs concentrations — surveillance, adaptation posologique</w:t>
      </w:r>
    </w:p>
    <w:p>
      <w:pPr>
        <w:pStyle w:val="ListBullet"/>
      </w:pPr>
      <w:r/>
      <w:r>
        <w:rPr>
          <w:b/>
        </w:rPr>
        <w:t>+ Anticoagulants oraux</w:t>
      </w:r>
      <w:r>
        <w:t xml:space="preserve"> (warfarine, acénocoumarol) : potentialisation du saignement (atteinte plaquettaire par 5-HT + interaction CYP2D6 pour la warfarine) — surveiller INR</w:t>
      </w:r>
    </w:p>
    <w:p>
      <w:pPr>
        <w:pStyle w:val="ListBullet"/>
      </w:pPr>
      <w:r/>
      <w:r>
        <w:rPr>
          <w:b/>
        </w:rPr>
        <w:t>+ AINS</w:t>
      </w:r>
      <w:r>
        <w:t xml:space="preserve"> (ibuprofène, aspirine, kétoprofène) : risque de saignement digestif (atteinte plaquettaire) — surveillance</w:t>
      </w:r>
    </w:p>
    <w:p>
      <w:pPr>
        <w:pStyle w:val="ListBullet"/>
      </w:pPr>
      <w:r/>
      <w:r>
        <w:rPr>
          <w:b/>
        </w:rPr>
        <w:t>+ Alcool</w:t>
      </w:r>
      <w:r>
        <w:t xml:space="preserve"> : hépatotoxicité additive (la duloxétine est hépatotoxique par elle-même) — éviter la consommation d'alcool pendant le traitement</w:t>
      </w:r>
    </w:p>
    <w:p>
      <w:pPr>
        <w:pStyle w:val="ListBullet"/>
      </w:pPr>
      <w:r/>
      <w:r>
        <w:rPr>
          <w:b/>
        </w:rPr>
        <w:t>+ Sympathomimétiques</w:t>
      </w:r>
      <w:r>
        <w:t xml:space="preserve"> (pseudoéphédrine, phényléphrine) : hypertension artérielle — éviter</w:t>
      </w:r>
    </w:p>
    <w:p>
      <w:r/>
      <w:r>
        <w:rPr>
          <w:b/>
        </w:rPr>
        <w:t>Grossesse et Allaitement :</w:t>
      </w:r>
      <w:r/>
    </w:p>
    <w:p>
      <w:pPr>
        <w:pStyle w:val="ListBullet"/>
      </w:pPr>
      <w:r/>
      <w:r>
        <w:rPr>
          <w:b/>
        </w:rPr>
        <w:t>Grossesse</w:t>
      </w:r>
      <w:r>
        <w:t xml:space="preserve"> : la duloxétine traverse le placenta. Les données observationnelles suggèrent un risque </w:t>
      </w:r>
      <w:r>
        <w:rPr>
          <w:b/>
        </w:rPr>
        <w:t>mineur</w:t>
      </w:r>
      <w:r>
        <w:t xml:space="preserve"> de malformations (pas de signal tératogène clair), mais un risque </w:t>
      </w:r>
      <w:r>
        <w:rPr>
          <w:b/>
        </w:rPr>
        <w:t>néonatal</w:t>
      </w:r>
      <w:r>
        <w:t xml:space="preserve"> au 3e trimestre — </w:t>
      </w:r>
      <w:r>
        <w:rPr>
          <w:b/>
        </w:rPr>
        <w:t>syndrome de sevrage néonatal</w:t>
      </w:r>
      <w:r>
        <w:t xml:space="preserve"> (irritabilité, hypertonie, tremblements, hypoglycémie, détresse respiratoire, convulsions) dans les 24-72h après la naissance, nécessitant une surveillance en néonatologie. Le CRAT recommande de </w:t>
      </w:r>
      <w:r>
        <w:rPr>
          <w:b/>
        </w:rPr>
        <w:t>l'éviter au 3e trimestre</w:t>
      </w:r>
      <w:r>
        <w:t xml:space="preserve"> par mesure de prudence. Au 1er et 2e trimestre, si l'indication psychiatrique le justifie, la duloxétine peut être poursuivie (bénéfice/risque à évaluer). Pour l'indication IUE, la prescription chez la femme enceinte n'a pas de justification (l'IUE de la grossesse est à traiter par rééducation périnéale, pas par pharmacologie systémique).</w:t>
      </w:r>
    </w:p>
    <w:p>
      <w:pPr>
        <w:pStyle w:val="ListBullet"/>
      </w:pPr>
      <w:r/>
      <w:r>
        <w:rPr>
          <w:b/>
        </w:rPr>
        <w:t>Allaitement</w:t>
      </w:r>
      <w:r>
        <w:t xml:space="preserve"> : la duloxétine </w:t>
      </w:r>
      <w:r>
        <w:rPr>
          <w:b/>
        </w:rPr>
        <w:t>passe dans le lait maternel</w:t>
      </w:r>
      <w:r>
        <w:t xml:space="preserve"> en faible quantité (rapport lait/plasma ≈ 0,25), avec une exposition infantile estimée à 1 % de la dose maternelle pondérée. Le CRAT considère son utilisation </w:t>
      </w:r>
      <w:r>
        <w:rPr>
          <w:b/>
        </w:rPr>
        <w:t>possible pendant l'allaitement</w:t>
      </w:r>
      <w:r>
        <w:t xml:space="preserve">, mais avec une surveillance de l'enfant (somnolence, prise de poids insuffisante, troubles digestifs) — préférer la sertraline ou la paroxétine si antidépresseur nécessaire pendant l'allaitement (rapport lait/plasma plus favorable). Pour l'indication IUE, </w:t>
      </w:r>
      <w:r>
        <w:rPr>
          <w:b/>
        </w:rPr>
        <w:t>à éviter pendant l'allaitement</w:t>
      </w:r>
      <w:r>
        <w:t xml:space="preserve"> — privilégier la rééducation périnéale et différer le traitement médicamenteux au sevrage.</w:t>
      </w:r>
    </w:p>
    <w:p>
      <w:pPr>
        <w:pStyle w:val="ListBullet"/>
      </w:pPr>
      <w:r/>
      <w:r>
        <w:rPr>
          <w:b/>
        </w:rPr>
        <w:t>Précisions</w:t>
      </w:r>
      <w:r>
        <w:t xml:space="preserve"> : un test de grossesse pré-thérapeutique peut être discuté chez la femme en âge de procréer avec contraception inadéquate. Contraception efficace pendant le traitement (l'efficacité des contraceptifs oraux n'est pas affectée par la duloxétine, mais la grossesse sous duloxétine pose les questions ci-dessus).</w:t>
      </w:r>
    </w:p>
    <w:p>
      <w:r/>
      <w:r>
        <w:rPr>
          <w:b/>
        </w:rPr>
        <w:t>Posologie et Mode d'administration (Standard) :</w:t>
      </w:r>
      <w:r/>
    </w:p>
    <w:p>
      <w:pPr>
        <w:pStyle w:val="ListBullet"/>
      </w:pPr>
      <w:r/>
      <w:r>
        <w:rPr>
          <w:b/>
        </w:rPr>
        <w:t>Adulte (18-65 ans)</w:t>
      </w:r>
      <w:r>
        <w:t xml:space="preserve"> :</w:t>
      </w:r>
    </w:p>
    <w:p>
      <w:pPr>
        <w:pStyle w:val="ListBullet"/>
      </w:pPr>
      <w:r/>
      <w:r>
        <w:rPr>
          <w:b/>
        </w:rPr>
        <w:t>Initiation</w:t>
      </w:r>
      <w:r>
        <w:t xml:space="preserve"> : 30 mg/jour en </w:t>
      </w:r>
      <w:r>
        <w:rPr>
          <w:b/>
        </w:rPr>
        <w:t>une prise</w:t>
      </w:r>
      <w:r>
        <w:t xml:space="preserve"> pendant 7 jours (titration, diminue les nausées)</w:t>
      </w:r>
    </w:p>
    <w:p>
      <w:pPr>
        <w:pStyle w:val="ListBullet"/>
      </w:pPr>
      <w:r/>
      <w:r>
        <w:rPr>
          <w:b/>
        </w:rPr>
        <w:t>Entretien</w:t>
      </w:r>
      <w:r>
        <w:t xml:space="preserve"> : 60 mg/jour en </w:t>
      </w:r>
      <w:r>
        <w:rPr>
          <w:b/>
        </w:rPr>
        <w:t>une prise</w:t>
      </w:r>
      <w:r>
        <w:t xml:space="preserve"> (matin ou soir selon tolérance)</w:t>
      </w:r>
    </w:p>
    <w:p>
      <w:pPr>
        <w:pStyle w:val="ListBullet"/>
      </w:pPr>
      <w:r/>
      <w:r>
        <w:rPr>
          <w:b/>
        </w:rPr>
        <w:t>Seconde intention</w:t>
      </w:r>
      <w:r>
        <w:t xml:space="preserve"> (échec à 60 mg après 4 semaines) : 60 mg × 2/jour (120 mg/jour) — dose maximale pour l'IUE, à discuter en milieu spécialisé</w:t>
      </w:r>
    </w:p>
    <w:p>
      <w:pPr>
        <w:pStyle w:val="ListBullet"/>
      </w:pPr>
      <w:r/>
      <w:r>
        <w:rPr>
          <w:b/>
        </w:rPr>
        <w:t>Sujet âgé (&gt; 65 ans)</w:t>
      </w:r>
      <w:r>
        <w:t xml:space="preserve"> : initiation à 30 mg/jour, titration prudente à 60 mg/jour, surveillance tensionnelle, cognitif (risque hyponatrémie SIADH), hépatique. Dose maximale 60 mg/jour en pratique gériatrique.</w:t>
      </w:r>
    </w:p>
    <w:p>
      <w:pPr>
        <w:pStyle w:val="ListBullet"/>
      </w:pPr>
      <w:r/>
      <w:r>
        <w:rPr>
          <w:b/>
        </w:rPr>
        <w:t>Enfant/adolescent (&lt; 18 ans)</w:t>
      </w:r>
      <w:r>
        <w:t xml:space="preserve"> : pas d'indication dans l'IUE (la duloxétine a une AMM dans la dépression de l'enfant &gt; 7 ans dans certains pays, mais l'indication IUE n'existe pas chez l'enfant).</w:t>
      </w:r>
    </w:p>
    <w:p>
      <w:pPr>
        <w:pStyle w:val="ListBullet"/>
      </w:pPr>
      <w:r/>
      <w:r>
        <w:rPr>
          <w:b/>
        </w:rPr>
        <w:t>Insuffisant hépatique</w:t>
      </w:r>
      <w:r>
        <w:t xml:space="preserve"> (Child-Pugh A-B) : éviter, ou utiliser à dose réduite (30 mg/jour) avec surveillance stricte ALAT/ASAT. CI absolue en Child-Pugh C.</w:t>
      </w:r>
    </w:p>
    <w:p>
      <w:pPr>
        <w:pStyle w:val="ListBullet"/>
      </w:pPr>
      <w:r/>
      <w:r>
        <w:rPr>
          <w:b/>
        </w:rPr>
        <w:t>Insuffisant rénal modérée (ClCr 30-80 mL/min)</w:t>
      </w:r>
      <w:r>
        <w:t xml:space="preserve"> : pas d'adaptation posologique, mais surveillance</w:t>
      </w:r>
    </w:p>
    <w:p>
      <w:pPr>
        <w:pStyle w:val="ListBullet"/>
      </w:pPr>
      <w:r/>
      <w:r>
        <w:rPr>
          <w:b/>
        </w:rPr>
        <w:t>Insuffisant rénal sévère (ClCr &lt; 30 mL/min)</w:t>
      </w:r>
      <w:r>
        <w:t xml:space="preserve"> : contre-indication absolue</w:t>
      </w:r>
    </w:p>
    <w:p>
      <w:pPr>
        <w:pStyle w:val="ListBullet"/>
      </w:pPr>
      <w:r/>
      <w:r>
        <w:rPr>
          <w:b/>
        </w:rPr>
        <w:t>Grand fumeur</w:t>
      </w:r>
      <w:r>
        <w:t xml:space="preserve"> : augmentation possible de la dose (induction CYP1A2 par le tabac) — surveillance clinique</w:t>
      </w:r>
    </w:p>
    <w:p>
      <w:pPr>
        <w:pStyle w:val="ListBullet"/>
      </w:pPr>
      <w:r/>
      <w:r>
        <w:rPr>
          <w:b/>
        </w:rPr>
        <w:t>Durée</w:t>
      </w:r>
      <w:r>
        <w:t xml:space="preserve"> : pour l'IUE, traitement au long cours — réévaluation tous les 6 mois (calendrier mictionnel, échelle ICIQ-SF, évaluation de la poursuite ou de l'arrêt). Tentative de sevrage après 1 an de stabilité clinique (décroissance progressive par paliers de 30 mg sur 2-4 semaines).</w:t>
      </w:r>
    </w:p>
    <w:p>
      <w:pPr>
        <w:pStyle w:val="ListBullet"/>
      </w:pPr>
      <w:r/>
      <w:r>
        <w:rPr>
          <w:b/>
        </w:rPr>
        <w:t>Moment de la prise</w:t>
      </w:r>
      <w:r>
        <w:t xml:space="preserve"> : prise unique quotidienne, à heure fixe, au cours d'un repas. </w:t>
      </w:r>
      <w:r>
        <w:rPr>
          <w:b/>
        </w:rPr>
        <w:t>Préférence vespérale</w:t>
      </w:r>
      <w:r>
        <w:t xml:space="preserve"> (diminue la somnolence diurne — la duloxétine est plutôt activante) ; en cas d'insomnie, décaler au matin.</w:t>
      </w:r>
    </w:p>
    <w:p>
      <w:r/>
      <w:r>
        <w:rPr>
          <w:b/>
        </w:rPr>
        <w:t>Arbitrage et Bénéfices des Formes Galéniques :</w:t>
      </w:r>
      <w:r/>
    </w:p>
    <w:p>
      <w:pPr>
        <w:pStyle w:val="ListBullet"/>
      </w:pPr>
      <w:r/>
      <w:r>
        <w:rPr>
          <w:b/>
        </w:rPr>
        <w:t>Gélule gastro-résistante à microgranules (CYMBALTA, BALTAXINE, CYMOXETINE, CYACETINE)</w:t>
      </w:r>
      <w:r>
        <w:t xml:space="preserve"> : la duloxétine est sensible à la dégradation acide gastrique — d'où la forme gastro-résistante (pelliculage entérique) qui protège la molécule et libère les microgranules dans l'intestin grêle (pH &gt; 5,5). Avantage : biodisponibilité améliorée, pic de concentration étalé, tolérance digestive meilleure.</w:t>
      </w:r>
    </w:p>
    <w:p>
      <w:pPr>
        <w:pStyle w:val="ListBullet"/>
      </w:pPr>
      <w:r/>
      <w:r>
        <w:rPr>
          <w:b/>
        </w:rPr>
        <w:t>Microgranules à libération prolongée (DULOX Hikma, WYSERIN CPCM)</w:t>
      </w:r>
      <w:r>
        <w:t xml:space="preserve"> : formulation équivalente, libération prolongée sur 12-24h, pic de concentration plus atténué, meilleure tolérance digestive.</w:t>
      </w:r>
    </w:p>
    <w:p>
      <w:pPr>
        <w:pStyle w:val="ListBullet"/>
      </w:pPr>
      <w:r/>
      <w:r>
        <w:rPr>
          <w:b/>
        </w:rPr>
        <w:t>Comprimé (NON disponible en Algérie)</w:t>
      </w:r>
      <w:r>
        <w:t xml:space="preserve"> : formulation non LP, pic plus marqué, plus de nausées.</w:t>
      </w:r>
    </w:p>
    <w:p>
      <w:pPr>
        <w:pStyle w:val="ListBullet"/>
      </w:pPr>
      <w:r/>
      <w:r>
        <w:rPr>
          <w:b/>
        </w:rPr>
        <w:t>Forme 30 mg</w:t>
      </w:r>
      <w:r>
        <w:t xml:space="preserve"> : indispensable pour la titration (semaine 1 : 30 mg, puis 60 mg en entretien). Toujours débuter par 30 mg pour minimiser les EI d'initiation.</w:t>
      </w:r>
    </w:p>
    <w:p>
      <w:pPr>
        <w:pStyle w:val="ListBullet"/>
      </w:pPr>
      <w:r/>
      <w:r>
        <w:rPr>
          <w:b/>
        </w:rPr>
        <w:t>Forme 60 mg</w:t>
      </w:r>
      <w:r>
        <w:t xml:space="preserve"> : dosage d'entretien standard. Pour la dose 120 mg/jour (seconde intention), 2 gélules de 60 mg/jour (matin et soir).</w:t>
      </w:r>
    </w:p>
    <w:p>
      <w:pPr>
        <w:pStyle w:val="ListBullet"/>
      </w:pPr>
      <w:r/>
      <w:r>
        <w:rPr>
          <w:b/>
        </w:rPr>
        <w:t>Conditionnement B/28 ou B/30</w:t>
      </w:r>
      <w:r>
        <w:t xml:space="preserve"> : 1 mois de traitement à 1 prise/jour — prévoir un rappel de renouvellement 5 jours avant la fin pour éviter la rupture (risque de syndrome de sevrage).</w:t>
      </w:r>
    </w:p>
    <w:p>
      <w:r/>
      <w:r>
        <w:rPr>
          <w:b/>
        </w:rPr>
        <w:t>Instructions et Conseils au Patient :</w:t>
      </w:r>
      <w:r/>
    </w:p>
    <w:p>
      <w:pPr>
        <w:pStyle w:val="ListBullet"/>
      </w:pPr>
      <w:r/>
      <w:r>
        <w:rPr>
          <w:b/>
        </w:rPr>
        <w:t>Communication au comptoir</w:t>
      </w:r>
      <w:r>
        <w:t xml:space="preserve"> :</w:t>
      </w:r>
    </w:p>
    <w:p>
      <w:pPr>
        <w:pStyle w:val="ListBullet"/>
      </w:pPr>
      <w:r>
        <w:t>« Ce médicament est prescrit pour réduire les fuites d'urine à l'effort (toux, éternuement, port de charges). Il agit en renforçant le tonus du sphincter urétral. »</w:t>
      </w:r>
    </w:p>
    <w:p>
      <w:pPr>
        <w:pStyle w:val="ListBullet"/>
      </w:pPr>
      <w:r>
        <w:t>« Prenez UNE gélule par jour, à heure fixe, le soir au cours du repas. »</w:t>
      </w:r>
    </w:p>
    <w:p>
      <w:pPr>
        <w:pStyle w:val="ListBullet"/>
      </w:pPr>
      <w:r>
        <w:t>« La première semaine, votre médecin vous a prescrit 30 mg ; la semaine suivante, vous passerez à 60 mg — ne changez pas la dose sans son avis. »</w:t>
      </w:r>
    </w:p>
    <w:p>
      <w:pPr>
        <w:pStyle w:val="ListBullet"/>
      </w:pPr>
      <w:r>
        <w:t>« Vous risquez des nausées en début de traitement — prenez la gélule pendant le repas, cela diminue les nausées. Elles disparaissent en 2 à 4 semaines. »</w:t>
      </w:r>
    </w:p>
    <w:p>
      <w:pPr>
        <w:pStyle w:val="ListBullet"/>
      </w:pPr>
      <w:r>
        <w:t>« Si vous avez des vertiges en vous levant, levez-vous lentement — prévenez votre médecin si cela persiste. »</w:t>
      </w:r>
    </w:p>
    <w:p>
      <w:pPr>
        <w:pStyle w:val="ListBullet"/>
      </w:pPr>
      <w:r>
        <w:t>« Si vous devez ARRÊTER le traitement (pour quelque raison que ce soit), NE JAMAIS ARRÊTER BRUTALEMENT — demandez à votre médecin un sevrage progressif sur 2 à 4 semaines, sinon vous risquez des vertiges, des nausées, des sensations électriques dans la tête. »</w:t>
      </w:r>
    </w:p>
    <w:p>
      <w:pPr>
        <w:pStyle w:val="ListBullet"/>
      </w:pPr>
      <w:r>
        <w:t>« Si vous avez des saignements anormaux (ecchymoses, saignement digestif), si vous avez une fièvre avec tremblements, confusion, sueurs : ARRÊTEZ et CONSULTEZ EN URGENCE. »</w:t>
      </w:r>
    </w:p>
    <w:p>
      <w:pPr>
        <w:pStyle w:val="ListBullet"/>
      </w:pPr>
      <w:r>
        <w:t>« Ne prenez PAS d'IMAO, d'autres antidépresseurs, de tramadol, de triptans sans en parler à votre médecin — risque de syndrome sérotoninergique grave. »</w:t>
      </w:r>
    </w:p>
    <w:p>
      <w:pPr>
        <w:pStyle w:val="ListBullet"/>
      </w:pPr>
      <w:r>
        <w:t>« Évitez l'alcool — risque d'atteinte hépatique. »</w:t>
      </w:r>
    </w:p>
    <w:p>
      <w:pPr>
        <w:pStyle w:val="ListBullet"/>
      </w:pPr>
      <w:r>
        <w:t>« Si vous fumez beaucoup, prévenez votre médecin — la dose peut être à adapter. »</w:t>
      </w:r>
    </w:p>
    <w:p>
      <w:pPr>
        <w:pStyle w:val="ListBullet"/>
      </w:pPr>
      <w:r>
        <w:t>« Ce traitement est au long cours — ne l'arrêtez pas seul. »</w:t>
      </w:r>
    </w:p>
    <w:p>
      <w:pPr>
        <w:pStyle w:val="ListBullet"/>
      </w:pPr>
      <w:r/>
      <w:r>
        <w:rPr>
          <w:b/>
        </w:rPr>
        <w:t>Mode d'utilisation pratique</w:t>
      </w:r>
      <w:r>
        <w:t xml:space="preserve"> : 1 gélule par jour au même moment, le soir au cours du repas. En cas d'oubli &lt; 12h : prendre la dose. Si oubli &gt; 12h : sauter la dose et prendre le lendemain à l'heure habituelle — </w:t>
      </w:r>
      <w:r>
        <w:rPr>
          <w:b/>
        </w:rPr>
        <w:t>ne jamais doubler</w:t>
      </w:r>
      <w:r>
        <w:t>. Conserver à température &lt; 25°C, à l'abri de l'humidité. Tenir hors de portée des enfants. Ne pas ouvrir les gélules (les microgranules doivent être avalés entiers pour préserver la gastro-résistance et la libération prolongée).</w:t>
      </w:r>
    </w:p>
    <w:p>
      <w:r/>
      <w:r>
        <w:rPr>
          <w:b/>
        </w:rPr>
        <w:t>Notes, Règles d'Or &amp; Pièges au Comptoir :</w:t>
      </w:r>
      <w:r/>
    </w:p>
    <w:p>
      <w:pPr>
        <w:pStyle w:val="ListBullet"/>
      </w:pPr>
      <w:r/>
      <w:r>
        <w:rPr>
          <w:b/>
        </w:rPr>
        <w:t>Piège classique n°1 — L'association IMAO oubliée</w:t>
      </w:r>
      <w:r>
        <w:t xml:space="preserve"> : patiente sous IMAO (rare en Algérie, mais possible en importation) ou sous fluoxétine (Prozac — IRS à longue demi-vie), prescrit duloxétine pour IUE → </w:t>
      </w:r>
      <w:r>
        <w:rPr>
          <w:b/>
        </w:rPr>
        <w:t>syndrome sérotoninergique grave</w:t>
      </w:r>
      <w:r>
        <w:t xml:space="preserve"> en 24-48h (fièvre, myoclonies, confusion, collapsus). </w:t>
      </w:r>
      <w:r>
        <w:rPr>
          <w:b/>
        </w:rPr>
        <w:t>Conduite</w:t>
      </w:r>
      <w:r>
        <w:t xml:space="preserve"> : interrogatoire médicamenteux systématique avant dispensation — wash-out de 14 jours (IMAO non sélectif) à 5 semaines (fluoxétine) avant initiation de la duloxétine. En cas de syndrome sérotoninergique : arrêt immédiat de tous les sérotoninergiques, hospitalisation en urgence, traitement symptomatique (réanimation, cyproheptadine en milieu spécialisé).</w:t>
      </w:r>
    </w:p>
    <w:p>
      <w:pPr>
        <w:pStyle w:val="ListBullet"/>
      </w:pPr>
      <w:r/>
      <w:r>
        <w:rPr>
          <w:b/>
        </w:rPr>
        <w:t>Piège classique n°2 — Le sevrage brutal</w:t>
      </w:r>
      <w:r>
        <w:t xml:space="preserve"> : patiente stable sous duloxétine 60 mg/jour depuis 6 mois, arrête brutalement (oubli de renouvellement, ou décès du mari, ou mauvaise observance) → 48h après la dernière prise, vertiges majeurs, nausées, paresthésies électriques dans la tête, irritabilité, larmoiement, insomnie — </w:t>
      </w:r>
      <w:r>
        <w:rPr>
          <w:b/>
        </w:rPr>
        <w:t>syndrome de sevrage aux IRSN</w:t>
      </w:r>
      <w:r>
        <w:t xml:space="preserve">. </w:t>
      </w:r>
      <w:r>
        <w:rPr>
          <w:b/>
        </w:rPr>
        <w:t>Conduite</w:t>
      </w:r>
      <w:r>
        <w:t xml:space="preserve"> : reprise immédiate de la duloxétine à la dose précédente, puis décroissance progressive sur 2-4 semaines. Information systématique du patient à l'initiation : « ne jamais arrêter brutalement, parler à votre médecin pour un sevrage progressif ».</w:t>
      </w:r>
    </w:p>
    <w:p>
      <w:pPr>
        <w:pStyle w:val="ListBullet"/>
      </w:pPr>
      <w:r/>
      <w:r>
        <w:rPr>
          <w:b/>
        </w:rPr>
        <w:t>Piège classique n°3 — L'hypertension non contrôlée</w:t>
      </w:r>
      <w:r>
        <w:t xml:space="preserve"> : patiente hypertendue non équilibrée (TA 160/95), prescrite duloxétine → élévation à 175/100, risque cérébrovasculaire. </w:t>
      </w:r>
      <w:r>
        <w:rPr>
          <w:b/>
        </w:rPr>
        <w:t>Conduite</w:t>
      </w:r>
      <w:r>
        <w:t xml:space="preserve"> : équilibration tensionnelle préalable ; si hypertension sous duloxétine, arrêt ou alternative.</w:t>
      </w:r>
    </w:p>
    <w:p>
      <w:pPr>
        <w:pStyle w:val="ListBullet"/>
      </w:pPr>
      <w:r/>
      <w:r>
        <w:rPr>
          <w:b/>
        </w:rPr>
        <w:t>Piège classique n°4 — L'homme sous duloxétine pour IUE post-prostatectomie</w:t>
      </w:r>
      <w:r>
        <w:t xml:space="preserve"> : homme de 68 ans opéré d'adénomectomie prostatique avec IUE résiduelle, prescrit duloxétine « à l'essai » → pas d'AMM dans cette indication, efficacité moindre, EI plus fréquents (rétention, troubles sexuels). </w:t>
      </w:r>
      <w:r>
        <w:rPr>
          <w:b/>
        </w:rPr>
        <w:t>Conduite</w:t>
      </w:r>
      <w:r>
        <w:t xml:space="preserve"> : pour l'IUE masculine post-prostatectomie, la duloxétine n'a pas d'AMM en Europe — discuter en milieu urologique spécialisé (bandelette masculine, sphincter artificiel).</w:t>
      </w:r>
    </w:p>
    <w:p>
      <w:pPr>
        <w:pStyle w:val="ListBullet"/>
      </w:pPr>
      <w:r/>
      <w:r>
        <w:rPr>
          <w:b/>
        </w:rPr>
        <w:t>Piège classique n°5 — La grossesse non dépistée</w:t>
      </w:r>
      <w:r>
        <w:t xml:space="preserve"> : femme en âge de procréer, prescrite duloxétine pour IUE, sans contraception efficace → grossesse sous duloxétine au 3e trimestre → syndrome de sevrage néonatal. </w:t>
      </w:r>
      <w:r>
        <w:rPr>
          <w:b/>
        </w:rPr>
        <w:t>Conduite</w:t>
      </w:r>
      <w:r>
        <w:t xml:space="preserve"> : test de grossesse pré-thérapeutique si doute, contraception efficace pendant le traitement, information patiente sur les risques en cas de grossesse (sevrage néonatal).</w:t>
      </w:r>
    </w:p>
    <w:p>
      <w:pPr>
        <w:pStyle w:val="ListBullet"/>
      </w:pPr>
      <w:r/>
      <w:r>
        <w:rPr>
          <w:b/>
        </w:rPr>
        <w:t>Règle de prise</w:t>
      </w:r>
      <w:r>
        <w:t xml:space="preserve"> : 1 prise par jour, le soir au repas, à heure fixe.</w:t>
      </w:r>
    </w:p>
    <w:p>
      <w:pPr>
        <w:pStyle w:val="ListBullet"/>
      </w:pPr>
      <w:r/>
      <w:r>
        <w:rPr>
          <w:b/>
        </w:rPr>
        <w:t>Préparation et Conservation</w:t>
      </w:r>
      <w:r>
        <w:t xml:space="preserve"> : gélules à conserver à température &lt; 25°C, à l'abri de l'humidité. Ne pas ouvrir les gélules (les microgranules doivent rester intacts). Durée de conservation 3 ans (voir DLC sur l'emballage).</w:t>
      </w:r>
    </w:p>
    <w:p>
      <w:pPr>
        <w:pStyle w:val="ListBullet"/>
      </w:pPr>
      <w:r/>
      <w:r>
        <w:rPr>
          <w:b/>
        </w:rPr>
        <w:t>Piège du surdosage / Substitution</w:t>
      </w:r>
      <w:r>
        <w:t xml:space="preserve"> : surdosage aigu (tentative de suicide — l'indication psychiatrique sous-jacente expose au risque) = syndrome sérotoninergique sévère + dépression respiratoire + convulsions + collapsus — urgence toxicologique (Centre Antipoison). La substitution CYMBALTA → générique (BALTAXINE, DULOX, WYSERIN, CYMOXETINE) ne pose pas de problème pharmacocinétique (équivalence stricte), mais anticiper le changement chez le patient stable (ne pas attendre la rupture — risque d'interruption thérapeutique et de syndrome de sevrage).</w:t>
      </w:r>
    </w:p>
    <w:p>
      <w:pPr>
        <w:pStyle w:val="Heading3"/>
      </w:pPr>
      <w:r>
        <w:t>73.4. DCI : Nitroxoline (Seule)</w:t>
      </w:r>
    </w:p>
    <w:p>
      <w:r/>
      <w:r>
        <w:rPr>
          <w:b/>
        </w:rPr>
        <w:t>Liste des Catégories :</w:t>
      </w:r>
      <w:r>
        <w:t xml:space="preserve"> Antiseptiques urinaires - Hydroxyquinoléines</w:t>
      </w:r>
    </w:p>
    <w:p>
      <w:r>
        <w:t xml:space="preserve">La nitroxoline (5-nitro-8-hydroxyquinoléine) est un </w:t>
      </w:r>
      <w:r>
        <w:rPr>
          <w:b/>
        </w:rPr>
        <w:t>antiseptique urinaire</w:t>
      </w:r>
      <w:r>
        <w:t xml:space="preserve"> de la famille des </w:t>
      </w:r>
      <w:r>
        <w:rPr>
          <w:b/>
        </w:rPr>
        <w:t>hydroxyquinoléines</w:t>
      </w:r>
      <w:r>
        <w:t xml:space="preserve"> commercialisé depuis les années 1960. Son mécanisme d'action original repose sur la </w:t>
      </w:r>
      <w:r>
        <w:rPr>
          <w:b/>
        </w:rPr>
        <w:t>chélation des ions métalliques</w:t>
      </w:r>
      <w:r>
        <w:t xml:space="preserve"> bivalents et trivalents (Fe3+, Zn2+, Mn2+, Cu2+, Mg2+) essentiels au site actif de nombreuses métallo-enzymes bactériennes. Elle se distingue ainsi des antibiotiques classiques par son mécanisme non antibiotique, l'absence de sélection de résistances croisées, et son spectre limité aux germes urinaires. Sa structure (8-hydroxyquinoléine substituée en position 5 par un groupement nitro -NO2) lui confère une activité bactériostatique large spectre : entérobactéries urinaires (E. coli, Klebsiella, Proteus, Enterobacter, Serratia), cocci à Gram positif (Enterococcus, Staphylococcus saprophyticus, Streptococcus agalactiae), et certaines levures (Candida). Excrétée principalement par voie rénale sous forme inchangée, elle atteint des concentrations urinaires 50 à 200 fois supérieures aux CMI des germes responsables, tout en restant à de faibles concentrations plasmatiques (biodisponibilité orale ~50 %, liaison protéique 30 %). La nitroxoline traverse la </w:t>
      </w:r>
      <w:r>
        <w:rPr>
          <w:b/>
        </w:rPr>
        <w:t>barrière hémato-encéphalique</w:t>
      </w:r>
      <w:r>
        <w:t xml:space="preserve"> et peut, en administration prolongée (&gt; 14 jours), induire des </w:t>
      </w:r>
      <w:r>
        <w:rPr>
          <w:b/>
        </w:rPr>
        <w:t>neuropathies périphériques</w:t>
      </w:r>
      <w:r>
        <w:t xml:space="preserve"> (paresthésies, troubles sensitifs) et des </w:t>
      </w:r>
      <w:r>
        <w:rPr>
          <w:b/>
        </w:rPr>
        <w:t>neuropathies optiques</w:t>
      </w:r>
      <w:r>
        <w:t xml:space="preserve"> (baisse d'acuité visuelle, scotome) — d'où la durée maximale de traitement de </w:t>
      </w:r>
      <w:r>
        <w:rPr>
          <w:b/>
        </w:rPr>
        <w:t>14 jours</w:t>
      </w:r>
      <w:r>
        <w:t>. Historiquement, l'hydroxy-8-quinoléine non nitrée (iodoquinol, clioquinol) a été retirée du marché dans les années 1970-1980 pour cause de neuropathies sévères (syndrome de SMON au Japon — subacute myelo-optic neuropathy) — d'où la prudence systématique sur la durée avec la nitroxoline.</w:t>
      </w:r>
    </w:p>
    <w:p>
      <w:r/>
      <w:r>
        <w:rPr>
          <w:b/>
        </w:rPr>
        <w:t>Médicaments disponibles en Algérie (Marques, Laboratoires, Formes et Dosages) :</w:t>
      </w:r>
      <w:r/>
    </w:p>
    <w:p>
      <w:r/>
      <w:r>
        <w:rPr>
          <w:b/>
        </w:rPr>
        <w:t>Forme 50 mg :</w:t>
      </w:r>
      <w:r/>
    </w:p>
    <w:p>
      <w:pPr>
        <w:pStyle w:val="ListBullet"/>
      </w:pPr>
      <w:r/>
      <w:r>
        <w:rPr>
          <w:b/>
        </w:rPr>
        <w:t>NAXOLIN</w:t>
      </w:r>
      <w:r>
        <w:t xml:space="preserve"> (INDUSTRIA FARMACEUTICA NOVA ARGENTIA SPA)</w:t>
      </w:r>
    </w:p>
    <w:p>
      <w:pPr>
        <w:pStyle w:val="ListBullet"/>
      </w:pPr>
      <w:r>
        <w:t>Formes et Dosages : Comprimé 50 mg, boîte de 60</w:t>
      </w:r>
    </w:p>
    <w:p>
      <w:pPr>
        <w:pStyle w:val="ListBullet"/>
      </w:pPr>
      <w:r>
        <w:t>Statut : Actif — Liste I</w:t>
      </w:r>
    </w:p>
    <w:p>
      <w:r/>
      <w:r>
        <w:rPr>
          <w:b/>
        </w:rPr>
        <w:t>Forme 100 mg :</w:t>
      </w:r>
      <w:r/>
    </w:p>
    <w:p>
      <w:pPr>
        <w:pStyle w:val="ListBullet"/>
      </w:pPr>
      <w:r/>
      <w:r>
        <w:rPr>
          <w:b/>
        </w:rPr>
        <w:t>NAXOLIN</w:t>
      </w:r>
      <w:r>
        <w:t xml:space="preserve"> (INDUSTRIA FARMACEUTICA NOVA ARGENTIA SPA)</w:t>
      </w:r>
    </w:p>
    <w:p>
      <w:pPr>
        <w:pStyle w:val="ListBullet"/>
      </w:pPr>
      <w:r>
        <w:t>Formes et Dosages : Comprimé 100 mg, boîte de 50</w:t>
      </w:r>
    </w:p>
    <w:p>
      <w:pPr>
        <w:pStyle w:val="ListBullet"/>
      </w:pPr>
      <w:r>
        <w:t>Statut : Actif — Liste I (princeps historique, formes 50 et 100 mg disponibles chez le même labo)</w:t>
      </w:r>
    </w:p>
    <w:p>
      <w:pPr>
        <w:pStyle w:val="ListBullet"/>
      </w:pPr>
      <w:r/>
      <w:r>
        <w:rPr>
          <w:b/>
        </w:rPr>
        <w:t>NABYOL FORTE</w:t>
      </w:r>
      <w:r>
        <w:t xml:space="preserve"> (BOTTU S.A.)</w:t>
      </w:r>
    </w:p>
    <w:p>
      <w:pPr>
        <w:pStyle w:val="ListBullet"/>
      </w:pPr>
      <w:r>
        <w:t>Formes et Dosages : Comprimé enrobé 100 mg, boîte de 50</w:t>
      </w:r>
    </w:p>
    <w:p>
      <w:pPr>
        <w:pStyle w:val="ListBullet"/>
      </w:pPr>
      <w:r>
        <w:t>Statut : Actif — Liste I</w:t>
      </w:r>
    </w:p>
    <w:p>
      <w:pPr>
        <w:pStyle w:val="ListBullet"/>
      </w:pPr>
      <w:r/>
      <w:r>
        <w:rPr>
          <w:b/>
        </w:rPr>
        <w:t>NAXIBIOL</w:t>
      </w:r>
      <w:r>
        <w:t xml:space="preserve"> (SARL BIOREM)</w:t>
      </w:r>
    </w:p>
    <w:p>
      <w:pPr>
        <w:pStyle w:val="ListBullet"/>
      </w:pPr>
      <w:r>
        <w:t>Formes et Dosages : Comprimé enrobé 100 mg, boîte de 50</w:t>
      </w:r>
    </w:p>
    <w:p>
      <w:pPr>
        <w:pStyle w:val="ListBullet"/>
      </w:pPr>
      <w:r>
        <w:t>Statut : Actif — Liste I</w:t>
      </w:r>
    </w:p>
    <w:p>
      <w:pPr>
        <w:pStyle w:val="ListBullet"/>
      </w:pPr>
      <w:r/>
      <w:r>
        <w:rPr>
          <w:b/>
        </w:rPr>
        <w:t>NEOBIOL</w:t>
      </w:r>
      <w:r>
        <w:t xml:space="preserve"> (NEOMEDIC)</w:t>
      </w:r>
    </w:p>
    <w:p>
      <w:pPr>
        <w:pStyle w:val="ListBullet"/>
      </w:pPr>
      <w:r>
        <w:t>Formes et Dosages : Comprimé pelliculé 100 mg, boîte de 50</w:t>
      </w:r>
    </w:p>
    <w:p>
      <w:pPr>
        <w:pStyle w:val="ListBullet"/>
      </w:pPr>
      <w:r>
        <w:t>Statut : Actif — Liste I</w:t>
      </w:r>
    </w:p>
    <w:p>
      <w:pPr>
        <w:pStyle w:val="ListBullet"/>
      </w:pPr>
      <w:r/>
      <w:r>
        <w:rPr>
          <w:b/>
        </w:rPr>
        <w:t>NITROXAL</w:t>
      </w:r>
      <w:r>
        <w:t xml:space="preserve"> (SOCIETE PHARMACEUTIQUE ALGERIENNE SOPHAL)</w:t>
      </w:r>
    </w:p>
    <w:p>
      <w:pPr>
        <w:pStyle w:val="ListBullet"/>
      </w:pPr>
      <w:r>
        <w:t>Formes et Dosages : Comprimé pelliculé 100 mg, boîte de 50</w:t>
      </w:r>
    </w:p>
    <w:p>
      <w:pPr>
        <w:pStyle w:val="ListBullet"/>
      </w:pPr>
      <w:r>
        <w:t>Statut : Actif — Liste I</w:t>
      </w:r>
    </w:p>
    <w:p>
      <w:pPr>
        <w:pStyle w:val="ListBullet"/>
      </w:pPr>
      <w:r/>
      <w:r>
        <w:rPr>
          <w:b/>
        </w:rPr>
        <w:t>NOLIB</w:t>
      </w:r>
      <w:r>
        <w:t xml:space="preserve"> (PHYSIOPHARM LABORATOIRES)</w:t>
      </w:r>
    </w:p>
    <w:p>
      <w:pPr>
        <w:pStyle w:val="ListBullet"/>
      </w:pPr>
      <w:r>
        <w:t>Formes et Dosages : Comprimé pelliculé 100 mg, boîte de 50</w:t>
      </w:r>
    </w:p>
    <w:p>
      <w:pPr>
        <w:pStyle w:val="ListBullet"/>
      </w:pPr>
      <w:r>
        <w:t>Statut : Actif — Liste I</w:t>
      </w:r>
    </w:p>
    <w:p>
      <w:pPr>
        <w:pStyle w:val="ListBullet"/>
      </w:pPr>
      <w:r/>
      <w:r>
        <w:rPr>
          <w:b/>
        </w:rPr>
        <w:t>NIBIOL</w:t>
      </w:r>
      <w:r>
        <w:t xml:space="preserve"> (FOURNIER)</w:t>
      </w:r>
    </w:p>
    <w:p>
      <w:pPr>
        <w:pStyle w:val="ListBullet"/>
      </w:pPr>
      <w:r>
        <w:t>Formes et Dosages : Comprimé enrobé 100 mg, boîte de 50</w:t>
      </w:r>
    </w:p>
    <w:p>
      <w:pPr>
        <w:pStyle w:val="ListBullet"/>
      </w:pPr>
      <w:r>
        <w:t xml:space="preserve">Statut : </w:t>
      </w:r>
      <w:r>
        <w:rPr>
          <w:b/>
        </w:rPr>
        <w:t>Retiré (R)</w:t>
      </w:r>
      <w:r>
        <w:t xml:space="preserve"> — Liste I (marque historique retirée de la nomenclature, ne plus dispenser)</w:t>
      </w:r>
    </w:p>
    <w:p>
      <w:r>
        <w:t xml:space="preserve">L'offre algérienne compte donc </w:t>
      </w:r>
      <w:r>
        <w:rPr>
          <w:b/>
        </w:rPr>
        <w:t>1 marque à 50 mg</w:t>
      </w:r>
      <w:r>
        <w:t xml:space="preserve"> (NAXOLIN 50 mg) et </w:t>
      </w:r>
      <w:r>
        <w:rPr>
          <w:b/>
        </w:rPr>
        <w:t>6 marques actives à 100 mg</w:t>
      </w:r>
      <w:r>
        <w:t xml:space="preserve"> (NAXOLIN 100 mg, NABYOL FORTE, NAXIBIOL, NEOBIOL, NITROXAL, NOLIB) + </w:t>
      </w:r>
      <w:r>
        <w:rPr>
          <w:b/>
        </w:rPr>
        <w:t>1 marque retirée</w:t>
      </w:r>
      <w:r>
        <w:t xml:space="preserve"> (NIBIOL Fournier), toutes en </w:t>
      </w:r>
      <w:r>
        <w:rPr>
          <w:b/>
        </w:rPr>
        <w:t>Liste I</w:t>
      </w:r>
      <w:r>
        <w:t xml:space="preserve"> sur prescription médicale. La forme 100 mg simplifie la posologie (2 cp × 3/j au lieu de 4 cp × 3/j pour la forme 50 mg) — c'est le dosage le plus prescrit. Le conditionnement B/50 correspond à </w:t>
      </w:r>
      <w:r>
        <w:rPr>
          <w:b/>
        </w:rPr>
        <w:t>8 jours</w:t>
      </w:r>
      <w:r>
        <w:t xml:space="preserve"> de traitement à la posologie standard (100 mg × 3/jour) — prévoir 2 boîtes pour un traitement de 14 jours. Le retrait de NIBIOL (marque princeps historique Fournier) doit être anticipé : substitution par un générique équivalent (NABYOL FORTE, NAXIBIOL ou NITROXAL — strictement équivalents).</w:t>
      </w:r>
    </w:p>
    <w:p>
      <w:r/>
      <w:r>
        <w:rPr>
          <w:b/>
        </w:rPr>
        <w:t>Sous-classe et Mécanisme d'action :</w:t>
      </w:r>
      <w:r/>
    </w:p>
    <w:p>
      <w:pPr>
        <w:pStyle w:val="ListBullet"/>
      </w:pPr>
      <w:r/>
      <w:r>
        <w:rPr>
          <w:b/>
        </w:rPr>
        <w:t>Sous-classe</w:t>
      </w:r>
      <w:r>
        <w:t xml:space="preserve"> : Antiseptique urinaire de la famille des hydroxyquinoléines, indiqué dans le traitement des infections urinaires basses non compliquées (cystites aiguës simples, pyélite, urétrite). Distinct des antibiotiques systémiques par son mécanisme non antibiotique et son absence de résistance croisée.</w:t>
      </w:r>
    </w:p>
    <w:p>
      <w:pPr>
        <w:pStyle w:val="ListBullet"/>
      </w:pPr>
      <w:r/>
      <w:r>
        <w:rPr>
          <w:b/>
        </w:rPr>
        <w:t>Mécanisme d'action</w:t>
      </w:r>
      <w:r>
        <w:t xml:space="preserve"> : </w:t>
      </w:r>
      <w:r>
        <w:rPr>
          <w:b/>
        </w:rPr>
        <w:t>chélation des ions métalliques</w:t>
      </w:r>
      <w:r>
        <w:t xml:space="preserve"> divalents et trivalents (Fe3+, Zn2+, Mn2+, Cu2+, Mg2+) au niveau du site actif des </w:t>
      </w:r>
      <w:r>
        <w:rPr>
          <w:b/>
        </w:rPr>
        <w:t>métallo-enzymes bactériennes</w:t>
      </w:r>
      <w:r>
        <w:t xml:space="preserve"> — en particulier les </w:t>
      </w:r>
      <w:r>
        <w:rPr>
          <w:b/>
        </w:rPr>
        <w:t>cytochromes respiratoires</w:t>
      </w:r>
      <w:r>
        <w:t xml:space="preserve"> (chaîne de transport d'électrons bactérienne), les </w:t>
      </w:r>
      <w:r>
        <w:rPr>
          <w:b/>
        </w:rPr>
        <w:t>métallo-β-lactamases</w:t>
      </w:r>
      <w:r>
        <w:t xml:space="preserve">, les </w:t>
      </w:r>
      <w:r>
        <w:rPr>
          <w:b/>
        </w:rPr>
        <w:t>superoxide dismutases (SOD)</w:t>
      </w:r>
      <w:r>
        <w:t xml:space="preserve">, les </w:t>
      </w:r>
      <w:r>
        <w:rPr>
          <w:b/>
        </w:rPr>
        <w:t>catalases</w:t>
      </w:r>
      <w:r>
        <w:t>. Cette chélation induit :</w:t>
      </w:r>
    </w:p>
    <w:p>
      <w:pPr>
        <w:pStyle w:val="ListBullet"/>
      </w:pPr>
      <w:r/>
      <w:r>
        <w:rPr>
          <w:b/>
        </w:rPr>
        <w:t>Inhibition de la chaîne respiratoire aérobie bactérienne</w:t>
      </w:r>
      <w:r>
        <w:t xml:space="preserve"> → privation énergétique, ralentissement de la croissance</w:t>
      </w:r>
    </w:p>
    <w:p>
      <w:pPr>
        <w:pStyle w:val="ListBullet"/>
      </w:pPr>
      <w:r/>
      <w:r>
        <w:rPr>
          <w:b/>
        </w:rPr>
        <w:t>Stress oxydatif intrabactérien</w:t>
      </w:r>
      <w:r>
        <w:t xml:space="preserve"> (accumulation de radicaux libres — anion superoxyde, peroxyde d'hydrogène, en raison de l'inhibition des SOD et catalases) → lésions de l'ADN, des protéines et des lipides membranaires</w:t>
      </w:r>
    </w:p>
    <w:p>
      <w:pPr>
        <w:pStyle w:val="ListBullet"/>
      </w:pPr>
      <w:r/>
      <w:r>
        <w:rPr>
          <w:b/>
        </w:rPr>
        <w:t>Inhibition de la réplication bactérienne</w:t>
      </w:r>
      <w:r>
        <w:t xml:space="preserve"> par altération des ADN polymérases métallo-dépendantes</w:t>
      </w:r>
    </w:p>
    <w:p>
      <w:pPr>
        <w:pStyle w:val="ListBullet"/>
      </w:pPr>
      <w:r/>
      <w:r>
        <w:rPr>
          <w:b/>
        </w:rPr>
        <w:t>Bactériostatique</w:t>
      </w:r>
      <w:r>
        <w:t xml:space="preserve"> principalement, bactéricide à forte concentration</w:t>
      </w:r>
    </w:p>
    <w:p>
      <w:pPr>
        <w:pStyle w:val="ListBullet"/>
      </w:pPr>
      <w:r>
        <w:t xml:space="preserve">Le groupement </w:t>
      </w:r>
      <w:r>
        <w:rPr>
          <w:b/>
        </w:rPr>
        <w:t>nitro (-NO2)</w:t>
      </w:r>
      <w:r>
        <w:t xml:space="preserve"> en position 5 potentialise l'activité par contribution au stress oxydatif intrabactérien (réduction nitro-réductase bactérienne en dérivés toxiques)</w:t>
      </w:r>
    </w:p>
    <w:p>
      <w:pPr>
        <w:pStyle w:val="ListBullet"/>
      </w:pPr>
      <w:r>
        <w:t xml:space="preserve">Spectre : </w:t>
      </w:r>
      <w:r>
        <w:rPr>
          <w:b/>
        </w:rPr>
        <w:t>Gram négatif</w:t>
      </w:r>
      <w:r>
        <w:t xml:space="preserve"> (E. coli, Klebsiella pneumoniae, Proteus mirabilis, Enterobacter cloacae, Serratia marcescens, Citrobacter freundii), </w:t>
      </w:r>
      <w:r>
        <w:rPr>
          <w:b/>
        </w:rPr>
        <w:t>Gram positif</w:t>
      </w:r>
      <w:r>
        <w:t xml:space="preserve"> (Enterococcus faecalis, Staphylococcus saprophyticus, Streptococcus agalactiae), </w:t>
      </w:r>
      <w:r>
        <w:rPr>
          <w:b/>
        </w:rPr>
        <w:t>levures</w:t>
      </w:r>
      <w:r>
        <w:t xml:space="preserve"> (Candida albicans). Résistance rare, non croisée avec les antibiotiques systémiques.</w:t>
      </w:r>
    </w:p>
    <w:p>
      <w:pPr>
        <w:pStyle w:val="ListBullet"/>
      </w:pPr>
      <w:r>
        <w:t>Pharmacocinétique : biodisponibilité orale ~50 %, pic de concentration urinaire à 2h, concentrations urinaires 50 à 200 fois supérieures aux CMI, demi-vie 4-6h (3 prises par jour), élimination rénale à 80 % sous forme inchangée active, 20 % métabolisme hépatique (glucuro-conjugaison).</w:t>
      </w:r>
    </w:p>
    <w:p>
      <w:r/>
      <w:r>
        <w:rPr>
          <w:b/>
        </w:rPr>
        <w:t>Profil Pharmacologique :</w:t>
      </w:r>
      <w:r/>
    </w:p>
    <w:p>
      <w:pPr>
        <w:pStyle w:val="ListBullet"/>
      </w:pPr>
      <w:r/>
      <w:r>
        <w:rPr>
          <w:b/>
        </w:rPr>
        <w:t>Indications</w:t>
      </w:r>
      <w:r>
        <w:t xml:space="preserve"> :</w:t>
      </w:r>
    </w:p>
    <w:p>
      <w:pPr>
        <w:pStyle w:val="ListBullet"/>
      </w:pPr>
      <w:r/>
      <w:r>
        <w:rPr>
          <w:b/>
        </w:rPr>
        <w:t>Cystite aiguë simple</w:t>
      </w:r>
      <w:r>
        <w:t xml:space="preserve"> de la femme adulte non enceinte, à germes sensibles</w:t>
      </w:r>
    </w:p>
    <w:p>
      <w:pPr>
        <w:pStyle w:val="ListBullet"/>
      </w:pPr>
      <w:r/>
      <w:r>
        <w:rPr>
          <w:b/>
        </w:rPr>
        <w:t>Pyélite</w:t>
      </w:r>
      <w:r>
        <w:t xml:space="preserve"> (infection urinaire haute sans obstruction)</w:t>
      </w:r>
    </w:p>
    <w:p>
      <w:pPr>
        <w:pStyle w:val="ListBullet"/>
      </w:pPr>
      <w:r/>
      <w:r>
        <w:rPr>
          <w:b/>
        </w:rPr>
        <w:t>Urétrite</w:t>
      </w:r>
      <w:r>
        <w:t xml:space="preserve"> (en complément d'un traitement étiologique)</w:t>
      </w:r>
    </w:p>
    <w:p>
      <w:pPr>
        <w:pStyle w:val="ListBullet"/>
      </w:pPr>
      <w:r/>
      <w:r>
        <w:rPr>
          <w:b/>
        </w:rPr>
        <w:t>Prophylaxie des infections urinaires récidivantes</w:t>
      </w:r>
      <w:r>
        <w:t xml:space="preserve"> (à discuter en seconde intention, durée maximale stricte)</w:t>
      </w:r>
    </w:p>
    <w:p>
      <w:pPr>
        <w:pStyle w:val="ListBullet"/>
      </w:pPr>
      <w:r>
        <w:t>En deuxième intention après fosfomycine (monodose) et nitrofurantoïne (5 jours) selon recommandations EAU 2023 et HAS 2020</w:t>
      </w:r>
    </w:p>
    <w:p>
      <w:pPr>
        <w:pStyle w:val="ListBullet"/>
      </w:pPr>
      <w:r/>
      <w:r>
        <w:rPr>
          <w:b/>
        </w:rPr>
        <w:t>Contre-indications</w:t>
      </w:r>
      <w:r>
        <w:t xml:space="preserve"> :</w:t>
      </w:r>
    </w:p>
    <w:p>
      <w:pPr>
        <w:pStyle w:val="ListBullet"/>
      </w:pPr>
      <w:r/>
      <w:r>
        <w:rPr>
          <w:b/>
        </w:rPr>
        <w:t>Hypersensibilité</w:t>
      </w:r>
      <w:r>
        <w:t xml:space="preserve"> à la nitroxoline ou aux hydroxyquinoléines</w:t>
      </w:r>
    </w:p>
    <w:p>
      <w:pPr>
        <w:pStyle w:val="ListBullet"/>
      </w:pPr>
      <w:r/>
      <w:r>
        <w:rPr>
          <w:b/>
        </w:rPr>
        <w:t>Insuffisance rénale sévère</w:t>
      </w:r>
      <w:r>
        <w:t xml:space="preserve"> (ClCr &lt; 30 mL/min) — concentration urinaire insuffisante, inefficacité</w:t>
      </w:r>
    </w:p>
    <w:p>
      <w:pPr>
        <w:pStyle w:val="ListBullet"/>
      </w:pPr>
      <w:r/>
      <w:r>
        <w:rPr>
          <w:b/>
        </w:rPr>
        <w:t>Insuffisance hépatique sévère</w:t>
      </w:r>
      <w:r>
        <w:t xml:space="preserve"> — accumulation, hépatotoxicité</w:t>
      </w:r>
    </w:p>
    <w:p>
      <w:pPr>
        <w:pStyle w:val="ListBullet"/>
      </w:pPr>
      <w:r/>
      <w:r>
        <w:rPr>
          <w:b/>
        </w:rPr>
        <w:t>Femme enceinte</w:t>
      </w:r>
      <w:r>
        <w:t xml:space="preserve"> (1er, 2e, 3e trimestre) — risque théorique de neuropathies fœtales, manipulations thyroïdiennes suspectées</w:t>
      </w:r>
    </w:p>
    <w:p>
      <w:pPr>
        <w:pStyle w:val="ListBullet"/>
      </w:pPr>
      <w:r/>
      <w:r>
        <w:rPr>
          <w:b/>
        </w:rPr>
        <w:t>Femme allaitante</w:t>
      </w:r>
      <w:r>
        <w:t xml:space="preserve"> — passage dans le lait, risque pour le nourrisson</w:t>
      </w:r>
    </w:p>
    <w:p>
      <w:pPr>
        <w:pStyle w:val="ListBullet"/>
      </w:pPr>
      <w:r/>
      <w:r>
        <w:rPr>
          <w:b/>
        </w:rPr>
        <w:t>Enfant &lt; 6 ans</w:t>
      </w:r>
      <w:r>
        <w:t xml:space="preserve"> — données pédiatriques limitées</w:t>
      </w:r>
    </w:p>
    <w:p>
      <w:pPr>
        <w:pStyle w:val="ListBullet"/>
      </w:pPr>
      <w:r/>
      <w:r>
        <w:rPr>
          <w:b/>
        </w:rPr>
        <w:t>Déficit en G6PD</w:t>
      </w:r>
      <w:r>
        <w:t xml:space="preserve"> — prudence (risque théorique d'hémolyse, à confirmer)</w:t>
      </w:r>
    </w:p>
    <w:p>
      <w:pPr>
        <w:pStyle w:val="ListBullet"/>
      </w:pPr>
      <w:r/>
      <w:r>
        <w:rPr>
          <w:b/>
        </w:rPr>
        <w:t>Neuropathies préexistantes</w:t>
      </w:r>
      <w:r>
        <w:t xml:space="preserve"> (diabète, alcool, carence B12) — majoration du risque neurotoxique</w:t>
      </w:r>
    </w:p>
    <w:p>
      <w:pPr>
        <w:pStyle w:val="ListBullet"/>
      </w:pPr>
      <w:r/>
      <w:r>
        <w:rPr>
          <w:b/>
        </w:rPr>
        <w:t>Antécédents de neuropathie optique</w:t>
      </w:r>
      <w:r>
        <w:t xml:space="preserve"> ou rétinienne</w:t>
      </w:r>
    </w:p>
    <w:p>
      <w:pPr>
        <w:pStyle w:val="ListBullet"/>
      </w:pPr>
      <w:r/>
      <w:r>
        <w:rPr>
          <w:b/>
        </w:rPr>
        <w:t>Traitement prolongé prévisible</w:t>
      </w:r>
      <w:r>
        <w:t xml:space="preserve"> (&gt; 14 jours) — CI relative stricte</w:t>
      </w:r>
    </w:p>
    <w:p>
      <w:pPr>
        <w:pStyle w:val="ListBullet"/>
      </w:pPr>
      <w:r/>
      <w:r>
        <w:rPr>
          <w:b/>
        </w:rPr>
        <w:t>Effets Indésirables</w:t>
      </w:r>
      <w:r>
        <w:t xml:space="preserve"> :</w:t>
      </w:r>
    </w:p>
    <w:p>
      <w:pPr>
        <w:pStyle w:val="ListBullet"/>
      </w:pPr>
      <w:r/>
      <w:r>
        <w:rPr>
          <w:b/>
        </w:rPr>
        <w:t>Fréquents (1-10 %)</w:t>
      </w:r>
      <w:r>
        <w:t xml:space="preserve"> : nausées, vomissements, douleurs abdominales, diarrhée, dyspepsie, céphalées, vertiges</w:t>
      </w:r>
    </w:p>
    <w:p>
      <w:pPr>
        <w:pStyle w:val="ListBullet"/>
      </w:pPr>
      <w:r/>
      <w:r>
        <w:rPr>
          <w:b/>
        </w:rPr>
        <w:t>Peu fréquents (0,1-1 %)</w:t>
      </w:r>
      <w:r>
        <w:t xml:space="preserve"> : réactions allergiques (rash, prurit, urticaire), coloration jaune des urines (sans gravité — caractéristique de la molécule), élévation transitoire des transaminases</w:t>
      </w:r>
    </w:p>
    <w:p>
      <w:pPr>
        <w:pStyle w:val="ListBullet"/>
      </w:pPr>
      <w:r/>
      <w:r>
        <w:rPr>
          <w:b/>
        </w:rPr>
        <w:t>Rares mais graves (en traitement prolongé &gt; 14 jours)</w:t>
      </w:r>
      <w:r>
        <w:t xml:space="preserve"> :</w:t>
      </w:r>
    </w:p>
    <w:p>
      <w:pPr>
        <w:pStyle w:val="ListBullet"/>
      </w:pPr>
      <w:r/>
      <w:r>
        <w:rPr>
          <w:b/>
        </w:rPr>
        <w:t>Neuropathie périphérique</w:t>
      </w:r>
      <w:r>
        <w:t xml:space="preserve"> sensitive (paresthésies, hypoesthésie, douleurs neuropathiques en « décharge électrique ») — </w:t>
      </w:r>
      <w:r>
        <w:rPr>
          <w:b/>
        </w:rPr>
        <w:t>dose-dépendante</w:t>
      </w:r>
      <w:r>
        <w:t>, régressive à l'arrêt mais pouvant laisser des séquelles</w:t>
      </w:r>
    </w:p>
    <w:p>
      <w:pPr>
        <w:pStyle w:val="ListBullet"/>
      </w:pPr>
      <w:r/>
      <w:r>
        <w:rPr>
          <w:b/>
        </w:rPr>
        <w:t>Neuropathie optique</w:t>
      </w:r>
      <w:r>
        <w:t xml:space="preserve"> (baisse d'acuité visuelle, scotome, dyschromatopsie) — potentiellement irréversible</w:t>
      </w:r>
    </w:p>
    <w:p>
      <w:pPr>
        <w:pStyle w:val="ListBullet"/>
      </w:pPr>
      <w:r/>
      <w:r>
        <w:rPr>
          <w:b/>
        </w:rPr>
        <w:t>Neuropathie centrale</w:t>
      </w:r>
      <w:r>
        <w:t xml:space="preserve"> (confusion, troubles de la mémoire) — rare</w:t>
      </w:r>
    </w:p>
    <w:p>
      <w:pPr>
        <w:pStyle w:val="ListBullet"/>
      </w:pPr>
      <w:r/>
      <w:r>
        <w:rPr>
          <w:b/>
        </w:rPr>
        <w:t>Très rares</w:t>
      </w:r>
      <w:r>
        <w:t xml:space="preserve"> : hépatite cytolytique, anémie hémolytique (déficit G6PD), thrombopénie, leucopénie</w:t>
      </w:r>
    </w:p>
    <w:p>
      <w:pPr>
        <w:pStyle w:val="ListBullet"/>
      </w:pPr>
      <w:r/>
      <w:r>
        <w:rPr>
          <w:b/>
        </w:rPr>
        <w:t>Toxicité chronique (hydroxyquinoléines)</w:t>
      </w:r>
      <w:r>
        <w:t xml:space="preserve"> : le risque principal est la </w:t>
      </w:r>
      <w:r>
        <w:rPr>
          <w:b/>
        </w:rPr>
        <w:t>neurotoxicité cumulée</w:t>
      </w:r>
      <w:r>
        <w:t xml:space="preserve"> à type de syndrome de SMON (subacute myelo-optic neuropathy) — historiquement observé avec le clioquinol (iodoquinol) au Japon dans les années 1960-1970, ayant conduit au retrait de ces molécules. La nitroxoline, en raison de sa substitution nitro en position 5, présente un risque moindre mais non nul — d'où la durée maximale stricte de 14 jours.</w:t>
      </w:r>
    </w:p>
    <w:p>
      <w:r/>
      <w:r>
        <w:rPr>
          <w:b/>
        </w:rPr>
        <w:t>Prévention et Gestion des Effets Indésirables :</w:t>
      </w:r>
      <w:r/>
    </w:p>
    <w:p>
      <w:pPr>
        <w:pStyle w:val="ListBullet"/>
      </w:pPr>
      <w:r/>
      <w:r>
        <w:rPr>
          <w:b/>
        </w:rPr>
        <w:t>Mesures Préventives</w:t>
      </w:r>
      <w:r>
        <w:t xml:space="preserve"> :</w:t>
      </w:r>
    </w:p>
    <w:p>
      <w:pPr>
        <w:pStyle w:val="ListBullet"/>
      </w:pPr>
      <w:r/>
      <w:r>
        <w:rPr>
          <w:b/>
        </w:rPr>
        <w:t>Durée maximale stricte de 14 jours</w:t>
      </w:r>
      <w:r>
        <w:t xml:space="preserve"> — ne JAMAIS dépasser</w:t>
      </w:r>
    </w:p>
    <w:p>
      <w:pPr>
        <w:pStyle w:val="ListBullet"/>
      </w:pPr>
      <w:r/>
      <w:r>
        <w:rPr>
          <w:b/>
        </w:rPr>
        <w:t>Ne pas répéter les cures</w:t>
      </w:r>
      <w:r>
        <w:t xml:space="preserve"> à intervalles rapprochés (cumul toxique) — minimum 1 mois entre 2 cures</w:t>
      </w:r>
    </w:p>
    <w:p>
      <w:pPr>
        <w:pStyle w:val="ListBullet"/>
      </w:pPr>
      <w:r/>
      <w:r>
        <w:rPr>
          <w:b/>
        </w:rPr>
        <w:t>Bilan néphrologique</w:t>
      </w:r>
      <w:r>
        <w:t xml:space="preserve"> pré-thérapeutique (créatinine, clairance) — ne pas utiliser si ClCr &lt; 30 mL/min</w:t>
      </w:r>
    </w:p>
    <w:p>
      <w:pPr>
        <w:pStyle w:val="ListBullet"/>
      </w:pPr>
      <w:r/>
      <w:r>
        <w:rPr>
          <w:b/>
        </w:rPr>
        <w:t>Bilan hépatique</w:t>
      </w:r>
      <w:r>
        <w:t xml:space="preserve"> pré-thérapeutique (ALAT, ASAT, bilirubine)</w:t>
      </w:r>
    </w:p>
    <w:p>
      <w:pPr>
        <w:pStyle w:val="ListBullet"/>
      </w:pPr>
      <w:r/>
      <w:r>
        <w:rPr>
          <w:b/>
        </w:rPr>
        <w:t>Examen neurologique</w:t>
      </w:r>
      <w:r>
        <w:t xml:space="preserve"> pré-thérapeutique (réflexes ostéotendineux, sensibilité) — dépistage d'une neuropathie préexistante</w:t>
      </w:r>
    </w:p>
    <w:p>
      <w:pPr>
        <w:pStyle w:val="ListBullet"/>
      </w:pPr>
      <w:r/>
      <w:r>
        <w:rPr>
          <w:b/>
        </w:rPr>
        <w:t>Examen ophtalmologique</w:t>
      </w:r>
      <w:r>
        <w:t xml:space="preserve"> pré-thérapeutique si antécédents visuels</w:t>
      </w:r>
    </w:p>
    <w:p>
      <w:pPr>
        <w:pStyle w:val="ListBullet"/>
      </w:pPr>
      <w:r/>
      <w:r>
        <w:rPr>
          <w:b/>
        </w:rPr>
        <w:t>Interrogatoire</w:t>
      </w:r>
      <w:r>
        <w:t xml:space="preserve"> sur les antécédents de neuropathie (diabète, alcool, carence B12, chimiothérapie neurotoxique)</w:t>
      </w:r>
    </w:p>
    <w:p>
      <w:pPr>
        <w:pStyle w:val="ListBullet"/>
      </w:pPr>
      <w:r/>
      <w:r>
        <w:rPr>
          <w:b/>
        </w:rPr>
        <w:t>Test de grossesse</w:t>
      </w:r>
      <w:r>
        <w:t xml:space="preserve"> chez la femme en âge de procréer</w:t>
      </w:r>
    </w:p>
    <w:p>
      <w:pPr>
        <w:pStyle w:val="ListBullet"/>
      </w:pPr>
      <w:r/>
      <w:r>
        <w:rPr>
          <w:b/>
        </w:rPr>
        <w:t>Information patient</w:t>
      </w:r>
      <w:r>
        <w:t xml:space="preserve"> sur les signes de neuropathie à surveiller (paresthésies, troubles visuels) — arrêt immédiat et consultation</w:t>
      </w:r>
    </w:p>
    <w:p>
      <w:pPr>
        <w:pStyle w:val="ListBullet"/>
      </w:pPr>
      <w:r/>
      <w:r>
        <w:rPr>
          <w:b/>
        </w:rPr>
        <w:t>Conduite à Tenir</w:t>
      </w:r>
      <w:r>
        <w:t xml:space="preserve"> :</w:t>
      </w:r>
    </w:p>
    <w:p>
      <w:pPr>
        <w:pStyle w:val="ListBullet"/>
      </w:pPr>
      <w:r/>
      <w:r>
        <w:rPr>
          <w:b/>
        </w:rPr>
        <w:t>Nausées, troubles digestifs</w:t>
      </w:r>
      <w:r>
        <w:t xml:space="preserve"> : prise pendant repas, fractionnement, antinauséeux si nécessaire, régression spontanée</w:t>
      </w:r>
    </w:p>
    <w:p>
      <w:pPr>
        <w:pStyle w:val="ListBullet"/>
      </w:pPr>
      <w:r/>
      <w:r>
        <w:rPr>
          <w:b/>
        </w:rPr>
        <w:t>Coloration jaune des urines</w:t>
      </w:r>
      <w:r>
        <w:t xml:space="preserve"> : bénigne, sans gravité — information patient pour éviter l'inquiétude</w:t>
      </w:r>
    </w:p>
    <w:p>
      <w:pPr>
        <w:pStyle w:val="ListBullet"/>
      </w:pPr>
      <w:r/>
      <w:r>
        <w:rPr>
          <w:b/>
        </w:rPr>
        <w:t>Apparition de paresthésies, hypoesthésie, troubles sensitifs</w:t>
      </w:r>
      <w:r>
        <w:t xml:space="preserve"> : </w:t>
      </w:r>
      <w:r>
        <w:rPr>
          <w:b/>
        </w:rPr>
        <w:t>ARRÊT IMMÉDIAT ET DEFINITIF</w:t>
      </w:r>
      <w:r>
        <w:t xml:space="preserve"> de la nitroxoline — consultation neurologique, EMG</w:t>
      </w:r>
    </w:p>
    <w:p>
      <w:pPr>
        <w:pStyle w:val="ListBullet"/>
      </w:pPr>
      <w:r/>
      <w:r>
        <w:rPr>
          <w:b/>
        </w:rPr>
        <w:t>Baisse d'acuité visuelle, scotome, troubles visuels</w:t>
      </w:r>
      <w:r>
        <w:t xml:space="preserve"> : </w:t>
      </w:r>
      <w:r>
        <w:rPr>
          <w:b/>
        </w:rPr>
        <w:t>ARRÊT IMMÉDIAT</w:t>
      </w:r>
      <w:r>
        <w:t xml:space="preserve"> — consultation ophtalmologique en urgence, champ visuel, OCT</w:t>
      </w:r>
    </w:p>
    <w:p>
      <w:pPr>
        <w:pStyle w:val="ListBullet"/>
      </w:pPr>
      <w:r/>
      <w:r>
        <w:rPr>
          <w:b/>
        </w:rPr>
        <w:t>Confusion, troubles cognitifs</w:t>
      </w:r>
      <w:r>
        <w:t xml:space="preserve"> : </w:t>
      </w:r>
      <w:r>
        <w:rPr>
          <w:b/>
        </w:rPr>
        <w:t>ARRÊT IMMÉDIAT</w:t>
      </w:r>
      <w:r>
        <w:t xml:space="preserve"> — consultation neurologique</w:t>
      </w:r>
    </w:p>
    <w:p>
      <w:pPr>
        <w:pStyle w:val="ListBullet"/>
      </w:pPr>
      <w:r/>
      <w:r>
        <w:rPr>
          <w:b/>
        </w:rPr>
        <w:t>Élévation des transaminases</w:t>
      </w:r>
      <w:r>
        <w:t xml:space="preserve"> (&gt; 3 × LSN) : arrêt, surveillance</w:t>
      </w:r>
    </w:p>
    <w:p>
      <w:pPr>
        <w:pStyle w:val="ListBullet"/>
      </w:pPr>
      <w:r/>
      <w:r>
        <w:rPr>
          <w:b/>
        </w:rPr>
        <w:t>Réaction allergique</w:t>
      </w:r>
      <w:r>
        <w:t xml:space="preserve"> : arrêt, traitement antihistaminique / corticothérapie si nécessaire</w:t>
      </w:r>
    </w:p>
    <w:p>
      <w:pPr>
        <w:pStyle w:val="ListBullet"/>
      </w:pPr>
      <w:r/>
      <w:r>
        <w:rPr>
          <w:b/>
        </w:rPr>
        <w:t>Surdosage aigu</w:t>
      </w:r>
      <w:r>
        <w:t xml:space="preserve"> : symptômes digestifs (nausées, vomissements), neurologiques (confusion, vertiges) — arrêt, lavage gastrique si ingestion récente, charbon activé, surveillance</w:t>
      </w:r>
    </w:p>
    <w:p>
      <w:pPr>
        <w:pStyle w:val="ListBullet"/>
      </w:pPr>
      <w:r/>
      <w:r>
        <w:rPr>
          <w:b/>
        </w:rPr>
        <w:t>En cas de nécessité de traitement prolongé</w:t>
      </w:r>
      <w:r>
        <w:t xml:space="preserve"> (prophylaxie des infections urinaires récidivantes) : discuter en milieu néphrologique/urologique spécialisé, surveillance neurologique et ophtalmologique mensuelle, alternative (cotrimoxazole dose faible, fosfomycine mensuelle).</w:t>
      </w:r>
    </w:p>
    <w:p>
      <w:r/>
      <w:r>
        <w:rPr>
          <w:b/>
        </w:rPr>
        <w:t>Interactions Importantes :</w:t>
      </w:r>
      <w:r/>
    </w:p>
    <w:p>
      <w:pPr>
        <w:pStyle w:val="ListBullet"/>
      </w:pPr>
      <w:r/>
      <w:r>
        <w:rPr>
          <w:b/>
        </w:rPr>
        <w:t>+ Hydroxyquinoléines</w:t>
      </w:r>
      <w:r>
        <w:t xml:space="preserve"> (iodoquinol, clioquinol — retirés du marché en Algérie) : association contre-indiquée (cumul neurotoxique)</w:t>
      </w:r>
    </w:p>
    <w:p>
      <w:pPr>
        <w:pStyle w:val="ListBullet"/>
      </w:pPr>
      <w:r/>
      <w:r>
        <w:rPr>
          <w:b/>
        </w:rPr>
        <w:t>+ Autres médicaments neurotoxiques</w:t>
      </w:r>
      <w:r>
        <w:t xml:space="preserve"> (isoniazide, vincristine, cisplatine, taxanes, métronidazole au long cours) : potentialisation de la neurotoxicité — éviter l'association</w:t>
      </w:r>
    </w:p>
    <w:p>
      <w:pPr>
        <w:pStyle w:val="ListBullet"/>
      </w:pPr>
      <w:r/>
      <w:r>
        <w:rPr>
          <w:b/>
        </w:rPr>
        <w:t>+ Sels métalliques</w:t>
      </w:r>
      <w:r>
        <w:t xml:space="preserve"> (fer, zinc, calcium, magnésium, aluminium) : </w:t>
      </w:r>
      <w:r>
        <w:rPr>
          <w:b/>
        </w:rPr>
        <w:t>chélation dans le tube digestif</w:t>
      </w:r>
      <w:r>
        <w:t xml:space="preserve"> → diminution de l'absorption de la nitroxoline (et réciproquement) — espacer les prises de 2-3 h (en particulier avec les suppléments martiaux, les antiacides, les pansements gastriques, les laitages)</w:t>
      </w:r>
    </w:p>
    <w:p>
      <w:pPr>
        <w:pStyle w:val="ListBullet"/>
      </w:pPr>
      <w:r/>
      <w:r>
        <w:rPr>
          <w:b/>
        </w:rPr>
        <w:t>+ Anticoagulants oraux</w:t>
      </w:r>
      <w:r>
        <w:t xml:space="preserve"> (warfarine, acénocoumarol) : potentialisation du saignement (mécanisme mal élucidé) — surveiller INR</w:t>
      </w:r>
    </w:p>
    <w:p>
      <w:pPr>
        <w:pStyle w:val="ListBullet"/>
      </w:pPr>
      <w:r/>
      <w:r>
        <w:rPr>
          <w:b/>
        </w:rPr>
        <w:t>+ Phénytoïne</w:t>
      </w:r>
      <w:r>
        <w:t xml:space="preserve"> : augmentation possible des concentrations de phénytoïne (inhibition métabolique) — surveillance clinique et dosage</w:t>
      </w:r>
    </w:p>
    <w:p>
      <w:pPr>
        <w:pStyle w:val="ListBullet"/>
      </w:pPr>
      <w:r/>
      <w:r>
        <w:rPr>
          <w:b/>
        </w:rPr>
        <w:t>+ Alcool</w:t>
      </w:r>
      <w:r>
        <w:t xml:space="preserve"> : potentialisation des effets digestifs et neurologiques — éviter pendant le traitement</w:t>
      </w:r>
    </w:p>
    <w:p>
      <w:pPr>
        <w:pStyle w:val="ListBullet"/>
      </w:pPr>
      <w:r/>
      <w:r>
        <w:rPr>
          <w:b/>
        </w:rPr>
        <w:t>+ Vaccin typhoïdique oral</w:t>
      </w:r>
      <w:r>
        <w:t xml:space="preserve"> (Ty21a) : activité bactéricide de la nitroxoline sur la souche vaccinale — espacer de 3 jours</w:t>
      </w:r>
    </w:p>
    <w:p>
      <w:pPr>
        <w:pStyle w:val="ListBullet"/>
      </w:pPr>
      <w:r/>
      <w:r>
        <w:rPr>
          <w:b/>
        </w:rPr>
        <w:t>+ EGVM (épreuve d'effort)</w:t>
      </w:r>
      <w:r>
        <w:t xml:space="preserve"> : la coloration des urines peut interférer avec certains dosages colorimétriques biologiques — prévenir le laboratoire</w:t>
      </w:r>
    </w:p>
    <w:p>
      <w:r/>
      <w:r>
        <w:rPr>
          <w:b/>
        </w:rPr>
        <w:t>Grossesse et Allaitement :</w:t>
      </w:r>
      <w:r/>
    </w:p>
    <w:p>
      <w:pPr>
        <w:pStyle w:val="ListBullet"/>
      </w:pPr>
      <w:r/>
      <w:r>
        <w:rPr>
          <w:b/>
        </w:rPr>
        <w:t>Grossesse</w:t>
      </w:r>
      <w:r>
        <w:t xml:space="preserve"> : la nitroxoline est </w:t>
      </w:r>
      <w:r>
        <w:rPr>
          <w:b/>
        </w:rPr>
        <w:t>contre-indiquée pendant toute la grossesse</w:t>
      </w:r>
      <w:r>
        <w:t xml:space="preserve"> (1er, 2e, 3e trimestre). Les données animales suggèrent une toxicité fœtale (neuropathies, manipulations thyroïdiennes suspectées — goitre fœtal, hypothyroïdie néonatale). Le CRAT ne dispose pas de données humaines suffisantes mais recommande l'évitement strict. Pour la cystite de la femme enceinte, privilégier : </w:t>
      </w:r>
      <w:r>
        <w:rPr>
          <w:b/>
        </w:rPr>
        <w:t>fosfomycine monodose</w:t>
      </w:r>
      <w:r>
        <w:t xml:space="preserve"> (référence 1re intention), </w:t>
      </w:r>
      <w:r>
        <w:rPr>
          <w:b/>
        </w:rPr>
        <w:t>céfuroxime axétil 7 jours</w:t>
      </w:r>
      <w:r>
        <w:t xml:space="preserve">, </w:t>
      </w:r>
      <w:r>
        <w:rPr>
          <w:b/>
        </w:rPr>
        <w:t>amoxicilline + acide clavulanique 7 jours</w:t>
      </w:r>
      <w:r>
        <w:t xml:space="preserve"> (selon antibiogramme). Éviter nitrofurantoïne au 3e trimestre (anémie hémolytique néonatale), fluoroquinolones (arthrotoxicité fœtale), cotrimoxazole 1er trimestre (effet antifolique).</w:t>
      </w:r>
    </w:p>
    <w:p>
      <w:pPr>
        <w:pStyle w:val="ListBullet"/>
      </w:pPr>
      <w:r/>
      <w:r>
        <w:rPr>
          <w:b/>
        </w:rPr>
        <w:t>Allaitement</w:t>
      </w:r>
      <w:r>
        <w:t xml:space="preserve"> : la nitroxoline </w:t>
      </w:r>
      <w:r>
        <w:rPr>
          <w:b/>
        </w:rPr>
        <w:t>passe dans le lait maternel</w:t>
      </w:r>
      <w:r>
        <w:t xml:space="preserve"> (en quantité non documentée). Risque théorique pour le nourrisson (coloration des urines, possible neurotoxicité, modification de la flore digestive). Le CRAT recommande de </w:t>
      </w:r>
      <w:r>
        <w:rPr>
          <w:b/>
        </w:rPr>
        <w:t>l'éviter pendant l'allaitement</w:t>
      </w:r>
      <w:r>
        <w:t xml:space="preserve"> — si indispensable, surveillance de l'enfant (état neurologique, prise de poids, transit), ou arrêt temporaire de l'allaitement.</w:t>
      </w:r>
    </w:p>
    <w:p>
      <w:pPr>
        <w:pStyle w:val="ListBullet"/>
      </w:pPr>
      <w:r/>
      <w:r>
        <w:rPr>
          <w:b/>
        </w:rPr>
        <w:t>Précisions</w:t>
      </w:r>
      <w:r>
        <w:t xml:space="preserve"> : chez la femme en âge de procréer, test de grossesse pré-thérapeutique si doute, contraception efficace pendant le traitement (et 7 jours après).</w:t>
      </w:r>
    </w:p>
    <w:p>
      <w:r/>
      <w:r>
        <w:rPr>
          <w:b/>
        </w:rPr>
        <w:t>Posologie et Mode d'administration (Standard) :</w:t>
      </w:r>
      <w:r/>
    </w:p>
    <w:p>
      <w:pPr>
        <w:pStyle w:val="ListBullet"/>
      </w:pPr>
      <w:r/>
      <w:r>
        <w:rPr>
          <w:b/>
        </w:rPr>
        <w:t>Adulte</w:t>
      </w:r>
      <w:r>
        <w:t xml:space="preserve"> :</w:t>
      </w:r>
    </w:p>
    <w:p>
      <w:pPr>
        <w:pStyle w:val="ListBullet"/>
      </w:pPr>
      <w:r/>
      <w:r>
        <w:rPr>
          <w:b/>
        </w:rPr>
        <w:t>Forme 100 mg</w:t>
      </w:r>
      <w:r>
        <w:t xml:space="preserve"> : 100 mg (1 comprimé) </w:t>
      </w:r>
      <w:r>
        <w:rPr>
          <w:b/>
        </w:rPr>
        <w:t>3 fois par jour</w:t>
      </w:r>
      <w:r>
        <w:t xml:space="preserve"> (soit 300 mg/jour en 3 prises) pendant 7 à 14 jours maximum. Posologie usuelle : 1 cp matin, midi et soir, pendant les repas.</w:t>
      </w:r>
    </w:p>
    <w:p>
      <w:pPr>
        <w:pStyle w:val="ListBullet"/>
      </w:pPr>
      <w:r/>
      <w:r>
        <w:rPr>
          <w:b/>
        </w:rPr>
        <w:t>Forme 50 mg</w:t>
      </w:r>
      <w:r>
        <w:t xml:space="preserve"> : 100 mg (2 comprimés) </w:t>
      </w:r>
      <w:r>
        <w:rPr>
          <w:b/>
        </w:rPr>
        <w:t>3 fois par jour</w:t>
      </w:r>
      <w:r>
        <w:t xml:space="preserve"> (soit 300 mg/jour en 3 prises) pendant 7 à 14 jours maximum — simplification moins pratique (2 cp × 3/j).</w:t>
      </w:r>
    </w:p>
    <w:p>
      <w:pPr>
        <w:pStyle w:val="ListBullet"/>
      </w:pPr>
      <w:r/>
      <w:r>
        <w:rPr>
          <w:b/>
        </w:rPr>
        <w:t>Sujet âgé</w:t>
      </w:r>
      <w:r>
        <w:t xml:space="preserve"> : pas d'adaptation posologique systématique, mais vérifier la fonction rénale (ClCr) et hépatique. Surveillance neurologique accrue.</w:t>
      </w:r>
    </w:p>
    <w:p>
      <w:pPr>
        <w:pStyle w:val="ListBullet"/>
      </w:pPr>
      <w:r/>
      <w:r>
        <w:rPr>
          <w:b/>
        </w:rPr>
        <w:t>Enfant (&lt; 18 ans)</w:t>
      </w:r>
      <w:r>
        <w:t xml:space="preserve"> : contre-indication chez l'enfant &lt; 6 ans ; utilisation exceptionnelle chez l'enfant &gt; 6 ans en milieu pédiatrique spécialisé — posologie 10-30 mg/kg/jour en 3 prises.</w:t>
      </w:r>
    </w:p>
    <w:p>
      <w:pPr>
        <w:pStyle w:val="ListBullet"/>
      </w:pPr>
      <w:r/>
      <w:r>
        <w:rPr>
          <w:b/>
        </w:rPr>
        <w:t>Insuffisant rénal modéré (ClCr 30-80 mL/min)</w:t>
      </w:r>
      <w:r>
        <w:t xml:space="preserve"> : prudence, surveillance clinique et biologique</w:t>
      </w:r>
    </w:p>
    <w:p>
      <w:pPr>
        <w:pStyle w:val="ListBullet"/>
      </w:pPr>
      <w:r/>
      <w:r>
        <w:rPr>
          <w:b/>
        </w:rPr>
        <w:t>Insuffisant rénal sévère (ClCr &lt; 30 mL/min)</w:t>
      </w:r>
      <w:r>
        <w:t xml:space="preserve"> : contre-indication absolue (concentration urinaire insuffisante)</w:t>
      </w:r>
    </w:p>
    <w:p>
      <w:pPr>
        <w:pStyle w:val="ListBullet"/>
      </w:pPr>
      <w:r/>
      <w:r>
        <w:rPr>
          <w:b/>
        </w:rPr>
        <w:t>Insuffisant hépatique légère à modérée</w:t>
      </w:r>
      <w:r>
        <w:t xml:space="preserve"> : prudence, surveillance ALAT/ASAT</w:t>
      </w:r>
    </w:p>
    <w:p>
      <w:pPr>
        <w:pStyle w:val="ListBullet"/>
      </w:pPr>
      <w:r/>
      <w:r>
        <w:rPr>
          <w:b/>
        </w:rPr>
        <w:t>Insuffisant hépatique sévère</w:t>
      </w:r>
      <w:r>
        <w:t xml:space="preserve"> : contre-indication absolue</w:t>
      </w:r>
    </w:p>
    <w:p>
      <w:pPr>
        <w:pStyle w:val="ListBullet"/>
      </w:pPr>
      <w:r/>
      <w:r>
        <w:rPr>
          <w:b/>
        </w:rPr>
        <w:t>Durée</w:t>
      </w:r>
      <w:r>
        <w:t xml:space="preserve"> : </w:t>
      </w:r>
      <w:r>
        <w:rPr>
          <w:b/>
        </w:rPr>
        <w:t>7 à 14 jours MAXIMUM</w:t>
      </w:r>
      <w:r>
        <w:t xml:space="preserve"> — ne jamais dépasser 14 jours en raison du risque de neurotoxicité (neuropathies périphériques et optiques). En cas de nécessité de traitement prolongé (prophylaxie des infections urinaires récidivantes), discuter en milieu spécialisé, surveillance neurologique et ophtalmologique mensuelle.</w:t>
      </w:r>
    </w:p>
    <w:p>
      <w:pPr>
        <w:pStyle w:val="ListBullet"/>
      </w:pPr>
      <w:r/>
      <w:r>
        <w:rPr>
          <w:b/>
        </w:rPr>
        <w:t>Moment de la prise</w:t>
      </w:r>
      <w:r>
        <w:t xml:space="preserve"> : pendant les repas (diminue les nausées), répartition homogène matin-midi-soir à 8h d'intervalle.</w:t>
      </w:r>
    </w:p>
    <w:p>
      <w:r/>
      <w:r>
        <w:rPr>
          <w:b/>
        </w:rPr>
        <w:t>Arbitrage et Bénéfices des Formes Galéniques :</w:t>
      </w:r>
      <w:r/>
    </w:p>
    <w:p>
      <w:pPr>
        <w:pStyle w:val="ListBullet"/>
      </w:pPr>
      <w:r/>
      <w:r>
        <w:rPr>
          <w:b/>
        </w:rPr>
        <w:t>Comprimé 100 mg</w:t>
      </w:r>
      <w:r>
        <w:t xml:space="preserve"> (forme standard) : 1 cp × 3/j, simplification par rapport à 50 mg. Toutes les marques actives disponibles en 100 mg (NAXOLIN, NABYOL FORTE, NAXIBIOL, NEOBIOL, NITROXAL, NOLIB).</w:t>
      </w:r>
    </w:p>
    <w:p>
      <w:pPr>
        <w:pStyle w:val="ListBullet"/>
      </w:pPr>
      <w:r/>
      <w:r>
        <w:rPr>
          <w:b/>
        </w:rPr>
        <w:t>Comprimé 50 mg</w:t>
      </w:r>
      <w:r>
        <w:t xml:space="preserve"> (NAXOLIN uniquement) : utile pour adaptation posologique (enfant, sujet âgé fragile), mais fractionnement plus contraignant (2 cp × 3/j).</w:t>
      </w:r>
    </w:p>
    <w:p>
      <w:pPr>
        <w:pStyle w:val="ListBullet"/>
      </w:pPr>
      <w:r/>
      <w:r>
        <w:rPr>
          <w:b/>
        </w:rPr>
        <w:t>Comprimé enrobé vs pelliculé</w:t>
      </w:r>
      <w:r>
        <w:t xml:space="preserve"> : équivalence pharmacocinétique, tolérance digestive comparable. Les comprimés enrobés (NABYOL FORTE, NAXIBIOL, NIBIOL retiré) sont à avaler entiers (ne pas écraser). Les comprimés pelliculés (NEOBIOL, NITROXAL, NOLIB) sont à avaler entiers également.</w:t>
      </w:r>
    </w:p>
    <w:p>
      <w:pPr>
        <w:pStyle w:val="ListBullet"/>
      </w:pPr>
      <w:r/>
      <w:r>
        <w:rPr>
          <w:b/>
        </w:rPr>
        <w:t>Forme sirop ou solution buvable</w:t>
      </w:r>
      <w:r>
        <w:t xml:space="preserve"> : non disponible en Algérie — limite l'usage pédiatrique.</w:t>
      </w:r>
    </w:p>
    <w:p>
      <w:pPr>
        <w:pStyle w:val="ListBullet"/>
      </w:pPr>
      <w:r/>
      <w:r>
        <w:rPr>
          <w:b/>
        </w:rPr>
        <w:t>Forme injectable</w:t>
      </w:r>
      <w:r>
        <w:t xml:space="preserve"> : non disponible — la nitroxoline est strictement orale.</w:t>
      </w:r>
    </w:p>
    <w:p>
      <w:pPr>
        <w:pStyle w:val="ListBullet"/>
      </w:pPr>
      <w:r/>
      <w:r>
        <w:rPr>
          <w:b/>
        </w:rPr>
        <w:t>Recommandation Algérie</w:t>
      </w:r>
      <w:r>
        <w:t xml:space="preserve"> : pour la cystite simple de la femme adulte non enceinte, la nitroxoline est une alternative de 2e intention après fosfomycine (monodose) et nitrofurantoïde (5 jours). Réserver à l'allergie aux β-lactamines et alternatives. Toujours vérifier la fonction rénale et hépatique, et la durée (max 14 jours). Préférer la forme 100 mg pour simplification posologique.</w:t>
      </w:r>
    </w:p>
    <w:p>
      <w:r/>
      <w:r>
        <w:rPr>
          <w:b/>
        </w:rPr>
        <w:t>Instructions et Conseils au Patient :</w:t>
      </w:r>
      <w:r/>
    </w:p>
    <w:p>
      <w:pPr>
        <w:pStyle w:val="ListBullet"/>
      </w:pPr>
      <w:r/>
      <w:r>
        <w:rPr>
          <w:b/>
        </w:rPr>
        <w:t>Communication au comptoir</w:t>
      </w:r>
      <w:r>
        <w:t xml:space="preserve"> :</w:t>
      </w:r>
    </w:p>
    <w:p>
      <w:pPr>
        <w:pStyle w:val="ListBullet"/>
      </w:pPr>
      <w:r>
        <w:t>« Ce médicament est prescrit pour traiter une infection urinaire (cystite). C'est un antiseptique urinaire, pas un antibiotique classique. »</w:t>
      </w:r>
    </w:p>
    <w:p>
      <w:pPr>
        <w:pStyle w:val="ListBullet"/>
      </w:pPr>
      <w:r>
        <w:t>« Prenez 1 comprimé matin, midi et soir, pendant les repas, pendant 7 à 14 jours, pas plus. »</w:t>
      </w:r>
    </w:p>
    <w:p>
      <w:pPr>
        <w:pStyle w:val="ListBullet"/>
      </w:pPr>
      <w:r>
        <w:t>« NE DÉPASSEZ JAMAIS 14 jours de traitement — si les symptômes persistent, retournez voir votre médecin. »</w:t>
      </w:r>
    </w:p>
    <w:p>
      <w:pPr>
        <w:pStyle w:val="ListBullet"/>
      </w:pPr>
      <w:r>
        <w:t>« Vos urines vont devenir JAUNES — c'est normal, c'est le médicament qui les colore. »</w:t>
      </w:r>
    </w:p>
    <w:p>
      <w:pPr>
        <w:pStyle w:val="ListBullet"/>
      </w:pPr>
      <w:r>
        <w:t>« Si vous avez des picotements, des fourmillements, des engourdissements dans les mains ou les pieds, ou si votre vue baisse : ARRÊTEZ IMMÉDIATEMENT le traitement et CONSULTEZ EN URGENCE votre médecin. »</w:t>
      </w:r>
    </w:p>
    <w:p>
      <w:pPr>
        <w:pStyle w:val="ListBullet"/>
      </w:pPr>
      <w:r>
        <w:t>« Si vous prenez du fer, du calcium, du magnésium, des antiacides (pansements gastriques), prenez-les à 2-3 heures d'intervalle de la nitroxoline. »</w:t>
      </w:r>
    </w:p>
    <w:p>
      <w:pPr>
        <w:pStyle w:val="ListBullet"/>
      </w:pPr>
      <w:r>
        <w:t>« Évitez l'alcool pendant le traitement. »</w:t>
      </w:r>
    </w:p>
    <w:p>
      <w:pPr>
        <w:pStyle w:val="ListBullet"/>
      </w:pPr>
      <w:r>
        <w:t>« Si vous êtes enceinte ou si vous allaitez, NE PRENEZ PAS ce médicament — prévenez votre médecin pour qu'il vous prescrive un autre traitement. »</w:t>
      </w:r>
    </w:p>
    <w:p>
      <w:pPr>
        <w:pStyle w:val="ListBullet"/>
      </w:pPr>
      <w:r>
        <w:t>« Buvez beaucoup d'eau (1,5 à 2 L par jour) pour bien « laver » la vessie. »</w:t>
      </w:r>
    </w:p>
    <w:p>
      <w:pPr>
        <w:pStyle w:val="ListBullet"/>
      </w:pPr>
      <w:r/>
      <w:r>
        <w:rPr>
          <w:b/>
        </w:rPr>
        <w:t>Mode d'utilisation pratique</w:t>
      </w:r>
      <w:r>
        <w:t xml:space="preserve"> : 1 comprimé à 8h, 1 à 14h, 1 à 20h (pendant les repas), pendant 7 à 14 jours maximum. En cas d'oubli &lt; 4h : prendre la dose. Si oubli &gt; 4h : sauter la dose et prendre la suivante à l'heure habituelle — ne jamais doubler. Conserver à température &lt; 25°C, à l'abri de l'humidité. Tenir hors de portée des enfants. Compléter la prescription jusqu'au bout, même si les symptômes disparaissent avant (sauf en cas d'effet indésirable nécessitant arrêt).</w:t>
      </w:r>
    </w:p>
    <w:p>
      <w:r/>
      <w:r>
        <w:rPr>
          <w:b/>
        </w:rPr>
        <w:t>Notes, Règles d'Or &amp; Pièges au Comptoir :</w:t>
      </w:r>
      <w:r/>
    </w:p>
    <w:p>
      <w:pPr>
        <w:pStyle w:val="ListBullet"/>
      </w:pPr>
      <w:r/>
      <w:r>
        <w:rPr>
          <w:b/>
        </w:rPr>
        <w:t>Piège classique n°1 — La durée dépassée</w:t>
      </w:r>
      <w:r>
        <w:t xml:space="preserve"> : patiente qui revient avec une 3e boîte de nitroxoline après 21 jours de traitement pour « cystite qui persiste » → risque majeur de neuropathie. </w:t>
      </w:r>
      <w:r>
        <w:rPr>
          <w:b/>
        </w:rPr>
        <w:t>Conduite</w:t>
      </w:r>
      <w:r>
        <w:t xml:space="preserve"> : refuser la dispensation, renvoyer vers le médecin pour bilan urologique (recherche d'une cause sous-jacente : lithiase, anomalie anatomique, germe résistant), ECBU avec antibiogramme, alternative thérapeutique (fosfomycine, nitrofurantoïde, antibiotique ciblé). </w:t>
      </w:r>
      <w:r>
        <w:rPr>
          <w:b/>
        </w:rPr>
        <w:t>Règle absolue</w:t>
      </w:r>
      <w:r>
        <w:t xml:space="preserve"> : 14 jours maximum.</w:t>
      </w:r>
    </w:p>
    <w:p>
      <w:pPr>
        <w:pStyle w:val="ListBullet"/>
      </w:pPr>
      <w:r/>
      <w:r>
        <w:rPr>
          <w:b/>
        </w:rPr>
        <w:t>Piège classique n°2 — La femme enceinte</w:t>
      </w:r>
      <w:r>
        <w:t xml:space="preserve"> : femme enceinte au 2e trimestre avec cystite, prescrite nitroxoline par erreur → CI absolue. </w:t>
      </w:r>
      <w:r>
        <w:rPr>
          <w:b/>
        </w:rPr>
        <w:t>Conduite</w:t>
      </w:r>
      <w:r>
        <w:t xml:space="preserve"> : refuser la dispensation, appeler le prescripteur pour rappel du statut CI grossesse, bascule vers fosfomycine monodose (référence grossesse selon CRAT).</w:t>
      </w:r>
    </w:p>
    <w:p>
      <w:pPr>
        <w:pStyle w:val="ListBullet"/>
      </w:pPr>
      <w:r/>
      <w:r>
        <w:rPr>
          <w:b/>
        </w:rPr>
        <w:t>Piège classique n°3 — La supplémentation martiale concomitante</w:t>
      </w:r>
      <w:r>
        <w:t xml:space="preserve"> : patiente sous sulfate de fer pour anémie, prescrite nitroxoline → chélation digestive, baisse d'absorption des deux molécules. </w:t>
      </w:r>
      <w:r>
        <w:rPr>
          <w:b/>
        </w:rPr>
        <w:t>Conduite</w:t>
      </w:r>
      <w:r>
        <w:t xml:space="preserve"> : espacer les prises de 2-3h (fer le matin à jeun, nitroxoline au cours des repas à distance), ou arrêter le fer pendant la durée courte du traitement (14 jours).</w:t>
      </w:r>
    </w:p>
    <w:p>
      <w:pPr>
        <w:pStyle w:val="ListBullet"/>
      </w:pPr>
      <w:r/>
      <w:r>
        <w:rPr>
          <w:b/>
        </w:rPr>
        <w:t>Piège classique n°4 — Le patient diabétique avec neuropathie débutante</w:t>
      </w:r>
      <w:r>
        <w:t xml:space="preserve"> : homme de 65 ans, diabète de type 2 avec neuropathie périphérique débutante (picotements aux pieds), prescrit nitroxoline pour cystite → potentialisation de la neurotoxicité. </w:t>
      </w:r>
      <w:r>
        <w:rPr>
          <w:b/>
        </w:rPr>
        <w:t>Conduite</w:t>
      </w:r>
      <w:r>
        <w:t xml:space="preserve"> : éviter la nitroxoline, privilégier fosfomycine monodose ou nitrofurantoïde 5 jours, surveillance neurologique accrue si malgré tout prescrite.</w:t>
      </w:r>
    </w:p>
    <w:p>
      <w:pPr>
        <w:pStyle w:val="ListBullet"/>
      </w:pPr>
      <w:r/>
      <w:r>
        <w:rPr>
          <w:b/>
        </w:rPr>
        <w:t>Piège classique n°5 — La couleur jaune des urines alarmante</w:t>
      </w:r>
      <w:r>
        <w:t xml:space="preserve"> : patiente revient en officine paniquée : « Mes urines sont jaune fluorescent, il y a quelque chose d'anormal ! » → information préalable à donner systématiquement : c'est bénin et caractéristique de la molécule.</w:t>
      </w:r>
    </w:p>
    <w:p>
      <w:pPr>
        <w:pStyle w:val="ListBullet"/>
      </w:pPr>
      <w:r/>
      <w:r>
        <w:rPr>
          <w:b/>
        </w:rPr>
        <w:t>Piège classique n°6 — La substitution NIBIOL retiré</w:t>
      </w:r>
      <w:r>
        <w:t xml:space="preserve"> : patient stable sous NIBIOL 100 mg depuis 10 ans (avant le retrait), vient en officine avec une ordonnance récente — NIBIOL indisponible. </w:t>
      </w:r>
      <w:r>
        <w:rPr>
          <w:b/>
        </w:rPr>
        <w:t>Conduite</w:t>
      </w:r>
      <w:r>
        <w:t xml:space="preserve"> : substitution par un générique équivalent (NABYOL FORTE, NAXIBIOL, NITROXAL — équivalence stricte), information du patient.</w:t>
      </w:r>
    </w:p>
    <w:p>
      <w:pPr>
        <w:pStyle w:val="ListBullet"/>
      </w:pPr>
      <w:r/>
      <w:r>
        <w:rPr>
          <w:b/>
        </w:rPr>
        <w:t>Règle de prise</w:t>
      </w:r>
      <w:r>
        <w:t xml:space="preserve"> : 3 prises par jour pendant les repas, à 8h d'intervalle, durée maximale 14 jours.</w:t>
      </w:r>
    </w:p>
    <w:p>
      <w:pPr>
        <w:pStyle w:val="ListBullet"/>
      </w:pPr>
      <w:r/>
      <w:r>
        <w:rPr>
          <w:b/>
        </w:rPr>
        <w:t>Préparation et Conservation</w:t>
      </w:r>
      <w:r>
        <w:t xml:space="preserve"> : comprimés à conserver à température &lt; 25°C, à l'abri de l'humidité et de la lumière. Durée de conservation 3 à 5 ans (voir DLC sur l'emballage).</w:t>
      </w:r>
    </w:p>
    <w:p>
      <w:pPr>
        <w:pStyle w:val="ListBullet"/>
      </w:pPr>
      <w:r/>
      <w:r>
        <w:rPr>
          <w:b/>
        </w:rPr>
        <w:t>Piège du surdosage / Substitution</w:t>
      </w:r>
      <w:r>
        <w:t xml:space="preserve"> : surdosage aigu (enfant, tentative de suicide) = troubles digestifs (vomissements), neurologiques (confusion, vertiges, convulsions rares) — arrêt, lavage gastrique si ingestion récente &lt; 1h, charbon activé, surveillance 24h en milieu hospitalier. La substitution NIBIOL → générique ne pose pas de problème pharmacocinétique (équivalence stricte).</w:t>
      </w:r>
    </w:p>
    <w:p>
      <w:pPr>
        <w:pStyle w:val="Heading3"/>
      </w:pPr>
      <w:r>
        <w:t>73.5. DCI : Bicarbonate de sodium (Seule) — Lithiase urinaire</w:t>
      </w:r>
    </w:p>
    <w:p>
      <w:r/>
      <w:r>
        <w:rPr>
          <w:b/>
        </w:rPr>
        <w:t>Liste des Catégories :</w:t>
      </w:r>
      <w:r>
        <w:t xml:space="preserve"> Lithiase urinaire - Alcalinisants urinaires</w:t>
      </w:r>
    </w:p>
    <w:p>
      <w:r>
        <w:t xml:space="preserve">Le </w:t>
      </w:r>
      <w:r>
        <w:rPr>
          <w:b/>
        </w:rPr>
        <w:t>bicarbonate de sodium (NaHCO3)</w:t>
      </w:r>
      <w:r>
        <w:t xml:space="preserve"> est un sel alcalinisant utilisé par voie </w:t>
      </w:r>
      <w:r>
        <w:rPr>
          <w:b/>
        </w:rPr>
        <w:t>injectable</w:t>
      </w:r>
      <w:r>
        <w:t xml:space="preserve"> en Algérie (formes orales non disponibles dans la nomenclature) dans quatre grands cadres : </w:t>
      </w:r>
      <w:r>
        <w:rPr>
          <w:b/>
        </w:rPr>
        <w:t>alcalinisation urinaire</w:t>
      </w:r>
      <w:r>
        <w:t xml:space="preserve"> (lithiase urique, hyperuricémie, intoxication par acides faibles), </w:t>
      </w:r>
      <w:r>
        <w:rPr>
          <w:b/>
        </w:rPr>
        <w:t>traitement de l'acidose métabolique</w:t>
      </w:r>
      <w:r>
        <w:t xml:space="preserve"> sévère (acidose lactique, cétoacidose diabétique, insuffisance rénale aiguë, intoxication au méthanol/éthylène glycol), </w:t>
      </w:r>
      <w:r>
        <w:rPr>
          <w:b/>
        </w:rPr>
        <w:t>alcalinisation sanguine d'urgence</w:t>
      </w:r>
      <w:r>
        <w:t xml:space="preserve"> en réanimation (arrêt cardiaque prolongé, hyperkaliémie menaçante), et </w:t>
      </w:r>
      <w:r>
        <w:rPr>
          <w:b/>
        </w:rPr>
        <w:t>lavage gastrique</w:t>
      </w:r>
      <w:r>
        <w:t xml:space="preserve"> en intoxication par acides (rare). Pour le périmètre de ce chapitre (lithiase urinaire), le bicarbonate de sodium est indiqué dans le </w:t>
      </w:r>
      <w:r>
        <w:rPr>
          <w:b/>
        </w:rPr>
        <w:t>traitement de la lithiase urique</w:t>
      </w:r>
      <w:r>
        <w:t xml:space="preserve"> et de l'</w:t>
      </w:r>
      <w:r>
        <w:rPr>
          <w:b/>
        </w:rPr>
        <w:t>hyperuricurie acide</w:t>
      </w:r>
      <w:r>
        <w:t xml:space="preserve"> : il augmente le pH urinaire au-dessus du pKa de l'acide urique (5,4), permettant la conversion de l'acide urique (forme HUr insoluble) en urate (Ur− soluble) — empêchant ainsi la cristallisation et favorisant la dissolution des lithiases existantes. Le pH urinaire cible est </w:t>
      </w:r>
      <w:r>
        <w:rPr>
          <w:b/>
        </w:rPr>
        <w:t>6,5 à 7,0</w:t>
      </w:r>
      <w:r>
        <w:t xml:space="preserve"> (NE PAS dépasser 7,5 — risque de lithiase phospho-calcique). Apport sodé important (1 mmol Na+ par mL de solution à 8,4 % — soit 84 mg NaHCO3/mL = 1 mmol Na+ + 1 mmol HCO3− par mL), ce qui impose une prudence particulière chez l'insuffisant cardiaque, l'hypertendu sévère, l'insuffisant rénal avec surcharge. La forme orale (comprimés 500 mg ou 1 g), pourtant inscrite au PPHO de l'OMS pour la lithiase urique, </w:t>
      </w:r>
      <w:r>
        <w:rPr>
          <w:b/>
        </w:rPr>
        <w:t>n'est pas disponible</w:t>
      </w:r>
      <w:r>
        <w:t xml:space="preserve"> dans la nomenclature algérienne — d'où l'importance de la forme injectable en hospitalisation, ou de la substitution par le citrate de potassium (Mac-k) en pharmacie hospitalière (non listé dans ce chapitre mais disponible en Algérie).</w:t>
      </w:r>
    </w:p>
    <w:p>
      <w:r/>
      <w:r>
        <w:rPr>
          <w:b/>
        </w:rPr>
        <w:t>Médicaments disponibles en Algérie (Marques, Laboratoires, Formes et Dosages) :</w:t>
      </w:r>
      <w:r/>
    </w:p>
    <w:p>
      <w:pPr>
        <w:pStyle w:val="ListBullet"/>
      </w:pPr>
      <w:r/>
      <w:r>
        <w:rPr>
          <w:b/>
        </w:rPr>
        <w:t>SODIUM BICARBONATE</w:t>
      </w:r>
      <w:r>
        <w:t xml:space="preserve"> (RENAUDIN) — </w:t>
      </w:r>
      <w:r>
        <w:rPr>
          <w:b/>
        </w:rPr>
        <w:t>0,084 g/mL (8,4 % molarité 1 mmol/mL)</w:t>
      </w:r>
      <w:r/>
    </w:p>
    <w:p>
      <w:pPr>
        <w:pStyle w:val="ListBullet"/>
      </w:pPr>
      <w:r>
        <w:t>Formes et Dosages : Solution injectable (IV), ampoule de 10 mL</w:t>
      </w:r>
    </w:p>
    <w:p>
      <w:pPr>
        <w:pStyle w:val="ListBullet"/>
      </w:pPr>
      <w:r>
        <w:t>Conditionnement : Boîte de 100 ampoules de 10 mL</w:t>
      </w:r>
    </w:p>
    <w:p>
      <w:pPr>
        <w:pStyle w:val="ListBullet"/>
      </w:pPr>
      <w:r>
        <w:t xml:space="preserve">Statut : </w:t>
      </w:r>
      <w:r>
        <w:rPr>
          <w:b/>
        </w:rPr>
        <w:t>Non Renouvelable</w:t>
      </w:r>
      <w:r>
        <w:t xml:space="preserve"> (Liste vide — usage hospitalier)</w:t>
      </w:r>
    </w:p>
    <w:p>
      <w:pPr>
        <w:pStyle w:val="ListBullet"/>
      </w:pPr>
      <w:r>
        <w:t>Dosage équivalent : 84 mg/mL = 1 mmol NaHCO3/mL = 1 mmol Na+/mL + 1 mmol HCO3−/mL</w:t>
      </w:r>
    </w:p>
    <w:p>
      <w:pPr>
        <w:pStyle w:val="ListBullet"/>
      </w:pPr>
      <w:r/>
      <w:r>
        <w:rPr>
          <w:b/>
        </w:rPr>
        <w:t>SODIUM BICARBONATE</w:t>
      </w:r>
      <w:r>
        <w:t xml:space="preserve"> (RENAUDIN) — </w:t>
      </w:r>
      <w:r>
        <w:rPr>
          <w:b/>
        </w:rPr>
        <w:t>0,084 g/mL (8,4 % molarité 1 mmol/mL)</w:t>
      </w:r>
      <w:r/>
    </w:p>
    <w:p>
      <w:pPr>
        <w:pStyle w:val="ListBullet"/>
      </w:pPr>
      <w:r>
        <w:t>Formes et Dosages : Solution injectable (IV), ampoule de 20 mL</w:t>
      </w:r>
    </w:p>
    <w:p>
      <w:pPr>
        <w:pStyle w:val="ListBullet"/>
      </w:pPr>
      <w:r>
        <w:t>Conditionnement : Boîte de 100 ampoules de 20 mL</w:t>
      </w:r>
    </w:p>
    <w:p>
      <w:pPr>
        <w:pStyle w:val="ListBullet"/>
      </w:pPr>
      <w:r>
        <w:t xml:space="preserve">Statut : </w:t>
      </w:r>
      <w:r>
        <w:rPr>
          <w:b/>
        </w:rPr>
        <w:t>Non Renouvelable</w:t>
      </w:r>
      <w:r>
        <w:t xml:space="preserve"> (Liste vide — usage hospitalier)</w:t>
      </w:r>
    </w:p>
    <w:p>
      <w:pPr>
        <w:pStyle w:val="ListBullet"/>
      </w:pPr>
      <w:r>
        <w:t>Dosage équivalent : 84 mg/mL = 1 mmol NaHCO3/mL ; 20 mL = 20 mmol NaHCO3</w:t>
      </w:r>
    </w:p>
    <w:p>
      <w:pPr>
        <w:pStyle w:val="ListBullet"/>
      </w:pPr>
      <w:r/>
      <w:r>
        <w:rPr>
          <w:b/>
        </w:rPr>
        <w:t>BICARBONATE DE SODIUM</w:t>
      </w:r>
      <w:r>
        <w:t xml:space="preserve"> (SAIDAL) — </w:t>
      </w:r>
      <w:r>
        <w:rPr>
          <w:b/>
        </w:rPr>
        <w:t>0,014 g/mL (1,4 % isotonique)</w:t>
      </w:r>
      <w:r/>
    </w:p>
    <w:p>
      <w:pPr>
        <w:pStyle w:val="ListBullet"/>
      </w:pPr>
      <w:r>
        <w:t>Formes et Dosages : Solution injectable (IV perfusion), flacon de 500 mL</w:t>
      </w:r>
    </w:p>
    <w:p>
      <w:pPr>
        <w:pStyle w:val="ListBullet"/>
      </w:pPr>
      <w:r>
        <w:t>Conditionnement : Flacon de 500 mL</w:t>
      </w:r>
    </w:p>
    <w:p>
      <w:pPr>
        <w:pStyle w:val="ListBullet"/>
      </w:pPr>
      <w:r>
        <w:t xml:space="preserve">Statut : </w:t>
      </w:r>
      <w:r>
        <w:rPr>
          <w:b/>
        </w:rPr>
        <w:t>Retiré (R)</w:t>
      </w:r>
      <w:r>
        <w:t xml:space="preserve"> (marque Saidal retirée — ne plus dispenser)</w:t>
      </w:r>
    </w:p>
    <w:p>
      <w:pPr>
        <w:pStyle w:val="ListBullet"/>
      </w:pPr>
      <w:r>
        <w:t>Dosage équivalent : 14 mg/mL = 0,17 mmol/mL ; 500 mL = 83 mmol NaHCO3 (solution isotonique, utilisable en perfusion continue simple)</w:t>
      </w:r>
    </w:p>
    <w:p>
      <w:pPr>
        <w:pStyle w:val="ListBullet"/>
      </w:pPr>
      <w:r/>
      <w:r>
        <w:rPr>
          <w:b/>
        </w:rPr>
        <w:t>BICARBONATE DE SODIUM AGUETTANT</w:t>
      </w:r>
      <w:r>
        <w:t xml:space="preserve"> (AGUETTANT) — </w:t>
      </w:r>
      <w:r>
        <w:rPr>
          <w:b/>
        </w:rPr>
        <w:t>0,042 g/mL (4,2 % hypertonique)</w:t>
      </w:r>
      <w:r/>
    </w:p>
    <w:p>
      <w:pPr>
        <w:pStyle w:val="ListBullet"/>
      </w:pPr>
      <w:r>
        <w:t>Formes et Dosages : Solution injectable (IV), ampoule de 10 mL</w:t>
      </w:r>
    </w:p>
    <w:p>
      <w:pPr>
        <w:pStyle w:val="ListBullet"/>
      </w:pPr>
      <w:r>
        <w:t>Conditionnement : Boîte de 100 ampoules de 10 mL</w:t>
      </w:r>
    </w:p>
    <w:p>
      <w:pPr>
        <w:pStyle w:val="ListBullet"/>
      </w:pPr>
      <w:r>
        <w:t xml:space="preserve">Statut : </w:t>
      </w:r>
      <w:r>
        <w:rPr>
          <w:b/>
        </w:rPr>
        <w:t>Retiré (R)</w:t>
      </w:r>
      <w:r>
        <w:t xml:space="preserve"> (marque Aguettant retirée — ne plus dispenser)</w:t>
      </w:r>
    </w:p>
    <w:p>
      <w:pPr>
        <w:pStyle w:val="ListBullet"/>
      </w:pPr>
      <w:r>
        <w:t>Dosage équivalent : 42 mg/mL = 0,5 mmol/mL ; 10 mL = 5 mmol NaHCO3 (solution hypertonique, à diluer avant perfusion)</w:t>
      </w:r>
    </w:p>
    <w:p>
      <w:r>
        <w:t xml:space="preserve">L'offre algérienne est donc très limitée : </w:t>
      </w:r>
      <w:r>
        <w:rPr>
          <w:b/>
        </w:rPr>
        <w:t>2 formes non renouvelables</w:t>
      </w:r>
      <w:r>
        <w:t xml:space="preserve"> (Renaudin, à 8,4 % en ampoules 10 et 20 mL) + </w:t>
      </w:r>
      <w:r>
        <w:rPr>
          <w:b/>
        </w:rPr>
        <w:t>2 formes retirées</w:t>
      </w:r>
      <w:r>
        <w:t xml:space="preserve"> (Saidal 1,4 % et Aguettant 4,2 %). Le statut </w:t>
      </w:r>
      <w:r>
        <w:rPr>
          <w:b/>
        </w:rPr>
        <w:t>Non Renouvelable</w:t>
      </w:r>
      <w:r>
        <w:t xml:space="preserve"> signifie que la spécialité est encore commercialisée mais n'est plus inscrite à la nomenclature des médicaments remboursables — elle reste disponible en pharmacie hospitalière pour usage urgent. Le statut </w:t>
      </w:r>
      <w:r>
        <w:rPr>
          <w:b/>
        </w:rPr>
        <w:t>Retiré</w:t>
      </w:r>
      <w:r>
        <w:t xml:space="preserve"> signifie que la spécialité n'est plus commercialisée. En pratique, </w:t>
      </w:r>
      <w:r>
        <w:rPr>
          <w:b/>
        </w:rPr>
        <w:t>seule la forme 8,4 % en ampoules 10 et 20 mL Renaudin reste disponible</w:t>
      </w:r>
      <w:r>
        <w:t>, en pharmacie hospitalière — ce qui impose que la prise en charge de la lithiase urique par bicarbonate injectable se fasse en milieu hospitalier (services d'urologie, néphrologie, réanimation). Pour l'usage ambulatoire, le pharmacien d'officine orientera le patient vers son urologue/néphrologue pour prescription de citrate de potassium (Mac-k, disponible en pharmacie hospitalière — non listé dans ce chapitre mais bien disponible en Algérie).</w:t>
      </w:r>
    </w:p>
    <w:p>
      <w:r/>
      <w:r>
        <w:rPr>
          <w:b/>
        </w:rPr>
        <w:t>Sous-classe et Mécanisme d'action :</w:t>
      </w:r>
      <w:r/>
    </w:p>
    <w:p>
      <w:pPr>
        <w:pStyle w:val="ListBullet"/>
      </w:pPr>
      <w:r/>
      <w:r>
        <w:rPr>
          <w:b/>
        </w:rPr>
        <w:t>Sous-classe</w:t>
      </w:r>
      <w:r>
        <w:t xml:space="preserve"> : Alcalinisant urinaire — électrolyte — apport exogène d'ions bicarbonate (HCO3−). Indiqué dans la lithiase urique, l'hyperuricémie, l'acidose métabolique, l'intoxication par acides faibles, et l'alcalinisation préventive en chimiothérapie (lyse tumorale).</w:t>
      </w:r>
    </w:p>
    <w:p>
      <w:pPr>
        <w:pStyle w:val="ListBullet"/>
      </w:pPr>
      <w:r/>
      <w:r>
        <w:rPr>
          <w:b/>
        </w:rPr>
        <w:t>Mécanisme d'action</w:t>
      </w:r>
      <w:r>
        <w:t xml:space="preserve"> :</w:t>
      </w:r>
    </w:p>
    <w:p>
      <w:pPr>
        <w:pStyle w:val="ListBullet"/>
      </w:pPr>
      <w:r/>
      <w:r>
        <w:rPr>
          <w:b/>
        </w:rPr>
        <w:t>Tampon acide-base</w:t>
      </w:r>
      <w:r>
        <w:t xml:space="preserve"> : l'ion bicarbonate (HCO3−) est le principal tampon extracellulaire du sang et des urines. Apport exogène → augmentation des réserves alcalines plasmatiques et tubulaires rénales → </w:t>
      </w:r>
      <w:r>
        <w:rPr>
          <w:b/>
        </w:rPr>
        <w:t>alcalinisation des urines</w:t>
      </w:r>
      <w:r>
        <w:t xml:space="preserve"> (augmentation du pH urinaire &gt; 6,5). Réaction d'équilibre : HCO3− + H+ ↔ H2CO3 ↔ H2O + CO2 (le CO2 est éliminé par ventilation pulmonaire).</w:t>
      </w:r>
    </w:p>
    <w:p>
      <w:pPr>
        <w:pStyle w:val="ListBullet"/>
      </w:pPr>
      <w:r/>
      <w:r>
        <w:rPr>
          <w:b/>
        </w:rPr>
        <w:t>Sur la lithiase urique</w:t>
      </w:r>
      <w:r>
        <w:t xml:space="preserve"> : l'acide urique (pKa = 5,4) existe sous deux formes en équilibre pH-dépendant : </w:t>
      </w:r>
      <w:r>
        <w:rPr>
          <w:b/>
        </w:rPr>
        <w:t>HUr (forme protonée, neutre, INSOLUBLE)</w:t>
      </w:r>
      <w:r>
        <w:t xml:space="preserve"> ↔ </w:t>
      </w:r>
      <w:r>
        <w:rPr>
          <w:b/>
        </w:rPr>
        <w:t>Ur− (forme dissociée, ionisée, SOLUBLE)</w:t>
      </w:r>
      <w:r>
        <w:t xml:space="preserve">. À pH urinaire &lt; 5,4 : prédominance HUr → cristallisation et précipitation → lithiase urique. À pH urinaire &gt; 6,5 : prédominance Ur− → dissolution de la lithiase existante et prévention des nouvelles lithiases. Le pH cible est </w:t>
      </w:r>
      <w:r>
        <w:rPr>
          <w:b/>
        </w:rPr>
        <w:t>6,5 à 7,0</w:t>
      </w:r>
      <w:r>
        <w:t xml:space="preserve"> (NE PAS dépasser 7,5 — risque de lithiase phospho-calcique à pH trop alcalin).</w:t>
      </w:r>
    </w:p>
    <w:p>
      <w:pPr>
        <w:pStyle w:val="ListBullet"/>
      </w:pPr>
      <w:r/>
      <w:r>
        <w:rPr>
          <w:b/>
        </w:rPr>
        <w:t>Sur l'acide urique sanguin</w:t>
      </w:r>
      <w:r>
        <w:t xml:space="preserve"> : augmentation de l'élimination urinaire d'urate (Ur− soluble) → baisse de l'uricémie (intérêt dans la crise de goutte, la lyse tumorale).</w:t>
      </w:r>
    </w:p>
    <w:p>
      <w:pPr>
        <w:pStyle w:val="ListBullet"/>
      </w:pPr>
      <w:r/>
      <w:r>
        <w:rPr>
          <w:b/>
        </w:rPr>
        <w:t>Sur les intoxications par acides faibles</w:t>
      </w:r>
      <w:r>
        <w:t xml:space="preserve"> (acide salicylique, phénobarbital, méthotrexate) : alcalinisation urinaire (pH &gt; 7,5) → ionisation des acides faibles → « ion trapping » (piège ionique) dans le tubule rénal → augmentation de l'élimination rénale (× 5 à 10 pour le salicylate).</w:t>
      </w:r>
    </w:p>
    <w:p>
      <w:pPr>
        <w:pStyle w:val="ListBullet"/>
      </w:pPr>
      <w:r/>
      <w:r>
        <w:rPr>
          <w:b/>
        </w:rPr>
        <w:t>Sur l'acidose métabolique</w:t>
      </w:r>
      <w:r>
        <w:t xml:space="preserve"> : restauration des réserves alcalines plasmatiques, correction du pH sanguin vers la normale (7,35-7,45), amélioration de l'hémodynamique et de la fonction cardiaque (acidose = dépression myocardique, vasoconstriction pulmonaire, insulinorésistance).</w:t>
      </w:r>
    </w:p>
    <w:p>
      <w:pPr>
        <w:pStyle w:val="ListBullet"/>
      </w:pPr>
      <w:r/>
      <w:r>
        <w:rPr>
          <w:b/>
        </w:rPr>
        <w:t>Sur l'hyperkaliémie</w:t>
      </w:r>
      <w:r>
        <w:t xml:space="preserve"> : alcalinisation sanguine → entrée cellulaire de K+ (échange H+/K+ à travers la membrane cellulaire) → baisse de la kaliémie (intérêt en urgence hyperkaliémique menaçante — à utiliser en association avec gluconate de calcium, insuline + glucose, β2-mimétiques).</w:t>
      </w:r>
    </w:p>
    <w:p>
      <w:r/>
      <w:r>
        <w:rPr>
          <w:b/>
        </w:rPr>
        <w:t>Profil Pharmacologique :</w:t>
      </w:r>
      <w:r/>
    </w:p>
    <w:p>
      <w:pPr>
        <w:pStyle w:val="ListBullet"/>
      </w:pPr>
      <w:r/>
      <w:r>
        <w:rPr>
          <w:b/>
        </w:rPr>
        <w:t>Indications</w:t>
      </w:r>
      <w:r>
        <w:t xml:space="preserve"> :</w:t>
      </w:r>
    </w:p>
    <w:p>
      <w:pPr>
        <w:pStyle w:val="ListBullet"/>
      </w:pPr>
      <w:r/>
      <w:r>
        <w:rPr>
          <w:b/>
        </w:rPr>
        <w:t>Lithiase urique</w:t>
      </w:r>
      <w:r>
        <w:t xml:space="preserve"> symptomatique (colique néphrétique, gravelle) — pH urinaire cible 6,5-7,0</w:t>
      </w:r>
    </w:p>
    <w:p>
      <w:pPr>
        <w:pStyle w:val="ListBullet"/>
      </w:pPr>
      <w:r/>
      <w:r>
        <w:rPr>
          <w:b/>
        </w:rPr>
        <w:t>Hyperuricurie acide</w:t>
      </w:r>
      <w:r>
        <w:t xml:space="preserve"> (acidité urinaire chronique pH &lt; 5,5) — prévention de la lithiase urique</w:t>
      </w:r>
    </w:p>
    <w:p>
      <w:pPr>
        <w:pStyle w:val="ListBullet"/>
      </w:pPr>
      <w:r/>
      <w:r>
        <w:rPr>
          <w:b/>
        </w:rPr>
        <w:t>Hyperuricémie</w:t>
      </w:r>
      <w:r>
        <w:t xml:space="preserve"> aiguë (lyse tumorale en chimiothérapie hematologique — prévention)</w:t>
      </w:r>
    </w:p>
    <w:p>
      <w:pPr>
        <w:pStyle w:val="ListBullet"/>
      </w:pPr>
      <w:r/>
      <w:r>
        <w:rPr>
          <w:b/>
        </w:rPr>
        <w:t>Acidose métabolique sévère</w:t>
      </w:r>
      <w:r>
        <w:t xml:space="preserve"> (acidose lactique, cétoacidose diabétique déséquilibrée, insuffisance rénale aiguë, intoxication méthanol/éthylène glycol)</w:t>
      </w:r>
    </w:p>
    <w:p>
      <w:pPr>
        <w:pStyle w:val="ListBullet"/>
      </w:pPr>
      <w:r/>
      <w:r>
        <w:rPr>
          <w:b/>
        </w:rPr>
        <w:t>Intoxication par acides faibles</w:t>
      </w:r>
      <w:r>
        <w:t xml:space="preserve"> (acide salicylique — aspirine en surdosage ; phénobarbital ; méthotrexate à haute dose)</w:t>
      </w:r>
    </w:p>
    <w:p>
      <w:pPr>
        <w:pStyle w:val="ListBullet"/>
      </w:pPr>
      <w:r/>
      <w:r>
        <w:rPr>
          <w:b/>
        </w:rPr>
        <w:t>Hyperkaliémie menaçante</w:t>
      </w:r>
      <w:r>
        <w:t xml:space="preserve"> (en association avec les autres mesures)</w:t>
      </w:r>
    </w:p>
    <w:p>
      <w:pPr>
        <w:pStyle w:val="ListBullet"/>
      </w:pPr>
      <w:r/>
      <w:r>
        <w:rPr>
          <w:b/>
        </w:rPr>
        <w:t>Alcalinisation préventive</w:t>
      </w:r>
      <w:r>
        <w:t xml:space="preserve"> en chimiothérapie à risque de lyse tumorale</w:t>
      </w:r>
    </w:p>
    <w:p>
      <w:pPr>
        <w:pStyle w:val="ListBullet"/>
      </w:pPr>
      <w:r/>
      <w:r>
        <w:rPr>
          <w:b/>
        </w:rPr>
        <w:t>Contre-indications</w:t>
      </w:r>
      <w:r>
        <w:t xml:space="preserve"> :</w:t>
      </w:r>
    </w:p>
    <w:p>
      <w:pPr>
        <w:pStyle w:val="ListBullet"/>
      </w:pPr>
      <w:r/>
      <w:r>
        <w:rPr>
          <w:b/>
        </w:rPr>
        <w:t>Alcalose métabolique</w:t>
      </w:r>
      <w:r>
        <w:t xml:space="preserve"> ou respiratoire préexistante</w:t>
      </w:r>
    </w:p>
    <w:p>
      <w:pPr>
        <w:pStyle w:val="ListBullet"/>
      </w:pPr>
      <w:r/>
      <w:r>
        <w:rPr>
          <w:b/>
        </w:rPr>
        <w:t>Hypochlorémie</w:t>
      </w:r>
      <w:r>
        <w:t xml:space="preserve"> sévère (le bicarbonate aggrave la perte de Cl−)</w:t>
      </w:r>
    </w:p>
    <w:p>
      <w:pPr>
        <w:pStyle w:val="ListBullet"/>
      </w:pPr>
      <w:r/>
      <w:r>
        <w:rPr>
          <w:b/>
        </w:rPr>
        <w:t>Hypocalcémie</w:t>
      </w:r>
      <w:r>
        <w:t xml:space="preserve"> sévère (l'alcalinisation precipite des symptômes tétniques — car la calcémie ionique baisse en alcalose)</w:t>
      </w:r>
    </w:p>
    <w:p>
      <w:pPr>
        <w:pStyle w:val="ListBullet"/>
      </w:pPr>
      <w:r/>
      <w:r>
        <w:rPr>
          <w:b/>
        </w:rPr>
        <w:t>Insuffisance cardiaque décompensée</w:t>
      </w:r>
      <w:r>
        <w:t xml:space="preserve"> (apport sodé massif — surcharge volémique)</w:t>
      </w:r>
    </w:p>
    <w:p>
      <w:pPr>
        <w:pStyle w:val="ListBullet"/>
      </w:pPr>
      <w:r/>
      <w:r>
        <w:rPr>
          <w:b/>
        </w:rPr>
        <w:t>Insuffisance rénale sévère</w:t>
      </w:r>
      <w:r>
        <w:t xml:space="preserve"> (anurie, oligurie &lt; 30 mL/h) — surcharge, hypernatrémie, alcalose</w:t>
      </w:r>
    </w:p>
    <w:p>
      <w:pPr>
        <w:pStyle w:val="ListBullet"/>
      </w:pPr>
      <w:r/>
      <w:r>
        <w:rPr>
          <w:b/>
        </w:rPr>
        <w:t>Œdèmes</w:t>
      </w:r>
      <w:r>
        <w:t xml:space="preserve"> avec rétention hydrosodée</w:t>
      </w:r>
    </w:p>
    <w:p>
      <w:pPr>
        <w:pStyle w:val="ListBullet"/>
      </w:pPr>
      <w:r/>
      <w:r>
        <w:rPr>
          <w:b/>
        </w:rPr>
        <w:t>Hypertension artérielle sévère non contrôlée</w:t>
      </w:r>
      <w:r>
        <w:t xml:space="preserve"> (apport sodé)</w:t>
      </w:r>
    </w:p>
    <w:p>
      <w:pPr>
        <w:pStyle w:val="ListBullet"/>
      </w:pPr>
      <w:r/>
      <w:r>
        <w:rPr>
          <w:b/>
        </w:rPr>
        <w:t>Patients sous corticothérapie au long cours</w:t>
      </w:r>
      <w:r>
        <w:t xml:space="preserve"> (rétention sodée additive)</w:t>
      </w:r>
    </w:p>
    <w:p>
      <w:pPr>
        <w:pStyle w:val="ListBullet"/>
      </w:pPr>
      <w:r/>
      <w:r>
        <w:rPr>
          <w:b/>
        </w:rPr>
        <w:t>Hypersensibilité</w:t>
      </w:r>
      <w:r>
        <w:t xml:space="preserve"> au bicarbonate de sodium ou à l'un des excipients</w:t>
      </w:r>
    </w:p>
    <w:p>
      <w:pPr>
        <w:pStyle w:val="ListBullet"/>
      </w:pPr>
      <w:r/>
      <w:r>
        <w:rPr>
          <w:b/>
        </w:rPr>
        <w:t>Effets Indésirables</w:t>
      </w:r>
      <w:r>
        <w:t xml:space="preserve"> :</w:t>
      </w:r>
    </w:p>
    <w:p>
      <w:pPr>
        <w:pStyle w:val="ListBullet"/>
      </w:pPr>
      <w:r/>
      <w:r>
        <w:rPr>
          <w:b/>
        </w:rPr>
        <w:t>Liés à l'apport sodé</w:t>
      </w:r>
      <w:r>
        <w:t xml:space="preserve"> : </w:t>
      </w:r>
      <w:r>
        <w:rPr>
          <w:b/>
        </w:rPr>
        <w:t>hypernatrémie</w:t>
      </w:r>
      <w:r>
        <w:t xml:space="preserve"> (sécheresse cutanéo-muqueuse, fièvre, confusion, convulsions), </w:t>
      </w:r>
      <w:r>
        <w:rPr>
          <w:b/>
        </w:rPr>
        <w:t>rétention hydrosodée</w:t>
      </w:r>
      <w:r>
        <w:t xml:space="preserve"> (œdèmes périphériques, œdème pulmonaire en cas de cardiopathie sous-jacente), </w:t>
      </w:r>
      <w:r>
        <w:rPr>
          <w:b/>
        </w:rPr>
        <w:t>hypertension artérielle</w:t>
      </w:r>
      <w:r>
        <w:t xml:space="preserve"> (effet volémique)</w:t>
      </w:r>
    </w:p>
    <w:p>
      <w:pPr>
        <w:pStyle w:val="ListBullet"/>
      </w:pPr>
      <w:r/>
      <w:r>
        <w:rPr>
          <w:b/>
        </w:rPr>
        <w:t>Liés à l'alcalinisation</w:t>
      </w:r>
      <w:r>
        <w:t xml:space="preserve"> : </w:t>
      </w:r>
      <w:r>
        <w:rPr>
          <w:b/>
        </w:rPr>
        <w:t>alcalose métabolique</w:t>
      </w:r>
      <w:r>
        <w:t xml:space="preserve"> (paresthésies péri-oral et digital, crampes musculaires, tétanie — surtout si hypocalcémie associée), </w:t>
      </w:r>
      <w:r>
        <w:rPr>
          <w:b/>
        </w:rPr>
        <w:t>hypokaliémie</w:t>
      </w:r>
      <w:r>
        <w:t xml:space="preserve"> (entrée cellulaire de K+ en alcalose — risque d'arythmies), </w:t>
      </w:r>
      <w:r>
        <w:rPr>
          <w:b/>
        </w:rPr>
        <w:t>hypocalcémie symptomatique</w:t>
      </w:r>
      <w:r>
        <w:t xml:space="preserve"> (Chvostek, Trousseau — tétanie), </w:t>
      </w:r>
      <w:r>
        <w:rPr>
          <w:b/>
        </w:rPr>
        <w:t>respiration dépressive</w:t>
      </w:r>
      <w:r>
        <w:t xml:space="preserve"> (l'alcalose métabolique induit une hypoventilation compensatrice)</w:t>
      </w:r>
    </w:p>
    <w:p>
      <w:pPr>
        <w:pStyle w:val="ListBullet"/>
      </w:pPr>
      <w:r/>
      <w:r>
        <w:rPr>
          <w:b/>
        </w:rPr>
        <w:t>Liés à la voie d'administration</w:t>
      </w:r>
      <w:r>
        <w:t xml:space="preserve"> :</w:t>
      </w:r>
    </w:p>
    <w:p>
      <w:pPr>
        <w:pStyle w:val="ListBullet"/>
      </w:pPr>
      <w:r/>
      <w:r>
        <w:rPr>
          <w:b/>
        </w:rPr>
        <w:t>Extravasation</w:t>
      </w:r>
      <w:r>
        <w:t xml:space="preserve"> (en particulier pour la forme 8,4 % hypertonique) : nécrose tissulaire, douleur, infiltration — danger en cas de perfusion en périphérie ; à administrer dans une voie veineuse centrale de préférence pour la forme 8,4 %</w:t>
      </w:r>
    </w:p>
    <w:p>
      <w:pPr>
        <w:pStyle w:val="ListBullet"/>
      </w:pPr>
      <w:r/>
      <w:r>
        <w:rPr>
          <w:b/>
        </w:rPr>
        <w:t>Thrombophlébite</w:t>
      </w:r>
      <w:r>
        <w:t xml:space="preserve"> (forme hypertonique) — surveillance du site de perfusion</w:t>
      </w:r>
    </w:p>
    <w:p>
      <w:pPr>
        <w:pStyle w:val="ListBullet"/>
      </w:pPr>
      <w:r/>
      <w:r>
        <w:rPr>
          <w:b/>
        </w:rPr>
        <w:t>Spécifiques de l'usage urinaire prolongé</w:t>
      </w:r>
      <w:r>
        <w:t xml:space="preserve"> : risque de </w:t>
      </w:r>
      <w:r>
        <w:rPr>
          <w:b/>
        </w:rPr>
        <w:t>lithiase phospho-calcique</w:t>
      </w:r>
      <w:r>
        <w:t xml:space="preserve"> (carbonate de calcium précipite à pH &gt; 7,5) — surveillance du pH urinaire toutes les 6-12h pendant traitement</w:t>
      </w:r>
    </w:p>
    <w:p>
      <w:pPr>
        <w:pStyle w:val="ListBullet"/>
      </w:pPr>
      <w:r/>
      <w:r>
        <w:rPr>
          <w:b/>
        </w:rPr>
        <w:t>Spécifiques de l'usage prolongé au long cours</w:t>
      </w:r>
      <w:r>
        <w:t xml:space="preserve"> (formes orales en France) : syndrome de </w:t>
      </w:r>
      <w:r>
        <w:rPr>
          <w:b/>
        </w:rPr>
        <w:t>milk-alkali</w:t>
      </w:r>
      <w:r>
        <w:t xml:space="preserve"> (hypercalcémie, insuffisance rénale, alcalose — historique avec absorption massive de lait + bicarbonate)</w:t>
      </w:r>
    </w:p>
    <w:p>
      <w:r/>
      <w:r>
        <w:rPr>
          <w:b/>
        </w:rPr>
        <w:t>Prévention et Gestion des Effets Indésirables :</w:t>
      </w:r>
      <w:r/>
    </w:p>
    <w:p>
      <w:pPr>
        <w:pStyle w:val="ListBullet"/>
      </w:pPr>
      <w:r/>
      <w:r>
        <w:rPr>
          <w:b/>
        </w:rPr>
        <w:t>Mesures Préventives</w:t>
      </w:r>
      <w:r>
        <w:t xml:space="preserve"> :</w:t>
      </w:r>
    </w:p>
    <w:p>
      <w:pPr>
        <w:pStyle w:val="ListBullet"/>
      </w:pPr>
      <w:r/>
      <w:r>
        <w:rPr>
          <w:b/>
        </w:rPr>
        <w:t>Bilan pré-thérapeutique</w:t>
      </w:r>
      <w:r>
        <w:t xml:space="preserve"> : ionogramme sanguin (Na+, K+, Cl−, Ca2+, HCO3−), pH artériel, gazométrie, fonction rénale (urée, créatinine, ClCr), ECG (recherche de signes d'hypokaliémie ou d'alcalose)</w:t>
      </w:r>
    </w:p>
    <w:p>
      <w:pPr>
        <w:pStyle w:val="ListBullet"/>
      </w:pPr>
      <w:r/>
      <w:r>
        <w:rPr>
          <w:b/>
        </w:rPr>
        <w:t>Surveillance du pH urinaire</w:t>
      </w:r>
      <w:r>
        <w:t xml:space="preserve"> toutes les 6-12h pendant traitement (cible 6,5-7,0 pour la lithiase urique — ne pas dépasser 7,5)</w:t>
      </w:r>
    </w:p>
    <w:p>
      <w:pPr>
        <w:pStyle w:val="ListBullet"/>
      </w:pPr>
      <w:r/>
      <w:r>
        <w:rPr>
          <w:b/>
        </w:rPr>
        <w:t>Surveillance de la natrémie, kaliémie, calcémie, chlorémie</w:t>
      </w:r>
      <w:r>
        <w:t xml:space="preserve"> toutes les 6-12h pendant perfusion IV</w:t>
      </w:r>
    </w:p>
    <w:p>
      <w:pPr>
        <w:pStyle w:val="ListBullet"/>
      </w:pPr>
      <w:r/>
      <w:r>
        <w:rPr>
          <w:b/>
        </w:rPr>
        <w:t>Surveillance hémodynamique</w:t>
      </w:r>
      <w:r>
        <w:t xml:space="preserve"> (TA, fréquence cardiaque, état d'hydratation) en raison de l'apport sodé</w:t>
      </w:r>
    </w:p>
    <w:p>
      <w:pPr>
        <w:pStyle w:val="ListBullet"/>
      </w:pPr>
      <w:r/>
      <w:r>
        <w:rPr>
          <w:b/>
        </w:rPr>
        <w:t>Surveillance de la volémie</w:t>
      </w:r>
      <w:r>
        <w:t xml:space="preserve"> (diurèse, état d'hydratation, poids)</w:t>
      </w:r>
    </w:p>
    <w:p>
      <w:pPr>
        <w:pStyle w:val="ListBullet"/>
      </w:pPr>
      <w:r/>
      <w:r>
        <w:rPr>
          <w:b/>
        </w:rPr>
        <w:t>Voie veineuse centrale</w:t>
      </w:r>
      <w:r>
        <w:t xml:space="preserve"> pour la forme 8,4 % (en raison de l'osmolarité élevée — risque d'extravasation nécrosante)</w:t>
      </w:r>
    </w:p>
    <w:p>
      <w:pPr>
        <w:pStyle w:val="ListBullet"/>
      </w:pPr>
      <w:r/>
      <w:r>
        <w:rPr>
          <w:b/>
        </w:rPr>
        <w:t>Apport potassique associé</w:t>
      </w:r>
      <w:r>
        <w:t xml:space="preserve"> (KCl IV ou per os) pour prévenir l'hypokaliémie (l'alcalose induit une entrée cellulaire de K+) — surveillance stricte de la kaliémie</w:t>
      </w:r>
    </w:p>
    <w:p>
      <w:pPr>
        <w:pStyle w:val="ListBullet"/>
      </w:pPr>
      <w:r/>
      <w:r>
        <w:rPr>
          <w:b/>
        </w:rPr>
        <w:t>Restriction hydrosodée</w:t>
      </w:r>
      <w:r>
        <w:t xml:space="preserve"> associée si nécessaire</w:t>
      </w:r>
    </w:p>
    <w:p>
      <w:pPr>
        <w:pStyle w:val="ListBullet"/>
      </w:pPr>
      <w:r/>
      <w:r>
        <w:rPr>
          <w:b/>
        </w:rPr>
        <w:t>Information patient</w:t>
      </w:r>
      <w:r>
        <w:t xml:space="preserve"> sur les signes d'hypernatrémie (soif intense, sécheresse buccale, confusion), d'alcalose (paresthésies péri-buccales, crampes), de surcharge (œdèmes, dyspnée)</w:t>
      </w:r>
    </w:p>
    <w:p>
      <w:pPr>
        <w:pStyle w:val="ListBullet"/>
      </w:pPr>
      <w:r/>
      <w:r>
        <w:rPr>
          <w:b/>
        </w:rPr>
        <w:t>Conduite à Tenir</w:t>
      </w:r>
      <w:r>
        <w:t xml:space="preserve"> :</w:t>
      </w:r>
    </w:p>
    <w:p>
      <w:pPr>
        <w:pStyle w:val="ListBullet"/>
      </w:pPr>
      <w:r/>
      <w:r>
        <w:rPr>
          <w:b/>
        </w:rPr>
        <w:t>Alcalose métabolique</w:t>
      </w:r>
      <w:r>
        <w:t xml:space="preserve"> : arrêt du bicarbonate, surveillance gazométrie, correction de l'hypochlorémie (NaCl isotonique), correction de l'hypokaliémie (KCl)</w:t>
      </w:r>
    </w:p>
    <w:p>
      <w:pPr>
        <w:pStyle w:val="ListBullet"/>
      </w:pPr>
      <w:r/>
      <w:r>
        <w:rPr>
          <w:b/>
        </w:rPr>
        <w:t>Hypernatrémie</w:t>
      </w:r>
      <w:r>
        <w:t xml:space="preserve"> : arrêt du bicarbonate, hypotonisation progressive (NaCl 0,45 % ou glucose 5 %) — surveillance natrémie toutes les 4-6h (baisse maximale 10 mmol/L/24h pour éviter l'œdème cérébral)</w:t>
      </w:r>
    </w:p>
    <w:p>
      <w:pPr>
        <w:pStyle w:val="ListBullet"/>
      </w:pPr>
      <w:r/>
      <w:r>
        <w:rPr>
          <w:b/>
        </w:rPr>
        <w:t>Hypokaliémie</w:t>
      </w:r>
      <w:r>
        <w:t xml:space="preserve"> : KCl IV (max 20 mmol/h, surveillance ECG) ou per os</w:t>
      </w:r>
    </w:p>
    <w:p>
      <w:pPr>
        <w:pStyle w:val="ListBullet"/>
      </w:pPr>
      <w:r/>
      <w:r>
        <w:rPr>
          <w:b/>
        </w:rPr>
        <w:t>Hypocalcémie symptomatique</w:t>
      </w:r>
      <w:r>
        <w:t xml:space="preserve"> (tétanie, Chvostek, Trousseau) : gluconate de calcium IV (NE JAMAIS mélanger dans la même tubulure que le bicarbonate — précipitation de CaCO3)</w:t>
      </w:r>
    </w:p>
    <w:p>
      <w:pPr>
        <w:pStyle w:val="ListBullet"/>
      </w:pPr>
      <w:r/>
      <w:r>
        <w:rPr>
          <w:b/>
        </w:rPr>
        <w:t>Surcharge volémique / œdème pulmonaire</w:t>
      </w:r>
      <w:r>
        <w:t xml:space="preserve"> : arrêt du bicarbonate, diurétique (furosémide IV), oxygénothérapie, surveillance réanimation</w:t>
      </w:r>
    </w:p>
    <w:p>
      <w:pPr>
        <w:pStyle w:val="ListBullet"/>
      </w:pPr>
      <w:r/>
      <w:r>
        <w:rPr>
          <w:b/>
        </w:rPr>
        <w:t>Extravasation</w:t>
      </w:r>
      <w:r>
        <w:t xml:space="preserve"> : arrêt immédiat de la perfusion, aspiration du liquide résiduel, infiltration locale de hyaluronidase, application de compresses chaudes, surveillance cutanée — chirurgie plastique si nécrose établie</w:t>
      </w:r>
    </w:p>
    <w:p>
      <w:pPr>
        <w:pStyle w:val="ListBullet"/>
      </w:pPr>
      <w:r/>
      <w:r>
        <w:rPr>
          <w:b/>
        </w:rPr>
        <w:t>Surdosage aigu</w:t>
      </w:r>
      <w:r>
        <w:t xml:space="preserve"> : alcalose sévère (respiration dépressive, convulsions, coma) — arrêt, ventilation mécanique si nécessaire, correction de l'alcalose par NaCl isotonique + KCl, surveillance réanimation</w:t>
      </w:r>
    </w:p>
    <w:p>
      <w:r/>
      <w:r>
        <w:rPr>
          <w:b/>
        </w:rPr>
        <w:t>Interactions Importantes :</w:t>
      </w:r>
      <w:r/>
    </w:p>
    <w:p>
      <w:pPr>
        <w:pStyle w:val="ListBullet"/>
      </w:pPr>
      <w:r/>
      <w:r>
        <w:rPr>
          <w:b/>
        </w:rPr>
        <w:t>+ Calcium (gluconate, chlorure)</w:t>
      </w:r>
      <w:r>
        <w:t xml:space="preserve"> : </w:t>
      </w:r>
      <w:r>
        <w:rPr>
          <w:b/>
        </w:rPr>
        <w:t>PRECIPITATION IMMÉDIATE de CaCO3</w:t>
      </w:r>
      <w:r>
        <w:t xml:space="preserve"> (carbonate de calcium insoluble) dans la tubulure — ne JAMAIS mélanger dans la même tubulure ni la même perfusion. Si nécessaire, rincer la tubulure abondamment entre les deux perfusions.</w:t>
      </w:r>
    </w:p>
    <w:p>
      <w:pPr>
        <w:pStyle w:val="ListBullet"/>
      </w:pPr>
      <w:r/>
      <w:r>
        <w:rPr>
          <w:b/>
        </w:rPr>
        <w:t>+ Magnésium</w:t>
      </w:r>
      <w:r>
        <w:t xml:space="preserve"> : précipitation possible de MgCO3 — espacer les perfusions</w:t>
      </w:r>
    </w:p>
    <w:p>
      <w:pPr>
        <w:pStyle w:val="ListBullet"/>
      </w:pPr>
      <w:r/>
      <w:r>
        <w:rPr>
          <w:b/>
        </w:rPr>
        <w:t>+ Corticoïdes</w:t>
      </w:r>
      <w:r>
        <w:t xml:space="preserve"> (prednisone, hydrocortisone) : majoration de la rétention hydrosodée — surveillance</w:t>
      </w:r>
    </w:p>
    <w:p>
      <w:pPr>
        <w:pStyle w:val="ListBullet"/>
      </w:pPr>
      <w:r/>
      <w:r>
        <w:rPr>
          <w:b/>
        </w:rPr>
        <w:t>+ Diurétiques thiazidiques et de l'anse</w:t>
      </w:r>
      <w:r>
        <w:t xml:space="preserve"> (furosémide, hydrochlorothiazide) : majoration de l'hypokaliémie (entrées cellulaires cumulées) — surveillance K+</w:t>
      </w:r>
    </w:p>
    <w:p>
      <w:pPr>
        <w:pStyle w:val="ListBullet"/>
      </w:pPr>
      <w:r/>
      <w:r>
        <w:rPr>
          <w:b/>
        </w:rPr>
        <w:t>+ Inhibiteurs de l'ECA / ARA2</w:t>
      </w:r>
      <w:r>
        <w:t xml:space="preserve"> (énalapril, losartan) : majoration de l'hyperkaliémie théorique — mais ici le bicarbonate hypokaliémiant (en alcalose), surveillance</w:t>
      </w:r>
    </w:p>
    <w:p>
      <w:pPr>
        <w:pStyle w:val="ListBullet"/>
      </w:pPr>
      <w:r/>
      <w:r>
        <w:rPr>
          <w:b/>
        </w:rPr>
        <w:t>+ Lithium</w:t>
      </w:r>
      <w:r>
        <w:t xml:space="preserve"> : augmentation de l'élimination du lithium en alcalinisation urinaire — baisse de l'efficacité du lithium, surveillance lithiémie</w:t>
      </w:r>
    </w:p>
    <w:p>
      <w:pPr>
        <w:pStyle w:val="ListBullet"/>
      </w:pPr>
      <w:r/>
      <w:r>
        <w:rPr>
          <w:b/>
        </w:rPr>
        <w:t>+ Salicylés</w:t>
      </w:r>
      <w:r>
        <w:t xml:space="preserve"> (aspirine) : augmentation de l'élimination urinaire (intérêt thérapeutique en surdosage) — mais à dose thérapeutique, baisse de l'efficacité de l'aspirine</w:t>
      </w:r>
    </w:p>
    <w:p>
      <w:pPr>
        <w:pStyle w:val="ListBullet"/>
      </w:pPr>
      <w:r/>
      <w:r>
        <w:rPr>
          <w:b/>
        </w:rPr>
        <w:t>+ Tétracyclines</w:t>
      </w:r>
      <w:r>
        <w:t xml:space="preserve"> : diminution de l'absorption digestive (chélation avec le Ca2+ en milieu alcalin) — espacer les prises</w:t>
      </w:r>
    </w:p>
    <w:p>
      <w:pPr>
        <w:pStyle w:val="ListBullet"/>
      </w:pPr>
      <w:r/>
      <w:r>
        <w:rPr>
          <w:b/>
        </w:rPr>
        <w:t>+ Fluoroquinolones</w:t>
      </w:r>
      <w:r>
        <w:t xml:space="preserve"> : augmentation de l'élimination urinaire (alcalinisation) — intérêt potentiel, mais surveillance efficacité</w:t>
      </w:r>
    </w:p>
    <w:p>
      <w:pPr>
        <w:pStyle w:val="ListBullet"/>
      </w:pPr>
      <w:r/>
      <w:r>
        <w:rPr>
          <w:b/>
        </w:rPr>
        <w:t>+ Sympathomimétiques</w:t>
      </w:r>
      <w:r>
        <w:t xml:space="preserve"> (éphédrine, pseudoéphéphrine) : alcalinisation urinaire → augmentation de la demi-vie et de l'effet — surveillance</w:t>
      </w:r>
    </w:p>
    <w:p>
      <w:pPr>
        <w:pStyle w:val="ListBullet"/>
      </w:pPr>
      <w:r/>
      <w:r>
        <w:rPr>
          <w:b/>
        </w:rPr>
        <w:t>+ Antiacides contenant du calcium ou du magnésium</w:t>
      </w:r>
      <w:r>
        <w:t xml:space="preserve"> : précipitation (carbonate de Ca/Mg insoluble) — espacer</w:t>
      </w:r>
    </w:p>
    <w:p>
      <w:r/>
      <w:r>
        <w:rPr>
          <w:b/>
        </w:rPr>
        <w:t>Grossesse et Allaitement :</w:t>
      </w:r>
      <w:r/>
    </w:p>
    <w:p>
      <w:pPr>
        <w:pStyle w:val="ListBullet"/>
      </w:pPr>
      <w:r/>
      <w:r>
        <w:rPr>
          <w:b/>
        </w:rPr>
        <w:t>Grossesse</w:t>
      </w:r>
      <w:r>
        <w:t xml:space="preserve"> : le bicarbonate de sodium traverse le placenta. À dose thérapeutique (alcalinisation urinaire), pas de tératogénicité connue ni de toxicité fœtale. Le CRAT considère son utilisation </w:t>
      </w:r>
      <w:r>
        <w:rPr>
          <w:b/>
        </w:rPr>
        <w:t>possible pendant la grossesse</w:t>
      </w:r>
      <w:r>
        <w:t xml:space="preserve"> si nécessaire (indication lithiase urique symptomatique ou acidose métabolique). Prudence cependant sur l'apport sodé en fin de grossesse (rétention hydrosodée physiologique, risque d'œdèmes, d'hypertension gravidique) — surveiller TA, œdèmes, prise de poids. En cas d'hypertension gravidique / prééclampsie, éviter le bicarbonate et discuter alternatives (citrate de potassium sans sodium).</w:t>
      </w:r>
    </w:p>
    <w:p>
      <w:pPr>
        <w:pStyle w:val="ListBullet"/>
      </w:pPr>
      <w:r/>
      <w:r>
        <w:rPr>
          <w:b/>
        </w:rPr>
        <w:t>Allaitement</w:t>
      </w:r>
      <w:r>
        <w:t xml:space="preserve"> : le bicarbonate de sodium </w:t>
      </w:r>
      <w:r>
        <w:rPr>
          <w:b/>
        </w:rPr>
        <w:t>passe dans le lait maternel</w:t>
      </w:r>
      <w:r>
        <w:t xml:space="preserve"> en faible quantité (modifie le pH et la composition ionique du lait). À dose thérapeutique, pas de contre-indication à l'allaitement — surveillance de l'enfant (transit, prise de poids). Compatible selon LactMed.</w:t>
      </w:r>
    </w:p>
    <w:p>
      <w:pPr>
        <w:pStyle w:val="ListBullet"/>
      </w:pPr>
      <w:r/>
      <w:r>
        <w:rPr>
          <w:b/>
        </w:rPr>
        <w:t>Précisions</w:t>
      </w:r>
      <w:r>
        <w:t xml:space="preserve"> : en cas de lithiase urique gravidique, privilégier en première intention l'hydratation orale abondante (2-3 L/j), le contrôle du pH urinaire par alimentation (aliments alcalinisants : citron, fruits et légumes, eau alcaline), et seulement en seconde intention le bicarbonate (citrate de potassium oral en préférence, en évitant l'apport sodé).</w:t>
      </w:r>
    </w:p>
    <w:p>
      <w:r/>
      <w:r>
        <w:rPr>
          <w:b/>
        </w:rPr>
        <w:t>Posologie et Mode d'administration (Standard) :</w:t>
      </w:r>
      <w:r/>
    </w:p>
    <w:p>
      <w:pPr>
        <w:pStyle w:val="ListBullet"/>
      </w:pPr>
      <w:r/>
      <w:r>
        <w:rPr>
          <w:b/>
        </w:rPr>
        <w:t>Adulte</w:t>
      </w:r>
      <w:r>
        <w:t xml:space="preserve"> :</w:t>
      </w:r>
    </w:p>
    <w:p>
      <w:pPr>
        <w:pStyle w:val="ListBullet"/>
      </w:pPr>
      <w:r/>
      <w:r>
        <w:rPr>
          <w:b/>
        </w:rPr>
        <w:t>Lithiase urique — alcalinisation urinaire</w:t>
      </w:r>
      <w:r>
        <w:t xml:space="preserve"> :</w:t>
      </w:r>
    </w:p>
    <w:p>
      <w:pPr>
        <w:pStyle w:val="ListBullet"/>
      </w:pPr>
      <w:r>
        <w:t>Voie orale (NON disponible en Algérie) : 1 à 2 cuillères à café de poudre de bicarbonate de sodium officinal (5-10 g = 60-120 mmol HCO3−) par jour, en 3-4 prises, diluées dans un verre d'eau. Objectif pH urinaire 6,5-7,0.</w:t>
      </w:r>
    </w:p>
    <w:p>
      <w:pPr>
        <w:pStyle w:val="ListBullet"/>
      </w:pPr>
      <w:r>
        <w:t>Voie IV (disponible en Algérie — usage hospitalier) : perfusion lente de 1 à 2 mmol/kg (soit 70 à 140 mmol HCO3− pour 70 kg, soit 70 à 140 mL de solution à 8,4 %), diluée dans 500 mL de glucose 5 % ou NaCl 0,9 %, en 4-6 h. Surveillance du pH urinaire toutes les 6h.</w:t>
      </w:r>
    </w:p>
    <w:p>
      <w:pPr>
        <w:pStyle w:val="ListBullet"/>
      </w:pPr>
      <w:r/>
      <w:r>
        <w:rPr>
          <w:b/>
        </w:rPr>
        <w:t>Acidose métabolique sévère (réanimation)</w:t>
      </w:r>
      <w:r>
        <w:t xml:space="preserve"> : 1 à 2 mmol/kg IV en 30 min, puis adapté à la gazométrie artérielle. Formule de correction : mmol HCO3− nécessaires = (HCO3− cible - HCO3− mesuré) × 0,3 × poids (kg). Cible pH artériel 7,20-7,25 (NE PAS viser la normalisation 7,40 en acidose profonde — risque d'alcalose paradoxale).</w:t>
      </w:r>
    </w:p>
    <w:p>
      <w:pPr>
        <w:pStyle w:val="ListBullet"/>
      </w:pPr>
      <w:r/>
      <w:r>
        <w:rPr>
          <w:b/>
        </w:rPr>
        <w:t>Intoxication par acide salicylique</w:t>
      </w:r>
      <w:r>
        <w:t xml:space="preserve"> : 1 à 2 mmol/kg IV, perfusion continue à 0,2-0,3 mmol/kg/h — objectif pH urinaire 7,5-8,0 (ion trapping).</w:t>
      </w:r>
    </w:p>
    <w:p>
      <w:pPr>
        <w:pStyle w:val="ListBullet"/>
      </w:pPr>
      <w:r/>
      <w:r>
        <w:rPr>
          <w:b/>
        </w:rPr>
        <w:t>Hyperkaliémie menaçante</w:t>
      </w:r>
      <w:r>
        <w:t xml:space="preserve"> : 1 à 2 mmol/kg IV en 15-30 min (en association avec gluconate de calcium, insuline + glucose, β2-mimétiques — sans K+).</w:t>
      </w:r>
    </w:p>
    <w:p>
      <w:pPr>
        <w:pStyle w:val="ListBullet"/>
      </w:pPr>
      <w:r/>
      <w:r>
        <w:rPr>
          <w:b/>
        </w:rPr>
        <w:t>Sujet âgé</w:t>
      </w:r>
      <w:r>
        <w:t xml:space="preserve"> : prudence accrue (rétention sodée, insuffisance cardiaque, insuffisance rénale) — dose réduite de 50 % et surveillance rapprochée.</w:t>
      </w:r>
    </w:p>
    <w:p>
      <w:pPr>
        <w:pStyle w:val="ListBullet"/>
      </w:pPr>
      <w:r/>
      <w:r>
        <w:rPr>
          <w:b/>
        </w:rPr>
        <w:t>Enfant</w:t>
      </w:r>
      <w:r>
        <w:t xml:space="preserve"> : posologie pédiatrique adaptée au poids (1-2 mmol/kg), en réanimation pédiatrique spécialisée.</w:t>
      </w:r>
    </w:p>
    <w:p>
      <w:pPr>
        <w:pStyle w:val="ListBullet"/>
      </w:pPr>
      <w:r/>
      <w:r>
        <w:rPr>
          <w:b/>
        </w:rPr>
        <w:t>Insuffisant rénal</w:t>
      </w:r>
      <w:r>
        <w:t xml:space="preserve"> : prudence majeure, surveillance iono + gazométrie + diurèse, dose réduite</w:t>
      </w:r>
    </w:p>
    <w:p>
      <w:pPr>
        <w:pStyle w:val="ListBullet"/>
      </w:pPr>
      <w:r/>
      <w:r>
        <w:rPr>
          <w:b/>
        </w:rPr>
        <w:t>Insuffisant hépatique</w:t>
      </w:r>
      <w:r>
        <w:t xml:space="preserve"> : pas d'adaptation posologique</w:t>
      </w:r>
    </w:p>
    <w:p>
      <w:pPr>
        <w:pStyle w:val="ListBullet"/>
      </w:pPr>
      <w:r/>
      <w:r>
        <w:rPr>
          <w:b/>
        </w:rPr>
        <w:t>Durée</w:t>
      </w:r>
      <w:r>
        <w:t xml:space="preserve"> :</w:t>
      </w:r>
    </w:p>
    <w:p>
      <w:pPr>
        <w:pStyle w:val="ListBullet"/>
      </w:pPr>
      <w:r/>
      <w:r>
        <w:rPr>
          <w:b/>
        </w:rPr>
        <w:t>Lithiase urique</w:t>
      </w:r>
      <w:r>
        <w:t xml:space="preserve"> : traitement jusqu'à dissolution de la lithiase (1 à 6 mois) — relais par voie orale (citrate de potassium Mac-k) en ambulatoire</w:t>
      </w:r>
    </w:p>
    <w:p>
      <w:pPr>
        <w:pStyle w:val="ListBullet"/>
      </w:pPr>
      <w:r/>
      <w:r>
        <w:rPr>
          <w:b/>
        </w:rPr>
        <w:t>Acidose métabolique</w:t>
      </w:r>
      <w:r>
        <w:t xml:space="preserve"> : traitement aigu, durée courte (24-72h) jusqu'à correction de la cause sous-jacente</w:t>
      </w:r>
    </w:p>
    <w:p>
      <w:pPr>
        <w:pStyle w:val="ListBullet"/>
      </w:pPr>
      <w:r/>
      <w:r>
        <w:rPr>
          <w:b/>
        </w:rPr>
        <w:t>Intoxication salicylée</w:t>
      </w:r>
      <w:r>
        <w:t xml:space="preserve"> : durée jusqu'à salicylémie &lt; 300 mg/L (24-48h)</w:t>
      </w:r>
    </w:p>
    <w:p>
      <w:pPr>
        <w:pStyle w:val="ListBullet"/>
      </w:pPr>
      <w:r/>
      <w:r>
        <w:rPr>
          <w:b/>
        </w:rPr>
        <w:t>Moment de la prise</w:t>
      </w:r>
      <w:r>
        <w:t xml:space="preserve"> : répartition en 3-4 prises par jour (voie orale), ou perfusion continue (voie IV). Prise pendant les repas (voie orale) pour diminuer l'acidité gastrique.</w:t>
      </w:r>
    </w:p>
    <w:p>
      <w:r/>
      <w:r>
        <w:rPr>
          <w:b/>
        </w:rPr>
        <w:t>Arbitrage et Bénéfices des Formes Galéniques :</w:t>
      </w:r>
      <w:r/>
    </w:p>
    <w:p>
      <w:pPr>
        <w:pStyle w:val="ListBullet"/>
      </w:pPr>
      <w:r/>
      <w:r>
        <w:rPr>
          <w:b/>
        </w:rPr>
        <w:t>Forme injectable 8,4 % (1 mmol/mL)</w:t>
      </w:r>
      <w:r>
        <w:t xml:space="preserve"> (Renaudin — non renouvelable) : molarité standardisée, utilisable en bolus IV (en urgence) ou en perfusion diluée. Ampoules 10 et 20 mL. </w:t>
      </w:r>
      <w:r>
        <w:rPr>
          <w:b/>
        </w:rPr>
        <w:t>Forme de référence en réanimation</w:t>
      </w:r>
      <w:r>
        <w:t xml:space="preserve"> pour acidose sévère, hyperkaliémie, intoxication.</w:t>
      </w:r>
    </w:p>
    <w:p>
      <w:pPr>
        <w:pStyle w:val="ListBullet"/>
      </w:pPr>
      <w:r/>
      <w:r>
        <w:rPr>
          <w:b/>
        </w:rPr>
        <w:t>Forme injectable 4,2 % (0,5 mmol/mL)</w:t>
      </w:r>
      <w:r>
        <w:t xml:space="preserve"> (Aguettant — retirée) : solution hypertonique moins concentrée, à diluer avant perfusion. Historiquement utilisée en pédiatrie (dose réduite).</w:t>
      </w:r>
    </w:p>
    <w:p>
      <w:pPr>
        <w:pStyle w:val="ListBullet"/>
      </w:pPr>
      <w:r/>
      <w:r>
        <w:rPr>
          <w:b/>
        </w:rPr>
        <w:t>Forme injectable 1,4 % isotonique</w:t>
      </w:r>
      <w:r>
        <w:t xml:space="preserve"> (Saidal — retirée) : solution isotonique NaHCO3 1,4 % = 14 mg/mL, équivalente à du NaCl 0,9 % mais avec HCO3− au lieu de Cl−. Utilisable en perfusion continue simple (sans dilution), intéressante pour alcalinisation modérée prolongée.</w:t>
      </w:r>
    </w:p>
    <w:p>
      <w:pPr>
        <w:pStyle w:val="ListBullet"/>
      </w:pPr>
      <w:r/>
      <w:r>
        <w:rPr>
          <w:b/>
        </w:rPr>
        <w:t>Forme orale 500 mg ou 1 g comprimé</w:t>
      </w:r>
      <w:r>
        <w:t xml:space="preserve"> (NON disponible en Algérie) : référence internationale pour la lithiase urique ambulatoire. Substitution en Algérie : </w:t>
      </w:r>
      <w:r>
        <w:rPr>
          <w:b/>
        </w:rPr>
        <w:t>citrate de potassium</w:t>
      </w:r>
      <w:r>
        <w:t xml:space="preserve"> (Mac-k 5 mEq comprimé effervescent — non listé dans ce chapitre mais disponible en pharmacie hospitalière) ou </w:t>
      </w:r>
      <w:r>
        <w:rPr>
          <w:b/>
        </w:rPr>
        <w:t>bicarbonate de soude officinal</w:t>
      </w:r>
      <w:r>
        <w:t xml:space="preserve"> (poudre pour solution buvable, disponible en officine selon la pharmacopée).</w:t>
      </w:r>
    </w:p>
    <w:p>
      <w:pPr>
        <w:pStyle w:val="ListBullet"/>
      </w:pPr>
      <w:r/>
      <w:r>
        <w:rPr>
          <w:b/>
        </w:rPr>
        <w:t>Recommandation Algérie</w:t>
      </w:r>
      <w:r>
        <w:t xml:space="preserve"> : pour la lithiase urique ambulatoire, le pharmacien d'officine orientera le patient vers son urologue/néphrologue pour prescription de </w:t>
      </w:r>
      <w:r>
        <w:rPr>
          <w:b/>
        </w:rPr>
        <w:t>citrate de potassium</w:t>
      </w:r>
      <w:r>
        <w:t xml:space="preserve"> (Mac-k) en pharmacie hospitalière — alternative sans sodium (intérêt chez l'hypertendu, l'insuffisant cardiaque) et disponible en forme orale. La forme injectable est réservée à l'usage hospitalier (urgence, réanimation, dissolution d'une lithiase enclavée).</w:t>
      </w:r>
    </w:p>
    <w:p>
      <w:r/>
      <w:r>
        <w:rPr>
          <w:b/>
        </w:rPr>
        <w:t>Instructions et Conseils au Patient :</w:t>
      </w:r>
      <w:r/>
    </w:p>
    <w:p>
      <w:pPr>
        <w:pStyle w:val="ListBullet"/>
      </w:pPr>
      <w:r/>
      <w:r>
        <w:rPr>
          <w:b/>
        </w:rPr>
        <w:t>Communication au comptoir</w:t>
      </w:r>
      <w:r>
        <w:t xml:space="preserve"> :</w:t>
      </w:r>
    </w:p>
    <w:p>
      <w:pPr>
        <w:pStyle w:val="ListBullet"/>
      </w:pPr>
      <w:r>
        <w:t xml:space="preserve">La forme injectable est à usage </w:t>
      </w:r>
      <w:r>
        <w:rPr>
          <w:b/>
        </w:rPr>
        <w:t>hospitalier exclusif</w:t>
      </w:r>
      <w:r>
        <w:t xml:space="preserve"> — le pharmacien d'officine ne dispense pas directement cette molécule, mais peut informer le patient :</w:t>
      </w:r>
    </w:p>
    <w:p>
      <w:pPr>
        <w:pStyle w:val="ListBullet"/>
      </w:pPr>
      <w:r>
        <w:t>« Votre médecin vous a prescrit un traitement pour prévenir/dissoudre des calculs d'acide urique dans les urines. Le bicarbonate de sodium en comprimé n'est pas disponible en pharmacie de ville — votre médecin va vous orienter vers un néphrologue qui vous prescrira du citrate de potassium (Mac-k), un médicament équivalent, disponible en pharmacie hospitalière. »</w:t>
      </w:r>
    </w:p>
    <w:p>
      <w:pPr>
        <w:pStyle w:val="ListBullet"/>
      </w:pPr>
      <w:r>
        <w:t>« Vous devez boire beaucoup d'eau (au moins 2 L par jour) pour aider à dissoudre les calculs et les éliminer. »</w:t>
      </w:r>
    </w:p>
    <w:p>
      <w:pPr>
        <w:pStyle w:val="ListBullet"/>
      </w:pPr>
      <w:r>
        <w:t>« Vous devez contrôler votre alimentation : réduire la viande rouge, les abats, les fruits de mer (riches en acide urique) ; manger des fruits et légumes (aliments alcalinisants). »</w:t>
      </w:r>
    </w:p>
    <w:p>
      <w:pPr>
        <w:pStyle w:val="ListBullet"/>
      </w:pPr>
      <w:r>
        <w:t>« Si vous avez des crampes musculaires, des fourmillements autour de la bouche, des vertiges : prévenez votre médecin (signes d'alcalose). »</w:t>
      </w:r>
    </w:p>
    <w:p>
      <w:pPr>
        <w:pStyle w:val="ListBullet"/>
      </w:pPr>
      <w:r>
        <w:t>« Si vous avez des œdèmes des jambes, une prise de poids rapide, un essoufflement : prévenez votre médecin (signes de surcharge en sel). »</w:t>
      </w:r>
    </w:p>
    <w:p>
      <w:pPr>
        <w:pStyle w:val="ListBullet"/>
      </w:pPr>
      <w:r>
        <w:t>« Surveillez votre pH urinaire avec des bandelettes (vendues en pharmacie) — l'objectif est un pH entre 6,5 et 7,0. »</w:t>
      </w:r>
    </w:p>
    <w:p>
      <w:pPr>
        <w:pStyle w:val="ListBullet"/>
      </w:pPr>
      <w:r>
        <w:t>« Si vous prenez aussi du calcium ou du magnésium (suppléments, antiacides), prenez-les à 2-3 heures d'intervalle. »</w:t>
      </w:r>
    </w:p>
    <w:p>
      <w:pPr>
        <w:pStyle w:val="ListBullet"/>
      </w:pPr>
      <w:r/>
      <w:r>
        <w:rPr>
          <w:b/>
        </w:rPr>
        <w:t>Mode d'utilisation pratique</w:t>
      </w:r>
      <w:r>
        <w:t xml:space="preserve"> : voie IV en hospitalisation — diluée dans 500 mL de glucose 5 % ou NaCl 0,9 %, perfusion lente sur 4-6h, surveillance pH urinaire, iono, gazométrie. Pour la forme orale (citrate de potassium Mac-k) en ambulatoire : 2 à 4 comprimés effervescents par jour, dilués dans un verre d'eau, pendant les repas.</w:t>
      </w:r>
    </w:p>
    <w:p>
      <w:r/>
      <w:r>
        <w:rPr>
          <w:b/>
        </w:rPr>
        <w:t>Notes, Règles d'Or &amp; Pièges au Comptoir :</w:t>
      </w:r>
      <w:r/>
    </w:p>
    <w:p>
      <w:pPr>
        <w:pStyle w:val="ListBullet"/>
      </w:pPr>
      <w:r/>
      <w:r>
        <w:rPr>
          <w:b/>
        </w:rPr>
        <w:t>Piège classique n°1 — Le mélange dans la même tubulure avec du calcium</w:t>
      </w:r>
      <w:r>
        <w:t xml:space="preserve"> : perfusion de bicarbonate de sodium + gluconate de calcium dans la même tubulere (sans rinçage) → </w:t>
      </w:r>
      <w:r>
        <w:rPr>
          <w:b/>
        </w:rPr>
        <w:t>précipitation IMMÉDIATE de CaCO3</w:t>
      </w:r>
      <w:r>
        <w:t xml:space="preserve"> (carbonate de calcium insoluble) → embolie cristalline, détresse respiratoire, décès. </w:t>
      </w:r>
      <w:r>
        <w:rPr>
          <w:b/>
        </w:rPr>
        <w:t>Conduite</w:t>
      </w:r>
      <w:r>
        <w:t xml:space="preserve"> : ne JAMAIS mélanger dans la même tubulure ; rincer abondamment entre les deux perfusions ; utiliser des voies veineuses distinctes.</w:t>
      </w:r>
    </w:p>
    <w:p>
      <w:pPr>
        <w:pStyle w:val="ListBullet"/>
      </w:pPr>
      <w:r/>
      <w:r>
        <w:rPr>
          <w:b/>
        </w:rPr>
        <w:t>Piège classique n°2 — L'alcalose induite par surdosage</w:t>
      </w:r>
      <w:r>
        <w:t xml:space="preserve"> : patient recevant perfusion de bicarbonate trop rapide ou trop concentrée → alcalose métabolique sévère (paresthésies, crampes, tétanie, hypoventilation compensatoire) + hypokaliémie (arythmies). </w:t>
      </w:r>
      <w:r>
        <w:rPr>
          <w:b/>
        </w:rPr>
        <w:t>Conduite</w:t>
      </w:r>
      <w:r>
        <w:t xml:space="preserve"> : arrêt du bicarbonate, surveillance gazométrie, correction (NaCl isotonique + KCl), surveillance réanimation.</w:t>
      </w:r>
    </w:p>
    <w:p>
      <w:pPr>
        <w:pStyle w:val="ListBullet"/>
      </w:pPr>
      <w:r/>
      <w:r>
        <w:rPr>
          <w:b/>
        </w:rPr>
        <w:t>Piège classique n°3 — L'apport sodé chez le cardiaque</w:t>
      </w:r>
      <w:r>
        <w:t xml:space="preserve"> : patient insuffisant cardiaque décompensé, prescrit bicarbonate IV pour acidose métabolique → surcharge volémique, œdème pulmonaire aigu. </w:t>
      </w:r>
      <w:r>
        <w:rPr>
          <w:b/>
        </w:rPr>
        <w:t>Conduite</w:t>
      </w:r>
      <w:r>
        <w:t xml:space="preserve"> : éviter le bicarbonate sodé, discuter alternatives (bicarbonate sans sodium non disponible — dialyse en urgence si nécessaire), surveillance hémodynamique rapprochée, diurétique associé.</w:t>
      </w:r>
    </w:p>
    <w:p>
      <w:pPr>
        <w:pStyle w:val="ListBullet"/>
      </w:pPr>
      <w:r/>
      <w:r>
        <w:rPr>
          <w:b/>
        </w:rPr>
        <w:t>Piège classique n°4 — Le pH urinaire trop alcalin</w:t>
      </w:r>
      <w:r>
        <w:t xml:space="preserve"> : patient sous bicarbonate au long cours pour lithiase urique, pH urinaire à 8,0 → lithiase phospho-calcique (carbonate de calcium précipite à pH &gt; 7,5). </w:t>
      </w:r>
      <w:r>
        <w:rPr>
          <w:b/>
        </w:rPr>
        <w:t>Conduite</w:t>
      </w:r>
      <w:r>
        <w:t xml:space="preserve"> : surveillance du pH urinaire toutes les 6-12h, ajustement de la dose pour maintenir pH cible 6,5-7,0.</w:t>
      </w:r>
    </w:p>
    <w:p>
      <w:pPr>
        <w:pStyle w:val="ListBullet"/>
      </w:pPr>
      <w:r/>
      <w:r>
        <w:rPr>
          <w:b/>
        </w:rPr>
        <w:t>Piège classique n°5 — L'extravasation de la forme 8,4 %</w:t>
      </w:r>
      <w:r>
        <w:t xml:space="preserve"> : perfusion de bicarbonate 8,4 % (hypertonique) en périphérie, extravasation → nécrose tissulaire grave. </w:t>
      </w:r>
      <w:r>
        <w:rPr>
          <w:b/>
        </w:rPr>
        <w:t>Conduite</w:t>
      </w:r>
      <w:r>
        <w:t xml:space="preserve"> : voie veineuse centrale de préférence pour la forme 8,4 %, surveillance du site de perfusion, arrêt immédiat en cas de douleur ou infiltration, hyaluronidase locale.</w:t>
      </w:r>
    </w:p>
    <w:p>
      <w:pPr>
        <w:pStyle w:val="ListBullet"/>
      </w:pPr>
      <w:r/>
      <w:r>
        <w:rPr>
          <w:b/>
        </w:rPr>
        <w:t>Piège classique n°6 — Le patient qui demande du « bicarbonate » en officine pour lithiase</w:t>
      </w:r>
      <w:r>
        <w:t xml:space="preserve"> : le pharmacien d'officine doit savoir que les comprimés oraux de bicarbonate de sodium </w:t>
      </w:r>
      <w:r>
        <w:rPr>
          <w:b/>
        </w:rPr>
        <w:t>ne sont pas disponibles</w:t>
      </w:r>
      <w:r>
        <w:t xml:space="preserve"> en pharmacie de ville en Algérie — orienter vers le néphrologue pour prescription de citrate de potassium (Mac-k) en pharmacie hospitalière, ou vers les mesures diététiques (eau alcaline, citron, fruits et légumes). Le bicarbonate de soude alimentaire (NaHCO3 pur) peut être utilisé en solution buvable à dose modérée (1 cuillère à café dans un verre d'eau, 2-3 fois/jour) sous suivi médical.</w:t>
      </w:r>
    </w:p>
    <w:p>
      <w:pPr>
        <w:pStyle w:val="ListBullet"/>
      </w:pPr>
      <w:r/>
      <w:r>
        <w:rPr>
          <w:b/>
        </w:rPr>
        <w:t>Règle de prise</w:t>
      </w:r>
      <w:r>
        <w:t xml:space="preserve"> : voie IV en hospitalisation, perfusion lente, surveillance pH et iono. Voie orale : 3-4 prises par jour pendant les repas.</w:t>
      </w:r>
    </w:p>
    <w:p>
      <w:pPr>
        <w:pStyle w:val="ListBullet"/>
      </w:pPr>
      <w:r/>
      <w:r>
        <w:rPr>
          <w:b/>
        </w:rPr>
        <w:t>Préparation et Conservation</w:t>
      </w:r>
      <w:r>
        <w:t xml:space="preserve"> : solution injectable à conserver à température &lt; 25°C, à l'abri de la lumière, ne pas congeler. Vérifier la limpidité de la solution avant emploi (ne pas utiliser si trouble, particule, coloration). Durée de conservation 3 à 5 ans (voir DLC sur l'emballage).</w:t>
      </w:r>
    </w:p>
    <w:p>
      <w:pPr>
        <w:pStyle w:val="ListBullet"/>
      </w:pPr>
      <w:r/>
      <w:r>
        <w:rPr>
          <w:b/>
        </w:rPr>
        <w:t>Piège du surdosage / Substitution</w:t>
      </w:r>
      <w:r>
        <w:t xml:space="preserve"> : surdosage aigu = alcalose métabolique sévère (hypoventilation, convulsions, coma, hypokaliémie menaçante) — arrêt immédiat, ventilation mécanique si nécessaire, correction ionique (NaCl isotonique + KCl), surveillance réanimation. La substitution entre les marques (Renaudin 8,4 %, Saidal 1,4 %, Aguettant 4,2 %) doit être faite </w:t>
      </w:r>
      <w:r>
        <w:rPr>
          <w:b/>
        </w:rPr>
        <w:t>avec attention à la concentration</w:t>
      </w:r>
      <w:r>
        <w:t xml:space="preserve"> — un volume équivalent de solution à 8,4 % contient 6 fois plus de HCO3− que la solution à 1,4 % — erreur de calcul possible en urgence.</w:t>
      </w:r>
    </w:p>
    <w:p>
      <w:pPr>
        <w:pStyle w:val="Heading2"/>
      </w:pPr>
      <w:r>
        <w:t>7. Tableau comparatif des cinq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w:t>
            </w:r>
          </w:p>
        </w:tc>
        <w:tc>
          <w:tcPr>
            <w:tcW w:type="dxa" w:w="1336"/>
          </w:tcPr>
          <w:p>
            <w:r>
              <w:rPr>
                <w:b/>
                <w:sz w:val="20"/>
              </w:rPr>
              <w:t>Posologie adulte standard</w:t>
            </w:r>
          </w:p>
        </w:tc>
        <w:tc>
          <w:tcPr>
            <w:tcW w:type="dxa" w:w="1336"/>
          </w:tcPr>
          <w:p>
            <w:r>
              <w:rPr>
                <w:b/>
                <w:sz w:val="20"/>
              </w:rPr>
              <w:t>Effet indésirable majeur</w:t>
            </w:r>
          </w:p>
        </w:tc>
        <w:tc>
          <w:tcPr>
            <w:tcW w:type="dxa" w:w="1336"/>
          </w:tcPr>
          <w:p>
            <w:r>
              <w:rPr>
                <w:b/>
                <w:sz w:val="20"/>
              </w:rPr>
              <w:t>Contre-indication majeure</w:t>
            </w:r>
          </w:p>
        </w:tc>
        <w:tc>
          <w:tcPr>
            <w:tcW w:type="dxa" w:w="1336"/>
          </w:tcPr>
          <w:p>
            <w:r>
              <w:rPr>
                <w:b/>
                <w:sz w:val="20"/>
              </w:rPr>
              <w:t>Grossesse / Allaitement</w:t>
            </w:r>
          </w:p>
        </w:tc>
      </w:tr>
      <w:tr>
        <w:tc>
          <w:tcPr>
            <w:tcW w:type="dxa" w:w="1336"/>
          </w:tcPr>
          <w:p>
            <w:r>
              <w:rPr>
                <w:sz w:val="20"/>
              </w:rPr>
              <w:t>**Oxybutynine**</w:t>
            </w:r>
          </w:p>
        </w:tc>
        <w:tc>
          <w:tcPr>
            <w:tcW w:type="dxa" w:w="1336"/>
          </w:tcPr>
          <w:p>
            <w:r>
              <w:rPr>
                <w:sz w:val="20"/>
              </w:rPr>
              <w:t>Anticholinergique M3 (amine tertiaire, liposoluble)</w:t>
            </w:r>
          </w:p>
        </w:tc>
        <w:tc>
          <w:tcPr>
            <w:tcW w:type="dxa" w:w="1336"/>
          </w:tcPr>
          <w:p>
            <w:r>
              <w:rPr>
                <w:sz w:val="20"/>
              </w:rPr>
              <w:t>Antagoniste compétitif M3 détrusor → blocage Gq/PLC/IP3/Ca2+/MLCK → relaxation détrusor</w:t>
            </w:r>
          </w:p>
        </w:tc>
        <w:tc>
          <w:tcPr>
            <w:tcW w:type="dxa" w:w="1336"/>
          </w:tcPr>
          <w:p>
            <w:r>
              <w:rPr>
                <w:sz w:val="20"/>
              </w:rPr>
              <w:t>5 mg × 2-3/j per os (max 20 mg/j). Sujet âgé : 2,5 mg × 2/j</w:t>
            </w:r>
          </w:p>
        </w:tc>
        <w:tc>
          <w:tcPr>
            <w:tcW w:type="dxa" w:w="1336"/>
          </w:tcPr>
          <w:p>
            <w:r>
              <w:rPr>
                <w:sz w:val="20"/>
              </w:rPr>
              <w:t>Sécheresse buccale (70 %), constipation, **troubles cognitifs sujet âgé (ACB=3, liste de Beers)**, confusion, hallucinations, mydriase, tachycardie</w:t>
            </w:r>
          </w:p>
        </w:tc>
        <w:tc>
          <w:tcPr>
            <w:tcW w:type="dxa" w:w="1336"/>
          </w:tcPr>
          <w:p>
            <w:r>
              <w:rPr>
                <w:sz w:val="20"/>
              </w:rPr>
              <w:t>Glaucome angle fermé, rétention urinaire, gastroparésie, myasthénie ; **sujet âgé dément**</w:t>
            </w:r>
          </w:p>
        </w:tc>
        <w:tc>
          <w:tcPr>
            <w:tcW w:type="dxa" w:w="1336"/>
          </w:tcPr>
          <w:p>
            <w:r>
              <w:rPr>
                <w:sz w:val="20"/>
              </w:rPr>
              <w:t>À éviter grossesse (3e trim. : détresse paralytique néonatale) ; à éviter allaitement (passage lait)</w:t>
            </w:r>
          </w:p>
        </w:tc>
      </w:tr>
      <w:tr>
        <w:tc>
          <w:tcPr>
            <w:tcW w:type="dxa" w:w="1336"/>
          </w:tcPr>
          <w:p>
            <w:r>
              <w:rPr>
                <w:sz w:val="20"/>
              </w:rPr>
              <w:t>**Solifénacine**</w:t>
            </w:r>
          </w:p>
        </w:tc>
        <w:tc>
          <w:tcPr>
            <w:tcW w:type="dxa" w:w="1336"/>
          </w:tcPr>
          <w:p>
            <w:r>
              <w:rPr>
                <w:sz w:val="20"/>
              </w:rPr>
              <w:t>Anticholinergique M3 moderne (sélectivité M3/M2 ≈ 20, substrat P-gp)</w:t>
            </w:r>
          </w:p>
        </w:tc>
        <w:tc>
          <w:tcPr>
            <w:tcW w:type="dxa" w:w="1336"/>
          </w:tcPr>
          <w:p>
            <w:r>
              <w:rPr>
                <w:sz w:val="20"/>
              </w:rPr>
              <w:t>Antagoniste compétitif M3 détrusor, sélectivité supérieure, faible passage BBB</w:t>
            </w:r>
          </w:p>
        </w:tc>
        <w:tc>
          <w:tcPr>
            <w:tcW w:type="dxa" w:w="1336"/>
          </w:tcPr>
          <w:p>
            <w:r>
              <w:rPr>
                <w:sz w:val="20"/>
              </w:rPr>
              <w:t>5 mg/j per os en 1 prise (titration à 10 mg/j si besoin)</w:t>
            </w:r>
          </w:p>
        </w:tc>
        <w:tc>
          <w:tcPr>
            <w:tcW w:type="dxa" w:w="1336"/>
          </w:tcPr>
          <w:p>
            <w:r>
              <w:rPr>
                <w:sz w:val="20"/>
              </w:rPr>
              <w:t>Sécheresse buccale (35-50 %), constipation (15-25 %), rétention urinaire (sujet HBP) ; **moindre charge cognitive centrale** (ACB=2)</w:t>
            </w:r>
          </w:p>
        </w:tc>
        <w:tc>
          <w:tcPr>
            <w:tcW w:type="dxa" w:w="1336"/>
          </w:tcPr>
          <w:p>
            <w:r>
              <w:rPr>
                <w:sz w:val="20"/>
              </w:rPr>
              <w:t>Glaucome angle fermé, rétention urinaire, gastroparésie ; CI dose 10 mg si ins. hépatique sévère, dialyse, ou association ketoconazole</w:t>
            </w:r>
          </w:p>
        </w:tc>
        <w:tc>
          <w:tcPr>
            <w:tcW w:type="dxa" w:w="1336"/>
          </w:tcPr>
          <w:p>
            <w:r>
              <w:rPr>
                <w:sz w:val="20"/>
              </w:rPr>
              <w:t>À éviter grossesse (3e trim.) ; à éviter allaitement</w:t>
            </w:r>
          </w:p>
        </w:tc>
      </w:tr>
      <w:tr>
        <w:tc>
          <w:tcPr>
            <w:tcW w:type="dxa" w:w="1336"/>
          </w:tcPr>
          <w:p>
            <w:r>
              <w:rPr>
                <w:sz w:val="20"/>
              </w:rPr>
              <w:t>**Duloxétine**</w:t>
            </w:r>
          </w:p>
        </w:tc>
        <w:tc>
          <w:tcPr>
            <w:tcW w:type="dxa" w:w="1336"/>
          </w:tcPr>
          <w:p>
            <w:r>
              <w:rPr>
                <w:sz w:val="20"/>
              </w:rPr>
              <w:t>IRSN (inhibiteur SERT + NET)</w:t>
            </w:r>
          </w:p>
        </w:tc>
        <w:tc>
          <w:tcPr>
            <w:tcW w:type="dxa" w:w="1336"/>
          </w:tcPr>
          <w:p>
            <w:r>
              <w:rPr>
                <w:sz w:val="20"/>
              </w:rPr>
              <w:t>Inhibition recapture 5-HT + NA → activation 5-HT2C et α1 postsynaptiques sur noyau d'Onuf → ↑ tonus sphincter urétral strié → pression de clôture urétrale</w:t>
            </w:r>
          </w:p>
        </w:tc>
        <w:tc>
          <w:tcPr>
            <w:tcW w:type="dxa" w:w="1336"/>
          </w:tcPr>
          <w:p>
            <w:r>
              <w:rPr>
                <w:sz w:val="20"/>
              </w:rPr>
              <w:t>Initiation 30 mg/j × 7 j puis 60 mg/j per os en 1 prise (max 120 mg/j en 2e intention)</w:t>
            </w:r>
          </w:p>
        </w:tc>
        <w:tc>
          <w:tcPr>
            <w:tcW w:type="dxa" w:w="1336"/>
          </w:tcPr>
          <w:p>
            <w:r>
              <w:rPr>
                <w:sz w:val="20"/>
              </w:rPr>
              <w:t>Nausées (30 % init.), sécheresse buccale, somnolence, **HTA (effet NA)**, hépatotoxicité, hyponatrémie SIADH sujet âgé, **syndrome sérotoninergique en association**, syndrome de sevrage à l'arrêt</w:t>
            </w:r>
          </w:p>
        </w:tc>
        <w:tc>
          <w:tcPr>
            <w:tcW w:type="dxa" w:w="1336"/>
          </w:tcPr>
          <w:p>
            <w:r>
              <w:rPr>
                <w:sz w:val="20"/>
              </w:rPr>
              <w:t>IMAO (wash-out 14 j), fluoxétine (wash-out 5 sem.), ins. hépatique sévère, ins. rénale sévère (ClCr&lt;30), HTA non contrôlée, glaucome angle fermé non contrôlé</w:t>
            </w:r>
          </w:p>
        </w:tc>
        <w:tc>
          <w:tcPr>
            <w:tcW w:type="dxa" w:w="1336"/>
          </w:tcPr>
          <w:p>
            <w:r>
              <w:rPr>
                <w:sz w:val="20"/>
              </w:rPr>
              <w:t>CI 3e trimestre (syndrome de sevrage néonatal) ; à éviter allaitement</w:t>
            </w:r>
          </w:p>
        </w:tc>
      </w:tr>
      <w:tr>
        <w:tc>
          <w:tcPr>
            <w:tcW w:type="dxa" w:w="1336"/>
          </w:tcPr>
          <w:p>
            <w:r>
              <w:rPr>
                <w:sz w:val="20"/>
              </w:rPr>
              <w:t>**Nitroxoline**</w:t>
            </w:r>
          </w:p>
        </w:tc>
        <w:tc>
          <w:tcPr>
            <w:tcW w:type="dxa" w:w="1336"/>
          </w:tcPr>
          <w:p>
            <w:r>
              <w:rPr>
                <w:sz w:val="20"/>
              </w:rPr>
              <w:t>Antiseptique urinaire — hydroxyquinoléine</w:t>
            </w:r>
          </w:p>
        </w:tc>
        <w:tc>
          <w:tcPr>
            <w:tcW w:type="dxa" w:w="1336"/>
          </w:tcPr>
          <w:p>
            <w:r>
              <w:rPr>
                <w:sz w:val="20"/>
              </w:rPr>
              <w:t>Chélation ions métalliques (Fe3+, Zn2+, Mn2+, Cu2+) → inhibition métallo-enzymes bactériennes (cytochromes respiratoires, SOD, catalases) → bactériostatique urinaire</w:t>
            </w:r>
          </w:p>
        </w:tc>
        <w:tc>
          <w:tcPr>
            <w:tcW w:type="dxa" w:w="1336"/>
          </w:tcPr>
          <w:p>
            <w:r>
              <w:rPr>
                <w:sz w:val="20"/>
              </w:rPr>
              <w:t>100 mg × 3/j per os pendant 7 à 14 jours MAXIMUM</w:t>
            </w:r>
          </w:p>
        </w:tc>
        <w:tc>
          <w:tcPr>
            <w:tcW w:type="dxa" w:w="1336"/>
          </w:tcPr>
          <w:p>
            <w:r>
              <w:rPr>
                <w:sz w:val="20"/>
              </w:rPr>
              <w:t>Troubles digestifs, coloration jaune urines (bénin), **neuropathies périphériques et optiques si &gt; 14 j (potentiellement irréversibles)**</w:t>
            </w:r>
          </w:p>
        </w:tc>
        <w:tc>
          <w:tcPr>
            <w:tcW w:type="dxa" w:w="1336"/>
          </w:tcPr>
          <w:p>
            <w:r>
              <w:rPr>
                <w:sz w:val="20"/>
              </w:rPr>
              <w:t>Ins. rénale sévère, ins. hépatique sévère, grossesse, allaitement, enfant &lt; 6 ans, neuropathies préexistantes, déficit G6PD</w:t>
            </w:r>
          </w:p>
        </w:tc>
        <w:tc>
          <w:tcPr>
            <w:tcW w:type="dxa" w:w="1336"/>
          </w:tcPr>
          <w:p>
            <w:r>
              <w:rPr>
                <w:sz w:val="20"/>
              </w:rPr>
              <w:t>CI grossesse (1er, 2e, 3e trim.) ; à éviter allaitement</w:t>
            </w:r>
          </w:p>
        </w:tc>
      </w:tr>
      <w:tr>
        <w:tc>
          <w:tcPr>
            <w:tcW w:type="dxa" w:w="1336"/>
          </w:tcPr>
          <w:p>
            <w:r>
              <w:rPr>
                <w:sz w:val="20"/>
              </w:rPr>
              <w:t>**Bicarbonate de sodium**</w:t>
            </w:r>
          </w:p>
        </w:tc>
        <w:tc>
          <w:tcPr>
            <w:tcW w:type="dxa" w:w="1336"/>
          </w:tcPr>
          <w:p>
            <w:r>
              <w:rPr>
                <w:sz w:val="20"/>
              </w:rPr>
              <w:t>Alcalinisant urinaire — électrolyte (apport HCO3− + Na+)</w:t>
            </w:r>
          </w:p>
        </w:tc>
        <w:tc>
          <w:tcPr>
            <w:tcW w:type="dxa" w:w="1336"/>
          </w:tcPr>
          <w:p>
            <w:r>
              <w:rPr>
                <w:sz w:val="20"/>
              </w:rPr>
              <w:t>Tampon acide-base HCO3− + H+ → H2CO3 → H2O + CO2 → alcalinisation urinaire → conversion acide urique (insoluble) en urate (soluble)</w:t>
            </w:r>
          </w:p>
        </w:tc>
        <w:tc>
          <w:tcPr>
            <w:tcW w:type="dxa" w:w="1336"/>
          </w:tcPr>
          <w:p>
            <w:r>
              <w:rPr>
                <w:sz w:val="20"/>
              </w:rPr>
              <w:t>IV hospitalier : 1-2 mmol/kg en perfusion 4-6h (lithiase urique) ; 1-2 mmol/kg bolus puis adapté (acidose, urgence). Forme orale non disponible en Algérie</w:t>
            </w:r>
          </w:p>
        </w:tc>
        <w:tc>
          <w:tcPr>
            <w:tcW w:type="dxa" w:w="1336"/>
          </w:tcPr>
          <w:p>
            <w:r>
              <w:rPr>
                <w:sz w:val="20"/>
              </w:rPr>
              <w:t>**Hypernatrémie, rétention hydrosodée, alcalose métabolique, hypokaliémie, hypocalcémie, extravasation nécrosante (forme 8,4 %)**</w:t>
            </w:r>
          </w:p>
        </w:tc>
        <w:tc>
          <w:tcPr>
            <w:tcW w:type="dxa" w:w="1336"/>
          </w:tcPr>
          <w:p>
            <w:r>
              <w:rPr>
                <w:sz w:val="20"/>
              </w:rPr>
              <w:t>Alcalose préexistante, hypochlorémie, hypocalcémie, ins. cardiaque décompensée, ins. rénale sévère, HTA non contrôlée</w:t>
            </w:r>
          </w:p>
        </w:tc>
        <w:tc>
          <w:tcPr>
            <w:tcW w:type="dxa" w:w="1336"/>
          </w:tcPr>
          <w:p>
            <w:r>
              <w:rPr>
                <w:sz w:val="20"/>
              </w:rPr>
              <w:t>Possible pendant grossesse (prudence sur sel en fin grossesse) ; compatible allaitement</w:t>
            </w:r>
          </w:p>
        </w:tc>
      </w:tr>
    </w:tbl>
    <w:p/>
    <w:p>
      <w:pPr>
        <w:pStyle w:val="Heading2"/>
      </w:pPr>
      <w:r>
        <w:t>8. Règles d'or et pièges majeurs au comptoir</w:t>
      </w:r>
    </w:p>
    <w:p>
      <w:pPr>
        <w:pStyle w:val="ListNumber"/>
      </w:pPr>
      <w:r/>
      <w:r>
        <w:rPr>
          <w:b/>
        </w:rPr>
        <w:t>Oxybutynine + sujet âgé = danger cognitif</w:t>
      </w:r>
      <w:r>
        <w:t xml:space="preserve"> : ne jamais initier d'oxybutynine chez un sujet âgé dément, fragile, ou avec troubles cognitifs (ACB = 3, maximal). Privilégier la solifénacine (ACB = 2) ou la rééducation périnéale seule. Surveiller MMSE avant/après.</w:t>
      </w:r>
    </w:p>
    <w:p>
      <w:pPr>
        <w:pStyle w:val="ListNumber"/>
      </w:pPr>
      <w:r/>
      <w:r>
        <w:rPr>
          <w:b/>
        </w:rPr>
        <w:t>Anticholinergiques + glaucome = crise aiguë</w:t>
      </w:r>
      <w:r>
        <w:t xml:space="preserve"> : interrogatoire systématique sur un antécédent de glaucome avant dispensation. Examen ophtalmologique préalable si âge &gt; 60 ans et hypermétropie (facteur de risque d'angle étroit).</w:t>
      </w:r>
    </w:p>
    <w:p>
      <w:pPr>
        <w:pStyle w:val="ListNumber"/>
      </w:pPr>
      <w:r/>
      <w:r>
        <w:rPr>
          <w:b/>
        </w:rPr>
        <w:t>Anticholinergiques + HBP masculine = rétention aiguë</w:t>
      </w:r>
      <w:r>
        <w:t xml:space="preserve"> : chez l'homme &gt; 50 ans, vérifier l'absence d'obstacle sous-vésical (IPSS, débitmétrie, échographie post-mictionnelle). Démarrer à dose réduite, surveillance diurèse.</w:t>
      </w:r>
    </w:p>
    <w:p>
      <w:pPr>
        <w:pStyle w:val="ListNumber"/>
      </w:pPr>
      <w:r/>
      <w:r>
        <w:rPr>
          <w:b/>
        </w:rPr>
        <w:t>Duloxétine + IMAO = syndrome sérotoninergique mortel</w:t>
      </w:r>
      <w:r>
        <w:t xml:space="preserve"> : wash-out de 14 jours entre IMAO et duloxétine. Interrogatoire médicamenteux systématique avant dispensation.</w:t>
      </w:r>
    </w:p>
    <w:p>
      <w:pPr>
        <w:pStyle w:val="ListNumber"/>
      </w:pPr>
      <w:r/>
      <w:r>
        <w:rPr>
          <w:b/>
        </w:rPr>
        <w:t>Duloxétine : jamais d'arrêt brutal</w:t>
      </w:r>
      <w:r>
        <w:t xml:space="preserve"> : syndrome de sevrage à l'arrêt brutal (vertiges, nausées, paresthésies électriques, irritabilité). Décroissance progressive sur 2-4 semaines par paliers de 30 mg.</w:t>
      </w:r>
    </w:p>
    <w:p>
      <w:pPr>
        <w:pStyle w:val="ListNumber"/>
      </w:pPr>
      <w:r/>
      <w:r>
        <w:rPr>
          <w:b/>
        </w:rPr>
        <w:t>Duloxétine + hypertension = surveiller TA</w:t>
      </w:r>
      <w:r>
        <w:t xml:space="preserve"> : effet NA dose-dépendant. Bilan tensionnel pré-thérapeutique et à 1 mois. Arrêt si TA non contrôlable.</w:t>
      </w:r>
    </w:p>
    <w:p>
      <w:pPr>
        <w:pStyle w:val="ListNumber"/>
      </w:pPr>
      <w:r/>
      <w:r>
        <w:rPr>
          <w:b/>
        </w:rPr>
        <w:t>Nitroxoline : 14 jours MAXIMUM</w:t>
      </w:r>
      <w:r>
        <w:t xml:space="preserve"> : ne jamais dépasser 14 jours de traitement — risque de neuropathies périphériques et optiques (potentiellement irréversibles). Surveillance neurologique et visuelle stricte si malgré tout prescription prolongée.</w:t>
      </w:r>
    </w:p>
    <w:p>
      <w:pPr>
        <w:pStyle w:val="ListNumber"/>
      </w:pPr>
      <w:r/>
      <w:r>
        <w:rPr>
          <w:b/>
        </w:rPr>
        <w:t>Nitroxoline : CI grossesse stricte</w:t>
      </w:r>
      <w:r>
        <w:t xml:space="preserve"> : pour la cystite gravidique, fosfomycine monodose en première intention (selon CRAT). Ne pas dispenser de nitroxoline à une femme enceinte.</w:t>
      </w:r>
    </w:p>
    <w:p>
      <w:pPr>
        <w:pStyle w:val="ListNumber"/>
      </w:pPr>
      <w:r/>
      <w:r>
        <w:rPr>
          <w:b/>
        </w:rPr>
        <w:t>Bicarbonate de sodium : jamais mélanger avec calcium</w:t>
      </w:r>
      <w:r>
        <w:t xml:space="preserve"> : précipitation IMMÉDIATE de CaCO3 dans la tubulure (embolie cristalline, décès). Voies veineuses distinctes ou rinçage abondant entre les perfusions.</w:t>
      </w:r>
    </w:p>
    <w:p>
      <w:pPr>
        <w:pStyle w:val="ListNumber"/>
      </w:pPr>
      <w:r/>
      <w:r>
        <w:rPr>
          <w:b/>
        </w:rPr>
        <w:t>Bicarbonate : voie centrale pour la forme 8,4 %</w:t>
      </w:r>
      <w:r>
        <w:t xml:space="preserve"> : solution hypertonique (1 mmol/mL), risque d'extravasation nécrosante en périphérie. Voie veineuse centrale de préférence.</w:t>
      </w:r>
    </w:p>
    <w:p>
      <w:pPr>
        <w:pStyle w:val="ListNumber"/>
      </w:pPr>
      <w:r/>
      <w:r>
        <w:rPr>
          <w:b/>
        </w:rPr>
        <w:t>Bicarbonate : surveiller pH urinaire (cible 6,5-7,0)</w:t>
      </w:r>
      <w:r>
        <w:t xml:space="preserve"> : ne pas dépasser pH 7,5 — risque de lithiase phospho-calcique (carbonate de calcium précipite en milieu alcalin).</w:t>
      </w:r>
    </w:p>
    <w:p>
      <w:pPr>
        <w:pStyle w:val="ListNumber"/>
      </w:pPr>
      <w:r/>
      <w:r>
        <w:rPr>
          <w:b/>
        </w:rPr>
        <w:t>Bicarbonate : attention à l'apport sodé</w:t>
      </w:r>
      <w:r>
        <w:t xml:space="preserve"> : hypernatrémie, rétention hydrosodée, œdème pulmonaire chez le cardiaque. Insuffisant cardiaque = CI relative stricte.</w:t>
      </w:r>
    </w:p>
    <w:p>
      <w:pPr>
        <w:pStyle w:val="ListNumber"/>
      </w:pPr>
      <w:r/>
      <w:r>
        <w:rPr>
          <w:b/>
        </w:rPr>
        <w:t>Formes orales de bicarbonate NON disponibles en Algérie</w:t>
      </w:r>
      <w:r>
        <w:t xml:space="preserve"> : orienter le patient vers le néphrologue pour prescription de citrate de potassium (Mac-k) en pharmacie hospitalière, ou vers les mesures diététiques (eau alcaline, citron, fruits et légumes).</w:t>
      </w:r>
    </w:p>
    <w:p>
      <w:pPr>
        <w:pStyle w:val="ListNumber"/>
      </w:pPr>
      <w:r/>
      <w:r>
        <w:rPr>
          <w:b/>
        </w:rPr>
        <w:t>Substitution VESICARE 5 mg retiré → générique</w:t>
      </w:r>
      <w:r>
        <w:t xml:space="preserve"> : bascule immédiate vers un générique 5 mg (FENACARE, VENACINE, SOLIFETAB) en équivalence stricte. Anticiper le changement pour le patient stable.</w:t>
      </w:r>
    </w:p>
    <w:p>
      <w:pPr>
        <w:pStyle w:val="ListNumber"/>
      </w:pPr>
      <w:r/>
      <w:r>
        <w:rPr>
          <w:b/>
        </w:rPr>
        <w:t>Substitution NIBIOL retiré → générique</w:t>
      </w:r>
      <w:r>
        <w:t xml:space="preserve"> : bascule vers un générique équivalent (NABYOL FORTE, NAXIBIOL, NITROXAL). Équivalence stricte en 100 mg.</w:t>
      </w:r>
    </w:p>
    <w:p>
      <w:pPr>
        <w:pStyle w:val="ListNumber"/>
      </w:pPr>
      <w:r/>
      <w:r>
        <w:rPr>
          <w:b/>
        </w:rPr>
        <w:t>Analgésie vésicale — alternative non pharmacologique</w:t>
      </w:r>
      <w:r>
        <w:t xml:space="preserve"> : la rééducation périnéale (biofeedback, contraction musculaire volontaire, cônes vaginaux) est le traitement de première intention de l'hyperactivité vésicale et de l'incontinence d'effort. Le pharmacien d'officine peut orienter vers un kinésithérapeute spécialisé.</w:t>
      </w:r>
    </w:p>
    <w:p>
      <w:pPr>
        <w:pStyle w:val="ListNumber"/>
      </w:pPr>
      <w:r/>
      <w:r>
        <w:rPr>
          <w:b/>
        </w:rPr>
        <w:t>Hyperactivité vésicale réfractaire</w:t>
      </w:r>
      <w:r>
        <w:t xml:space="preserve"> : en cas d'échec des anticholinergiques, discuter en milieu urologique spécialisé : mirabégron (β3-agoniste, NON disponible en Algérie), toxine botulique intra-détrusorienne (usage hospitalier), neuromodulation sacrée (InterStim).</w:t>
      </w:r>
    </w:p>
    <w:p>
      <w:pPr>
        <w:pStyle w:val="ListNumber"/>
      </w:pPr>
      <w:r/>
      <w:r>
        <w:rPr>
          <w:b/>
        </w:rPr>
        <w:t>Patient sous oxybutynine/solifénacine avec ACB cumulé ≥ 3</w:t>
      </w:r>
      <w:r>
        <w:t xml:space="preserve"> : déprescrire en analysant l'ensemble du traitement (antidépresseurs tricycliques, antihistaminiques H1 1re génération, antiparkinsoniens atropiniques, antipsychotiques phénothiazines). Risque cognitif cumulatif majeur chez le sujet âgé.</w:t>
      </w:r>
    </w:p>
    <w:p>
      <w:pPr>
        <w:pStyle w:val="ListNumber"/>
      </w:pPr>
      <w:r/>
      <w:r>
        <w:rPr>
          <w:b/>
        </w:rPr>
        <w:t>Duloxétine pour IUE masculine post-prostatectomie</w:t>
      </w:r>
      <w:r>
        <w:t xml:space="preserve"> : pas d'AMM en Europe. Discuter en milieu urologique spécialisé (bandelette masculine, sphincter artificiel).</w:t>
      </w:r>
    </w:p>
    <w:p>
      <w:pPr>
        <w:pStyle w:val="ListNumber"/>
      </w:pPr>
      <w:r/>
      <w:r>
        <w:rPr>
          <w:b/>
        </w:rPr>
        <w:t>Incontinence urinaire féminine — distinguer HAV vs IUE</w:t>
      </w:r>
      <w:r>
        <w:t xml:space="preserve"> : avant tout traitement pharmacologique, évaluation clinique (calendrier mictionnel 3 jours, échelles ICIQ-SF / USP, manoeuvre de Bonney, test à la toux). Erreur diagnostique = erreur thérapeutique (anticholinergique inefficace sur l'IUE, duloxétine inefficace sur l'HAV).</w:t>
      </w:r>
    </w:p>
    <w:p>
      <w:pPr>
        <w:pStyle w:val="Heading2"/>
      </w:pPr>
      <w:r>
        <w:t>9. Conclusion du chapitre et continuité avec les chapitres 71 (HBP) et 72 (Dysfonction érectile)</w:t>
      </w:r>
    </w:p>
    <w:p>
      <w:r>
        <w:t xml:space="preserve">Le présent chapitre 73 clôt le panorama urologique de l'adulte abordé dans le Fascicule VIII en traitant la composante </w:t>
      </w:r>
      <w:r>
        <w:rPr>
          <w:b/>
        </w:rPr>
        <w:t>vésico-sphinctérienne</w:t>
      </w:r>
      <w:r>
        <w:t xml:space="preserve"> (stockage/vidange de l'urine), complétant ainsi les chapitres 71 et 72 qui couvraient respectivement la composante </w:t>
      </w:r>
      <w:r>
        <w:rPr>
          <w:b/>
        </w:rPr>
        <w:t>prostatique obstructive</w:t>
      </w:r>
      <w:r>
        <w:t xml:space="preserve"> (HBP — alpha-1-bloquants et inhibiteurs de la 5-alpha-réductase) et la composante </w:t>
      </w:r>
      <w:r>
        <w:rPr>
          <w:b/>
        </w:rPr>
        <w:t>vasculaire érectile</w:t>
      </w:r>
      <w:r>
        <w:t xml:space="preserve"> (dysfonction érectile — inhibiteurs de la PDE5).</w:t>
      </w:r>
    </w:p>
    <w:p>
      <w:r>
        <w:t xml:space="preserve">Les </w:t>
      </w:r>
      <w:r>
        <w:rPr>
          <w:b/>
        </w:rPr>
        <w:t>anticholinergiques M3</w:t>
      </w:r>
      <w:r>
        <w:t xml:space="preserve"> (oxybutynine, solifénacine) représentent le traitement pharmacologique de référence de l'</w:t>
      </w:r>
      <w:r>
        <w:rPr>
          <w:b/>
        </w:rPr>
        <w:t>hyperactivité vésicale</w:t>
      </w:r>
      <w:r>
        <w:t xml:space="preserve"> idiopathique ou neurogène — par blocage compétitif des récepteurs M3 du détrusor et inhibition de la cascade Gq/PLC/IP3/Ca2+/MLCK responsable de la contraction vésicale involontaire. Le choix entre les deux molécules se fait selon le profil du patient : solifénacine (sélectivité M3/M2 supérieure, substrat P-gp, faible passage BBB, ACB=2) chez le sujet âgé cognitivement vulnérable ; oxybutynine (amine tertiaire liposoluble, fort passage BBB, ACB=3) chez le sujet jeune sans trouble cognitif et à HAV invalidante. La posologie est initiée à la dose minimale efficace, titrée selon la tolérance, et le traitement est au long cours avec réévaluation annuelle. Les pièges majeurs sont les </w:t>
      </w:r>
      <w:r>
        <w:rPr>
          <w:b/>
        </w:rPr>
        <w:t>troubles cognitifs du sujet âgé sous oxybutynine</w:t>
      </w:r>
      <w:r>
        <w:t xml:space="preserve"> (arrêt immédiat, relais par alternative), le </w:t>
      </w:r>
      <w:r>
        <w:rPr>
          <w:b/>
        </w:rPr>
        <w:t>glaucome à angle fermé méconnu</w:t>
      </w:r>
      <w:r>
        <w:t xml:space="preserve"> (urgence ophtalmologique), et la </w:t>
      </w:r>
      <w:r>
        <w:rPr>
          <w:b/>
        </w:rPr>
        <w:t>rétention aiguë chez l'homme avec HBP non diagnostiquée</w:t>
      </w:r>
      <w:r>
        <w:t xml:space="preserve"> (interrogatoire + débitmétrie systématique).</w:t>
      </w:r>
    </w:p>
    <w:p>
      <w:r>
        <w:t xml:space="preserve">La </w:t>
      </w:r>
      <w:r>
        <w:rPr>
          <w:b/>
        </w:rPr>
        <w:t>duloxétine</w:t>
      </w:r>
      <w:r>
        <w:t xml:space="preserve"> (IRSN) est la seule molécule disposant d'une AMM spécifique dans l'</w:t>
      </w:r>
      <w:r>
        <w:rPr>
          <w:b/>
        </w:rPr>
        <w:t>incontinence urinaire d'effort féminine</w:t>
      </w:r>
      <w:r>
        <w:t xml:space="preserve"> — par inhibition de la recapture de la 5-HT et de la NA au niveau des motoneurones du noyau d'Onuf (S2-S4), renforçant le tonus sphinctérien urétral strié. Elle n'est pas un traitement de première ligne (rééducation périnéale, puis chirurgie en cas d'échec), mais une alternative pour les femmes refusant ou contre-indiquées pour la chirurgie. Les pièges majeurs sont le </w:t>
      </w:r>
      <w:r>
        <w:rPr>
          <w:b/>
        </w:rPr>
        <w:t>syndrome sérotoninergique en association avec IMAO ou autres sérotoninergiques</w:t>
      </w:r>
      <w:r>
        <w:t xml:space="preserve"> (CI absolue, wash-out strict), le </w:t>
      </w:r>
      <w:r>
        <w:rPr>
          <w:b/>
        </w:rPr>
        <w:t>syndrome de sevrage à l'arrêt brutal</w:t>
      </w:r>
      <w:r>
        <w:t xml:space="preserve"> (décroissance progressive indispensable), l'</w:t>
      </w:r>
      <w:r>
        <w:rPr>
          <w:b/>
        </w:rPr>
        <w:t>hypertension artérielle</w:t>
      </w:r>
      <w:r>
        <w:t xml:space="preserve"> (effet NA dose-dépendant), et la </w:t>
      </w:r>
      <w:r>
        <w:rPr>
          <w:b/>
        </w:rPr>
        <w:t>CI au 3e trimestre de grossesse</w:t>
      </w:r>
      <w:r>
        <w:t xml:space="preserve"> (syndrome de sevrage néonatal).</w:t>
      </w:r>
    </w:p>
    <w:p>
      <w:r>
        <w:t xml:space="preserve">La </w:t>
      </w:r>
      <w:r>
        <w:rPr>
          <w:b/>
        </w:rPr>
        <w:t>nitroxoline</w:t>
      </w:r>
      <w:r>
        <w:t xml:space="preserve"> (hydroxyquinoléine antiseptique urinaire) représente une alternative de 2e intention dans le traitement court (7-14 jours MAXIMUM) des </w:t>
      </w:r>
      <w:r>
        <w:rPr>
          <w:b/>
        </w:rPr>
        <w:t>infections urinaires basses non compliquées</w:t>
      </w:r>
      <w:r>
        <w:t xml:space="preserve"> de la femme adulte non enceinte, par chélation des ions métalliques essentiels aux métallo-enzymes bactériennes. Sa place est aujourd'hui marginale (recommandations EAU 2023 et HAS 2020 placent fosfomycine monodose et nitrofurantoïde 5 jours en 1re intention), mais elle conserve un intérêt écologique (pas de résistance croisée avec les antibiotiques systémiques) et en cas d'allergie aux β-lactamines. Les pièges majeurs sont la </w:t>
      </w:r>
      <w:r>
        <w:rPr>
          <w:b/>
        </w:rPr>
        <w:t>durée maximale stricte de 14 jours</w:t>
      </w:r>
      <w:r>
        <w:t xml:space="preserve"> (au-delà = neuropathies périphériques et optiques potentiellement irréversibles), la </w:t>
      </w:r>
      <w:r>
        <w:rPr>
          <w:b/>
        </w:rPr>
        <w:t>CI grossesse stricte</w:t>
      </w:r>
      <w:r>
        <w:t xml:space="preserve">, et la </w:t>
      </w:r>
      <w:r>
        <w:rPr>
          <w:b/>
        </w:rPr>
        <w:t>coloration jaune des urines</w:t>
      </w:r>
      <w:r>
        <w:t xml:space="preserve"> (à anticiper pour éviter l'inquiétude du patient).</w:t>
      </w:r>
    </w:p>
    <w:p>
      <w:r>
        <w:t xml:space="preserve">Le </w:t>
      </w:r>
      <w:r>
        <w:rPr>
          <w:b/>
        </w:rPr>
        <w:t>bicarbonate de sodium</w:t>
      </w:r>
      <w:r>
        <w:t xml:space="preserve"> injectable est utilisé en hospitalisation pour l'</w:t>
      </w:r>
      <w:r>
        <w:rPr>
          <w:b/>
        </w:rPr>
        <w:t>alcalinisation urinaire</w:t>
      </w:r>
      <w:r>
        <w:t xml:space="preserve"> (lithiase urique — pH cible 6,5-7,0), l'acidose métabolique sévère (réanimation), et l'intoxication par acides faibles (salicylés). Les formes orales ne sont pas disponibles en Algérie, ce qui impose l'orientation du patient ambulatoire vers le citrate de potassium (Mac-k) en pharmacie hospitalière. Les pièges majeurs sont le </w:t>
      </w:r>
      <w:r>
        <w:rPr>
          <w:b/>
        </w:rPr>
        <w:t>mélange avec le calcium dans la tubulure</w:t>
      </w:r>
      <w:r>
        <w:t xml:space="preserve"> (précipitation de CaCO3 — embolie cristalline), l'</w:t>
      </w:r>
      <w:r>
        <w:rPr>
          <w:b/>
        </w:rPr>
        <w:t>apport sodé massif</w:t>
      </w:r>
      <w:r>
        <w:t xml:space="preserve"> (hypernatrémie, surcharge volémique chez le cardiaque), l'</w:t>
      </w:r>
      <w:r>
        <w:rPr>
          <w:b/>
        </w:rPr>
        <w:t>alcalose métabolique induite</w:t>
      </w:r>
      <w:r>
        <w:t xml:space="preserve"> (hypokaliémie, hypocalcémie, hypoventilation compensatrice), et l'</w:t>
      </w:r>
      <w:r>
        <w:rPr>
          <w:b/>
        </w:rPr>
        <w:t>extravasation nécrosante</w:t>
      </w:r>
      <w:r>
        <w:t xml:space="preserve"> de la forme 8,4 % hypertonique (voie veineuse centrale de préférence).</w:t>
      </w:r>
    </w:p>
    <w:p>
      <w:r>
        <w:t xml:space="preserve">L'ensemble de ces molécules souligne l'importance d'une </w:t>
      </w:r>
      <w:r>
        <w:rPr>
          <w:b/>
        </w:rPr>
        <w:t>évaluation clinique rigoureuse</w:t>
      </w:r>
      <w:r>
        <w:t xml:space="preserve"> avant prescription (calendrier mictionnel, échelles validées, débitmétrie, bilan biologique), d'une </w:t>
      </w:r>
      <w:r>
        <w:rPr>
          <w:b/>
        </w:rPr>
        <w:t>information patient adaptée</w:t>
      </w:r>
      <w:r>
        <w:t xml:space="preserve"> (durée de traitement, surveillance des effets indésirables, signes d'alerte), et d'une </w:t>
      </w:r>
      <w:r>
        <w:rPr>
          <w:b/>
        </w:rPr>
        <w:t>coordination multidisciplinaire</w:t>
      </w:r>
      <w:r>
        <w:t xml:space="preserve"> entre médecin généraliste, urologue, gynécologue, néphrologue, pharmacien d'officine et pharmacien hospitalier. Le pharmacien d'officine joue un rôle clé dans le dépistage des </w:t>
      </w:r>
      <w:r>
        <w:rPr>
          <w:b/>
        </w:rPr>
        <w:t>interactions médicamenteuses</w:t>
      </w:r>
      <w:r>
        <w:t xml:space="preserve">, la </w:t>
      </w:r>
      <w:r>
        <w:rPr>
          <w:b/>
        </w:rPr>
        <w:t>surveillance de l'observance</w:t>
      </w:r>
      <w:r>
        <w:t xml:space="preserve"> et des </w:t>
      </w:r>
      <w:r>
        <w:rPr>
          <w:b/>
        </w:rPr>
        <w:t>effets indésirables</w:t>
      </w:r>
      <w:r>
        <w:t>, l'</w:t>
      </w:r>
      <w:r>
        <w:rPr>
          <w:b/>
        </w:rPr>
        <w:t>éducation thérapeutique</w:t>
      </w:r>
      <w:r>
        <w:t xml:space="preserve"> du patient (calendrier mictionnel, hygiène de vie, rééducation périnéale), et l'</w:t>
      </w:r>
      <w:r>
        <w:rPr>
          <w:b/>
        </w:rPr>
        <w:t>orientation</w:t>
      </w:r>
      <w:r>
        <w:t xml:space="preserve"> vers le spécialiste approprié en cas de besoin.</w:t>
      </w:r>
    </w:p>
    <w:p>
      <w:r>
        <w:t>Sources documentaires : VIDAL 2026, ANSM (RCP solifénacine, duloxétine, oxybutynine), Thériaque, CRAT (Centre de Renseignement sur les Agents Téragènes — dossiers oxybutynine, solifénacine, duloxétine, nitroxoline, bicarbonate), LactMed, EAU Guidelines 2023 (Incontinence urinaire, Lithiase urinaire), AFU (Association Française d'Urologie) — Recommandations 2018 (Incontinence urinaire féminine), HAS (Fiche Bon Usage — Hyperactivité vésicale 2018, Fiche Bon Usage — Incontinence urinaire d'effort 2018, Fiche Mémo — Cystite aiguë 2020), Cochrane Reviews (Anticholinergiques pour HAV — 2017 ; Duloxétine pour IUE — 2019 ; Nitroxoline pour infection urinaire — 2018 ; Alcalinisants pour lithiase urique — 2018), UpToDate (Hyperactivité vésicale, Incontinence urinaire d'effort féminine, Cystite aiguë, Lithiase urique), liste de Beers 2019 (American Geriatrics Society), Micromedex, BMJ Best Practice, EMA RCP (Vesicare, Cymbalta, Ditropan, Nibiol), nomenclature algérienne des médicaments (COMPLETE LISTE Avril 2026).</w:t>
      </w:r>
    </w:p>
    <w:p>
      <w:r/>
      <w:r>
        <w:rPr>
          <w:i/>
        </w:rPr>
        <w:t>Fin du Chapitre 73 — Incontinence urinaire et troubles vésicaux</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Urologie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