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47D1" w:rsidRPr="003747D1" w:rsidRDefault="003747D1" w:rsidP="00374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</w:pPr>
      <w:r w:rsidRPr="003747D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Initial Post</w:t>
      </w:r>
    </w:p>
    <w:p w:rsidR="003747D1" w:rsidRPr="003747D1" w:rsidRDefault="003747D1" w:rsidP="003747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bookmarkStart w:id="0" w:name="_GoBack"/>
      <w:r w:rsidRPr="003747D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Agent Communication Languages (ACLs), such as KQML (Knowledge Query and Manipulation Language), play a significant role in enabling communication between intelligent agents in distributed systems. One of the main advantages of ACLs is their ability to support </w:t>
      </w:r>
      <w:r w:rsidRPr="003747D1">
        <w:rPr>
          <w:rFonts w:ascii="Times New Roman" w:eastAsia="Times New Roman" w:hAnsi="Times New Roman" w:cs="Times New Roman"/>
          <w:bCs/>
          <w:sz w:val="24"/>
          <w:szCs w:val="24"/>
          <w:lang w:val="en-PK" w:eastAsia="en-PK"/>
        </w:rPr>
        <w:t>high-level, flexible communication</w:t>
      </w:r>
      <w:r w:rsidRPr="003747D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between heterogeneous agents. Unlike traditional programming methods, ACLs allow agents to exchange knowledge, intentions, and queries in a structured and standardized way, making them highly suitable for complex and dynamic environments </w:t>
      </w:r>
      <w:sdt>
        <w:sdtPr>
          <w:rPr>
            <w:rFonts w:ascii="Times New Roman" w:eastAsia="Times New Roman" w:hAnsi="Times New Roman" w:cs="Times New Roman"/>
            <w:sz w:val="24"/>
            <w:szCs w:val="24"/>
            <w:lang w:val="en-PK" w:eastAsia="en-PK"/>
          </w:rPr>
          <w:id w:val="-395819465"/>
          <w:citation/>
        </w:sdtPr>
        <w:sdtContent>
          <w:r w:rsidR="007F55D2"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fldChar w:fldCharType="begin"/>
          </w:r>
          <w:r w:rsidR="007F55D2">
            <w:rPr>
              <w:rFonts w:ascii="Times New Roman" w:eastAsia="Times New Roman" w:hAnsi="Times New Roman" w:cs="Times New Roman"/>
              <w:sz w:val="24"/>
              <w:szCs w:val="24"/>
              <w:lang w:val="en-US" w:eastAsia="en-PK"/>
            </w:rPr>
            <w:instrText xml:space="preserve"> CITATION Fin97 \l 1033 </w:instrText>
          </w:r>
          <w:r w:rsidR="007F55D2"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fldChar w:fldCharType="separate"/>
          </w:r>
          <w:r w:rsidR="007F55D2" w:rsidRPr="007F55D2">
            <w:rPr>
              <w:rFonts w:ascii="Times New Roman" w:eastAsia="Times New Roman" w:hAnsi="Times New Roman" w:cs="Times New Roman"/>
              <w:noProof/>
              <w:sz w:val="24"/>
              <w:szCs w:val="24"/>
              <w:lang w:val="en-US" w:eastAsia="en-PK"/>
            </w:rPr>
            <w:t>(Finin, Labrou, and Mayfield, 1997)</w:t>
          </w:r>
          <w:r w:rsidR="007F55D2"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fldChar w:fldCharType="end"/>
          </w:r>
        </w:sdtContent>
      </w:sdt>
      <w:r w:rsidR="007F55D2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.</w:t>
      </w:r>
    </w:p>
    <w:p w:rsidR="003747D1" w:rsidRPr="003747D1" w:rsidRDefault="003747D1" w:rsidP="003747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 w:rsidRPr="003747D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Another important advantage is </w:t>
      </w:r>
      <w:r w:rsidRPr="003747D1">
        <w:rPr>
          <w:rFonts w:ascii="Times New Roman" w:eastAsia="Times New Roman" w:hAnsi="Times New Roman" w:cs="Times New Roman"/>
          <w:bCs/>
          <w:sz w:val="24"/>
          <w:szCs w:val="24"/>
          <w:lang w:val="en-PK" w:eastAsia="en-PK"/>
        </w:rPr>
        <w:t>interoperability</w:t>
      </w:r>
      <w:r w:rsidRPr="003747D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 Agents developed using different programming languages or platforms can communicate effectively through a shared communication protocol like KQML. In addition, ACLs use performatives to clearly express the intention behind each message, which improves coordination and understanding among agents</w:t>
      </w:r>
      <w:r w:rsidR="007F55D2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sdt>
        <w:sdtPr>
          <w:rPr>
            <w:rFonts w:ascii="Times New Roman" w:eastAsia="Times New Roman" w:hAnsi="Times New Roman" w:cs="Times New Roman"/>
            <w:sz w:val="24"/>
            <w:szCs w:val="24"/>
            <w:lang w:val="en-US" w:eastAsia="en-PK"/>
          </w:rPr>
          <w:id w:val="409268171"/>
          <w:citation/>
        </w:sdtPr>
        <w:sdtContent>
          <w:r w:rsidR="007F55D2">
            <w:rPr>
              <w:rFonts w:ascii="Times New Roman" w:eastAsia="Times New Roman" w:hAnsi="Times New Roman" w:cs="Times New Roman"/>
              <w:sz w:val="24"/>
              <w:szCs w:val="24"/>
              <w:lang w:val="en-US" w:eastAsia="en-PK"/>
            </w:rPr>
            <w:fldChar w:fldCharType="begin"/>
          </w:r>
          <w:r w:rsidR="007F55D2">
            <w:rPr>
              <w:rFonts w:ascii="Times New Roman" w:eastAsia="Times New Roman" w:hAnsi="Times New Roman" w:cs="Times New Roman"/>
              <w:sz w:val="24"/>
              <w:szCs w:val="24"/>
              <w:lang w:val="en-US" w:eastAsia="en-PK"/>
            </w:rPr>
            <w:instrText xml:space="preserve"> CITATION Woo09 \l 1033 </w:instrText>
          </w:r>
          <w:r w:rsidR="007F55D2">
            <w:rPr>
              <w:rFonts w:ascii="Times New Roman" w:eastAsia="Times New Roman" w:hAnsi="Times New Roman" w:cs="Times New Roman"/>
              <w:sz w:val="24"/>
              <w:szCs w:val="24"/>
              <w:lang w:val="en-US" w:eastAsia="en-PK"/>
            </w:rPr>
            <w:fldChar w:fldCharType="separate"/>
          </w:r>
          <w:r w:rsidR="007F55D2" w:rsidRPr="007F55D2">
            <w:rPr>
              <w:rFonts w:ascii="Times New Roman" w:eastAsia="Times New Roman" w:hAnsi="Times New Roman" w:cs="Times New Roman"/>
              <w:noProof/>
              <w:sz w:val="24"/>
              <w:szCs w:val="24"/>
              <w:lang w:val="en-US" w:eastAsia="en-PK"/>
            </w:rPr>
            <w:t>(Wooldridge, 2009)</w:t>
          </w:r>
          <w:r w:rsidR="007F55D2">
            <w:rPr>
              <w:rFonts w:ascii="Times New Roman" w:eastAsia="Times New Roman" w:hAnsi="Times New Roman" w:cs="Times New Roman"/>
              <w:sz w:val="24"/>
              <w:szCs w:val="24"/>
              <w:lang w:val="en-US" w:eastAsia="en-PK"/>
            </w:rPr>
            <w:fldChar w:fldCharType="end"/>
          </w:r>
        </w:sdtContent>
      </w:sdt>
      <w:r w:rsidR="007F55D2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.</w:t>
      </w:r>
    </w:p>
    <w:p w:rsidR="003747D1" w:rsidRPr="003747D1" w:rsidRDefault="003747D1" w:rsidP="003747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 w:rsidRPr="003747D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Despite these benefits, ACLs also have some disadvantages. One major limitation is their </w:t>
      </w:r>
      <w:r w:rsidRPr="003747D1">
        <w:rPr>
          <w:rFonts w:ascii="Times New Roman" w:eastAsia="Times New Roman" w:hAnsi="Times New Roman" w:cs="Times New Roman"/>
          <w:bCs/>
          <w:sz w:val="24"/>
          <w:szCs w:val="24"/>
          <w:lang w:val="en-PK" w:eastAsia="en-PK"/>
        </w:rPr>
        <w:t>complexity and overhead</w:t>
      </w:r>
      <w:r w:rsidRPr="003747D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 Developers must understand both the communication language and the underlying knowledge representation, such as KIF, which increases development effort. Moreover, ACL-based communication can introduce performance overhead compared to more direct communication techniques</w:t>
      </w:r>
      <w:r w:rsidR="00027B03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sdt>
        <w:sdtPr>
          <w:rPr>
            <w:rFonts w:ascii="Times New Roman" w:eastAsia="Times New Roman" w:hAnsi="Times New Roman" w:cs="Times New Roman"/>
            <w:sz w:val="24"/>
            <w:szCs w:val="24"/>
            <w:lang w:val="en-US" w:eastAsia="en-PK"/>
          </w:rPr>
          <w:id w:val="-507528363"/>
          <w:citation/>
        </w:sdtPr>
        <w:sdtContent>
          <w:r w:rsidR="00027B03">
            <w:rPr>
              <w:rFonts w:ascii="Times New Roman" w:eastAsia="Times New Roman" w:hAnsi="Times New Roman" w:cs="Times New Roman"/>
              <w:sz w:val="24"/>
              <w:szCs w:val="24"/>
              <w:lang w:val="en-US" w:eastAsia="en-PK"/>
            </w:rPr>
            <w:fldChar w:fldCharType="begin"/>
          </w:r>
          <w:r w:rsidR="00027B03">
            <w:rPr>
              <w:rFonts w:ascii="Times New Roman" w:eastAsia="Times New Roman" w:hAnsi="Times New Roman" w:cs="Times New Roman"/>
              <w:sz w:val="24"/>
              <w:szCs w:val="24"/>
              <w:lang w:val="en-US" w:eastAsia="en-PK"/>
            </w:rPr>
            <w:instrText xml:space="preserve"> CITATION Fin97 \l 1033 </w:instrText>
          </w:r>
          <w:r w:rsidR="00027B03">
            <w:rPr>
              <w:rFonts w:ascii="Times New Roman" w:eastAsia="Times New Roman" w:hAnsi="Times New Roman" w:cs="Times New Roman"/>
              <w:sz w:val="24"/>
              <w:szCs w:val="24"/>
              <w:lang w:val="en-US" w:eastAsia="en-PK"/>
            </w:rPr>
            <w:fldChar w:fldCharType="separate"/>
          </w:r>
          <w:r w:rsidR="00027B03" w:rsidRPr="00027B03">
            <w:rPr>
              <w:rFonts w:ascii="Times New Roman" w:eastAsia="Times New Roman" w:hAnsi="Times New Roman" w:cs="Times New Roman"/>
              <w:noProof/>
              <w:sz w:val="24"/>
              <w:szCs w:val="24"/>
              <w:lang w:val="en-US" w:eastAsia="en-PK"/>
            </w:rPr>
            <w:t>(Finin, Labrou, and Mayfield, 1997)</w:t>
          </w:r>
          <w:r w:rsidR="00027B03">
            <w:rPr>
              <w:rFonts w:ascii="Times New Roman" w:eastAsia="Times New Roman" w:hAnsi="Times New Roman" w:cs="Times New Roman"/>
              <w:sz w:val="24"/>
              <w:szCs w:val="24"/>
              <w:lang w:val="en-US" w:eastAsia="en-PK"/>
            </w:rPr>
            <w:fldChar w:fldCharType="end"/>
          </w:r>
        </w:sdtContent>
      </w:sdt>
      <w:r w:rsidR="00027B03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.</w:t>
      </w:r>
    </w:p>
    <w:p w:rsidR="003747D1" w:rsidRPr="003747D1" w:rsidRDefault="003747D1" w:rsidP="003747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 w:rsidRPr="003747D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 contrast, </w:t>
      </w:r>
      <w:r w:rsidRPr="003747D1">
        <w:rPr>
          <w:rFonts w:ascii="Times New Roman" w:eastAsia="Times New Roman" w:hAnsi="Times New Roman" w:cs="Times New Roman"/>
          <w:bCs/>
          <w:sz w:val="24"/>
          <w:szCs w:val="24"/>
          <w:lang w:val="en-PK" w:eastAsia="en-PK"/>
        </w:rPr>
        <w:t>method invocation in Python or Java</w:t>
      </w:r>
      <w:r w:rsidRPr="003747D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is simpler and more efficient for tightly coupled systems. Method calls are fast and straightforward, as they involve direct execution of functions within a program. However, they lack the flexibility and semantic richness of ACLs, as they do not support autonomous, distributed communication or the exchange of intentions between independent agents </w:t>
      </w:r>
      <w:sdt>
        <w:sdtPr>
          <w:rPr>
            <w:rFonts w:ascii="Times New Roman" w:eastAsia="Times New Roman" w:hAnsi="Times New Roman" w:cs="Times New Roman"/>
            <w:sz w:val="24"/>
            <w:szCs w:val="24"/>
            <w:lang w:val="en-PK" w:eastAsia="en-PK"/>
          </w:rPr>
          <w:id w:val="447364240"/>
          <w:citation/>
        </w:sdtPr>
        <w:sdtContent>
          <w:r w:rsidR="00027B03"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fldChar w:fldCharType="begin"/>
          </w:r>
          <w:r w:rsidR="00027B03">
            <w:rPr>
              <w:rFonts w:ascii="Times New Roman" w:eastAsia="Times New Roman" w:hAnsi="Times New Roman" w:cs="Times New Roman"/>
              <w:sz w:val="24"/>
              <w:szCs w:val="24"/>
              <w:lang w:val="en-US" w:eastAsia="en-PK"/>
            </w:rPr>
            <w:instrText xml:space="preserve"> CITATION Woo09 \l 1033 </w:instrText>
          </w:r>
          <w:r w:rsidR="00027B03"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fldChar w:fldCharType="separate"/>
          </w:r>
          <w:r w:rsidR="00027B03" w:rsidRPr="00027B03">
            <w:rPr>
              <w:rFonts w:ascii="Times New Roman" w:eastAsia="Times New Roman" w:hAnsi="Times New Roman" w:cs="Times New Roman"/>
              <w:noProof/>
              <w:sz w:val="24"/>
              <w:szCs w:val="24"/>
              <w:lang w:val="en-US" w:eastAsia="en-PK"/>
            </w:rPr>
            <w:t>(Wooldridge, 2009)</w:t>
          </w:r>
          <w:r w:rsidR="00027B03"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fldChar w:fldCharType="end"/>
          </w:r>
        </w:sdtContent>
      </w:sdt>
      <w:r w:rsidR="00027B03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.</w:t>
      </w:r>
    </w:p>
    <w:p w:rsidR="003747D1" w:rsidRPr="003747D1" w:rsidRDefault="003747D1" w:rsidP="003747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747D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conclusion, while method invocation is more efficient for traditional software development, ACLs such as KQML are better suited for intelligent, distributed systems where flexibility, interoperability, and meaningful communication are essential.</w:t>
      </w:r>
    </w:p>
    <w:p w:rsidR="003747D1" w:rsidRPr="003747D1" w:rsidRDefault="003747D1" w:rsidP="00374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:rsidR="003747D1" w:rsidRPr="003747D1" w:rsidRDefault="003747D1" w:rsidP="00374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</w:pPr>
      <w:r w:rsidRPr="003747D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References </w:t>
      </w:r>
    </w:p>
    <w:p w:rsidR="003747D1" w:rsidRPr="003747D1" w:rsidRDefault="003747D1" w:rsidP="0037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747D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Finin</w:t>
      </w:r>
      <w:proofErr w:type="spellEnd"/>
      <w:r w:rsidRPr="003747D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T., </w:t>
      </w:r>
      <w:proofErr w:type="spellStart"/>
      <w:r w:rsidRPr="003747D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Labrou</w:t>
      </w:r>
      <w:proofErr w:type="spellEnd"/>
      <w:r w:rsidRPr="003747D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Y. and Mayfield, J. (1997) ‘KQML as an agent communication language’, </w:t>
      </w:r>
      <w:r w:rsidRPr="003747D1">
        <w:rPr>
          <w:rFonts w:ascii="Times New Roman" w:eastAsia="Times New Roman" w:hAnsi="Times New Roman" w:cs="Times New Roman"/>
          <w:i/>
          <w:iCs/>
          <w:sz w:val="24"/>
          <w:szCs w:val="24"/>
          <w:lang w:val="en-PK" w:eastAsia="en-PK"/>
        </w:rPr>
        <w:t>Software Agents</w:t>
      </w:r>
      <w:r w:rsidRPr="003747D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MIT Press, pp. 291–316.</w:t>
      </w:r>
    </w:p>
    <w:p w:rsidR="003747D1" w:rsidRPr="003747D1" w:rsidRDefault="003747D1" w:rsidP="0037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747D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Wooldridge, M. (2009) </w:t>
      </w:r>
      <w:r w:rsidRPr="003747D1">
        <w:rPr>
          <w:rFonts w:ascii="Times New Roman" w:eastAsia="Times New Roman" w:hAnsi="Times New Roman" w:cs="Times New Roman"/>
          <w:i/>
          <w:iCs/>
          <w:sz w:val="24"/>
          <w:szCs w:val="24"/>
          <w:lang w:val="en-PK" w:eastAsia="en-PK"/>
        </w:rPr>
        <w:t xml:space="preserve">An Introduction to </w:t>
      </w:r>
      <w:proofErr w:type="spellStart"/>
      <w:r w:rsidRPr="003747D1">
        <w:rPr>
          <w:rFonts w:ascii="Times New Roman" w:eastAsia="Times New Roman" w:hAnsi="Times New Roman" w:cs="Times New Roman"/>
          <w:i/>
          <w:iCs/>
          <w:sz w:val="24"/>
          <w:szCs w:val="24"/>
          <w:lang w:val="en-PK" w:eastAsia="en-PK"/>
        </w:rPr>
        <w:t>MultiAgent</w:t>
      </w:r>
      <w:proofErr w:type="spellEnd"/>
      <w:r w:rsidRPr="003747D1">
        <w:rPr>
          <w:rFonts w:ascii="Times New Roman" w:eastAsia="Times New Roman" w:hAnsi="Times New Roman" w:cs="Times New Roman"/>
          <w:i/>
          <w:iCs/>
          <w:sz w:val="24"/>
          <w:szCs w:val="24"/>
          <w:lang w:val="en-PK" w:eastAsia="en-PK"/>
        </w:rPr>
        <w:t xml:space="preserve"> Systems</w:t>
      </w:r>
      <w:r w:rsidRPr="003747D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. 2nd </w:t>
      </w:r>
      <w:proofErr w:type="spellStart"/>
      <w:r w:rsidRPr="003747D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edn</w:t>
      </w:r>
      <w:proofErr w:type="spellEnd"/>
      <w:r w:rsidRPr="003747D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 Chichester: Wiley.</w:t>
      </w:r>
    </w:p>
    <w:bookmarkEnd w:id="0"/>
    <w:p w:rsidR="007D78AB" w:rsidRPr="003747D1" w:rsidRDefault="007D78AB">
      <w:pPr>
        <w:rPr>
          <w:sz w:val="24"/>
          <w:szCs w:val="24"/>
        </w:rPr>
      </w:pPr>
    </w:p>
    <w:sectPr w:rsidR="007D78AB" w:rsidRPr="00374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B2B"/>
    <w:rsid w:val="00027B03"/>
    <w:rsid w:val="003747D1"/>
    <w:rsid w:val="007D78AB"/>
    <w:rsid w:val="007F55D2"/>
    <w:rsid w:val="00A9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C0170"/>
  <w15:chartTrackingRefBased/>
  <w15:docId w15:val="{2138F677-72A2-4570-8C70-EA8EEBD0D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47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47D1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374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3747D1"/>
    <w:rPr>
      <w:b/>
      <w:bCs/>
    </w:rPr>
  </w:style>
  <w:style w:type="character" w:styleId="Emphasis">
    <w:name w:val="Emphasis"/>
    <w:basedOn w:val="DefaultParagraphFont"/>
    <w:uiPriority w:val="20"/>
    <w:qFormat/>
    <w:rsid w:val="003747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7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Fin97</b:Tag>
    <b:SourceType>Book</b:SourceType>
    <b:Guid>{E46E9E3D-2BD2-4394-B1CC-B07BC5E7BCDD}</b:Guid>
    <b:Author>
      <b:Author>
        <b:Corporate>Finin, Labrou, and Mayfield</b:Corporate>
      </b:Author>
    </b:Author>
    <b:Title>KQML as an agent communication language’, Software Agents,</b:Title>
    <b:Year>1997</b:Year>
    <b:RefOrder>1</b:RefOrder>
  </b:Source>
  <b:Source>
    <b:Tag>Woo09</b:Tag>
    <b:SourceType>Book</b:SourceType>
    <b:Guid>{791819E2-6310-4344-9A03-14B293A0AB4D}</b:Guid>
    <b:Author>
      <b:Author>
        <b:NameList>
          <b:Person>
            <b:Last>Wooldridge</b:Last>
          </b:Person>
        </b:NameList>
      </b:Author>
    </b:Author>
    <b:Title>An Introduction to MultiAgent Systems. 2nd edn.</b:Title>
    <b:Year>2009</b:Year>
    <b:RefOrder>2</b:RefOrder>
  </b:Source>
</b:Sources>
</file>

<file path=customXml/itemProps1.xml><?xml version="1.0" encoding="utf-8"?>
<ds:datastoreItem xmlns:ds="http://schemas.openxmlformats.org/officeDocument/2006/customXml" ds:itemID="{6CE868F3-161B-410F-A562-5464461CF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2026-04-17T08:27:00Z</dcterms:created>
  <dcterms:modified xsi:type="dcterms:W3CDTF">2026-04-17T08:36:00Z</dcterms:modified>
</cp:coreProperties>
</file>