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lean"/>
        <w:keepNext w:val="0"/>
        <w:jc w:val="left"/>
      </w:pPr>
      <w:r>
        <w:t>Final Project Requirements</w:t>
      </w:r>
    </w:p>
    <w:p>
      <w:pPr>
        <w:pStyle w:val="SubtitleClean"/>
        <w:keepNext w:val="0"/>
      </w:pPr>
      <w:r>
        <w:t>Experimentation, A/B Testing &amp; Causal Inference</w:t>
      </w:r>
    </w:p>
    <w:tbl>
      <w:tblPr>
        <w:tblW w:type="auto" w:w="0"/>
        <w:tblLayout w:type="autofit"/>
        <w:tblLook w:firstColumn="1" w:firstRow="1" w:lastColumn="0" w:lastRow="0" w:noHBand="0" w:noVBand="1" w:val="04A0"/>
      </w:tblPr>
      <w:tblGrid>
        <w:gridCol w:w="10080"/>
      </w:tblGrid>
      <w:tr>
        <w:tc>
          <w:tcPr>
            <w:tcW w:type="dxa" w:w="10080"/>
            <w:shd w:fill="2F75B5"/>
          </w:tcPr>
          <w:p>
            <w:r/>
          </w:p>
        </w:tc>
      </w:tr>
    </w:tbl>
    <w:p>
      <w:pPr>
        <w:keepNext w:val="0"/>
        <w:spacing w:after="40"/>
      </w:pPr>
    </w:p>
    <w:p>
      <w:pPr>
        <w:pStyle w:val="BodyClean"/>
        <w:keepNext w:val="0"/>
      </w:pPr>
      <w:r>
        <w:rPr>
          <w:b/>
        </w:rPr>
        <w:t xml:space="preserve">Project format: </w:t>
      </w:r>
      <w:r>
        <w:t>Students may choose the provided scenario or a simple scenario of their own.</w:t>
      </w:r>
    </w:p>
    <w:p>
      <w:pPr>
        <w:pStyle w:val="SectionClean"/>
        <w:keepNext w:val="0"/>
      </w:pPr>
      <w:r>
        <w:t>1. Problem Definition</w:t>
      </w:r>
    </w:p>
    <w:tbl>
      <w:tblPr>
        <w:tblW w:type="auto" w:w="0"/>
        <w:jc w:val="center"/>
        <w:tblLayout w:type="autofit"/>
        <w:tblLook w:firstColumn="1" w:firstRow="1" w:lastColumn="0" w:lastRow="0" w:noHBand="0" w:noVBand="1" w:val="04A0"/>
      </w:tblPr>
      <w:tblGrid>
        <w:gridCol w:w="10080"/>
      </w:tblGrid>
      <w:tr>
        <w:tc>
          <w:tcPr>
            <w:tcW w:type="dxa" w:w="10080"/>
            <w:shd w:fill="EEF4FA"/>
            <w:vAlign w:val="center"/>
          </w:tcPr>
          <w:p>
            <w:pPr>
              <w:spacing w:after="40"/>
              <w:ind w:left="173" w:right="173"/>
            </w:pPr>
            <w:r/>
            <w:r>
              <w:rPr>
                <w:rFonts w:ascii="Aptos" w:hAnsi="Aptos"/>
                <w:b w:val="0"/>
                <w:color w:val="2F3742"/>
                <w:sz w:val="20"/>
              </w:rPr>
            </w:r>
            <w:r>
              <w:rPr>
                <w:rFonts w:ascii="Aptos" w:hAnsi="Aptos"/>
                <w:b/>
                <w:color w:val="17365D"/>
                <w:sz w:val="21"/>
              </w:rPr>
              <w:t>Scenario</w:t>
              <w:br/>
            </w:r>
            <w:r>
              <w:rPr>
                <w:rFonts w:ascii="Aptos" w:hAnsi="Aptos"/>
                <w:color w:val="2F3742"/>
                <w:sz w:val="20"/>
              </w:rPr>
              <w:t>An online learning platform wants to know whether a new landing page encourages more users to register.</w:t>
            </w:r>
          </w:p>
        </w:tc>
      </w:tr>
    </w:tbl>
    <w:p>
      <w:pPr>
        <w:keepNext w:val="0"/>
        <w:spacing w:after="20"/>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F5F8"/>
          </w:tcPr>
          <w:p>
            <w:pPr>
              <w:spacing w:after="0"/>
            </w:pPr>
            <w:r/>
            <w:r>
              <w:rPr>
                <w:rFonts w:ascii="Aptos" w:hAnsi="Aptos"/>
                <w:b/>
                <w:color w:val="17365D"/>
                <w:sz w:val="20"/>
              </w:rPr>
              <w:t>Hypothesis</w:t>
            </w:r>
          </w:p>
        </w:tc>
        <w:tc>
          <w:tcPr>
            <w:tcW w:type="dxa" w:w="5040"/>
            <w:vAlign w:val="center"/>
          </w:tcPr>
          <w:p>
            <w:pPr>
              <w:spacing w:after="0"/>
            </w:pPr>
            <w:r/>
            <w:r>
              <w:rPr>
                <w:rFonts w:ascii="Aptos" w:hAnsi="Aptos"/>
                <w:b w:val="0"/>
                <w:color w:val="2F3742"/>
                <w:sz w:val="20"/>
              </w:rPr>
              <w:t>Improving the online learning website with a new landing page will increase the registration rate.</w:t>
            </w:r>
          </w:p>
        </w:tc>
      </w:tr>
      <w:tr>
        <w:tc>
          <w:tcPr>
            <w:tcW w:type="dxa" w:w="5040"/>
            <w:vAlign w:val="center"/>
            <w:shd w:fill="F2F5F8"/>
          </w:tcPr>
          <w:p>
            <w:pPr>
              <w:spacing w:after="0"/>
            </w:pPr>
            <w:r/>
            <w:r>
              <w:rPr>
                <w:rFonts w:ascii="Aptos" w:hAnsi="Aptos"/>
                <w:b/>
                <w:color w:val="17365D"/>
                <w:sz w:val="20"/>
              </w:rPr>
              <w:t>Treatment</w:t>
            </w:r>
          </w:p>
        </w:tc>
        <w:tc>
          <w:tcPr>
            <w:tcW w:type="dxa" w:w="5040"/>
            <w:vAlign w:val="center"/>
          </w:tcPr>
          <w:p>
            <w:pPr>
              <w:spacing w:after="0"/>
            </w:pPr>
            <w:r/>
            <w:r>
              <w:rPr>
                <w:rFonts w:ascii="Aptos" w:hAnsi="Aptos"/>
                <w:b w:val="0"/>
                <w:color w:val="2F3742"/>
                <w:sz w:val="20"/>
              </w:rPr>
              <w:t>Users exposed to the new landing page version.</w:t>
            </w:r>
          </w:p>
        </w:tc>
      </w:tr>
      <w:tr>
        <w:tc>
          <w:tcPr>
            <w:tcW w:type="dxa" w:w="5040"/>
            <w:vAlign w:val="center"/>
            <w:shd w:fill="F2F5F8"/>
          </w:tcPr>
          <w:p>
            <w:pPr>
              <w:spacing w:after="0"/>
            </w:pPr>
            <w:r/>
            <w:r>
              <w:rPr>
                <w:rFonts w:ascii="Aptos" w:hAnsi="Aptos"/>
                <w:b/>
                <w:color w:val="17365D"/>
                <w:sz w:val="20"/>
              </w:rPr>
              <w:t>Control</w:t>
            </w:r>
          </w:p>
        </w:tc>
        <w:tc>
          <w:tcPr>
            <w:tcW w:type="dxa" w:w="5040"/>
            <w:vAlign w:val="center"/>
          </w:tcPr>
          <w:p>
            <w:pPr>
              <w:spacing w:after="0"/>
            </w:pPr>
            <w:r/>
            <w:r>
              <w:rPr>
                <w:rFonts w:ascii="Aptos" w:hAnsi="Aptos"/>
                <w:b w:val="0"/>
                <w:color w:val="2F3742"/>
                <w:sz w:val="20"/>
              </w:rPr>
              <w:t>Users exposed to the old landing page version.</w:t>
            </w:r>
          </w:p>
        </w:tc>
      </w:tr>
      <w:tr>
        <w:tc>
          <w:tcPr>
            <w:tcW w:type="dxa" w:w="5040"/>
            <w:vAlign w:val="center"/>
            <w:shd w:fill="F2F5F8"/>
          </w:tcPr>
          <w:p>
            <w:pPr>
              <w:spacing w:after="0"/>
            </w:pPr>
            <w:r/>
            <w:r>
              <w:rPr>
                <w:rFonts w:ascii="Aptos" w:hAnsi="Aptos"/>
                <w:b/>
                <w:color w:val="17365D"/>
                <w:sz w:val="20"/>
              </w:rPr>
              <w:t>Objective</w:t>
            </w:r>
          </w:p>
        </w:tc>
        <w:tc>
          <w:tcPr>
            <w:tcW w:type="dxa" w:w="5040"/>
            <w:vAlign w:val="center"/>
          </w:tcPr>
          <w:p>
            <w:pPr>
              <w:spacing w:after="0"/>
            </w:pPr>
            <w:r/>
            <w:r>
              <w:rPr>
                <w:rFonts w:ascii="Aptos" w:hAnsi="Aptos"/>
                <w:b w:val="0"/>
                <w:color w:val="2F3742"/>
                <w:sz w:val="20"/>
              </w:rPr>
              <w:t>Determine whether the new landing page increases registration.</w:t>
            </w:r>
          </w:p>
        </w:tc>
      </w:tr>
    </w:tbl>
    <w:p>
      <w:pPr>
        <w:pStyle w:val="SectionClean"/>
        <w:keepNext w:val="0"/>
      </w:pPr>
      <w:r>
        <w:t>2. Experiment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F5F8"/>
          </w:tcPr>
          <w:p>
            <w:pPr>
              <w:spacing w:after="0"/>
            </w:pPr>
            <w:r/>
            <w:r>
              <w:rPr>
                <w:rFonts w:ascii="Aptos" w:hAnsi="Aptos"/>
                <w:b/>
                <w:color w:val="17365D"/>
                <w:sz w:val="20"/>
              </w:rPr>
              <w:t>Primary metric (OEC)</w:t>
            </w:r>
          </w:p>
        </w:tc>
        <w:tc>
          <w:tcPr>
            <w:tcW w:type="dxa" w:w="5040"/>
            <w:vAlign w:val="center"/>
          </w:tcPr>
          <w:p>
            <w:pPr>
              <w:spacing w:after="0"/>
            </w:pPr>
            <w:r/>
            <w:r>
              <w:rPr>
                <w:rFonts w:ascii="Aptos" w:hAnsi="Aptos"/>
                <w:b w:val="0"/>
                <w:color w:val="2F3742"/>
                <w:sz w:val="20"/>
              </w:rPr>
              <w:t>Registration Rate</w:t>
            </w:r>
          </w:p>
        </w:tc>
      </w:tr>
      <w:tr>
        <w:tc>
          <w:tcPr>
            <w:tcW w:type="dxa" w:w="5040"/>
            <w:vAlign w:val="center"/>
            <w:shd w:fill="F2F5F8"/>
          </w:tcPr>
          <w:p>
            <w:pPr>
              <w:spacing w:after="0"/>
            </w:pPr>
            <w:r/>
            <w:r>
              <w:rPr>
                <w:rFonts w:ascii="Aptos" w:hAnsi="Aptos"/>
                <w:b/>
                <w:color w:val="17365D"/>
                <w:sz w:val="20"/>
              </w:rPr>
              <w:t>Guardrail metric</w:t>
            </w:r>
          </w:p>
        </w:tc>
        <w:tc>
          <w:tcPr>
            <w:tcW w:type="dxa" w:w="5040"/>
            <w:vAlign w:val="center"/>
          </w:tcPr>
          <w:p>
            <w:pPr>
              <w:spacing w:after="0"/>
            </w:pPr>
            <w:r/>
            <w:r>
              <w:rPr>
                <w:rFonts w:ascii="Aptos" w:hAnsi="Aptos"/>
                <w:b w:val="0"/>
                <w:color w:val="2F3742"/>
                <w:sz w:val="20"/>
              </w:rPr>
              <w:t>Page Load Time</w:t>
            </w:r>
          </w:p>
        </w:tc>
      </w:tr>
      <w:tr>
        <w:tc>
          <w:tcPr>
            <w:tcW w:type="dxa" w:w="5040"/>
            <w:vAlign w:val="center"/>
            <w:shd w:fill="F2F5F8"/>
          </w:tcPr>
          <w:p>
            <w:pPr>
              <w:spacing w:after="0"/>
            </w:pPr>
            <w:r/>
            <w:r>
              <w:rPr>
                <w:rFonts w:ascii="Aptos" w:hAnsi="Aptos"/>
                <w:b/>
                <w:color w:val="17365D"/>
                <w:sz w:val="20"/>
              </w:rPr>
              <w:t>User Assignment</w:t>
            </w:r>
          </w:p>
        </w:tc>
        <w:tc>
          <w:tcPr>
            <w:tcW w:type="dxa" w:w="5040"/>
            <w:vAlign w:val="center"/>
          </w:tcPr>
          <w:p>
            <w:pPr>
              <w:spacing w:after="0"/>
            </w:pPr>
            <w:r/>
            <w:r>
              <w:rPr>
                <w:rFonts w:ascii="Aptos" w:hAnsi="Aptos"/>
                <w:b w:val="0"/>
                <w:color w:val="2F3742"/>
                <w:sz w:val="20"/>
              </w:rPr>
              <w:t>Random assignment via user session ID</w:t>
            </w:r>
          </w:p>
        </w:tc>
      </w:tr>
      <w:tr>
        <w:tc>
          <w:tcPr>
            <w:tcW w:type="dxa" w:w="5040"/>
            <w:vAlign w:val="center"/>
            <w:shd w:fill="F2F5F8"/>
          </w:tcPr>
          <w:p>
            <w:pPr>
              <w:spacing w:after="0"/>
            </w:pPr>
            <w:r/>
            <w:r>
              <w:rPr>
                <w:rFonts w:ascii="Aptos" w:hAnsi="Aptos"/>
                <w:b/>
                <w:color w:val="17365D"/>
                <w:sz w:val="20"/>
              </w:rPr>
              <w:t>Practical threshold / MDE</w:t>
            </w:r>
          </w:p>
        </w:tc>
        <w:tc>
          <w:tcPr>
            <w:tcW w:type="dxa" w:w="5040"/>
            <w:vAlign w:val="center"/>
          </w:tcPr>
          <w:p>
            <w:pPr>
              <w:spacing w:after="0"/>
            </w:pPr>
            <w:r/>
            <w:r>
              <w:rPr>
                <w:rFonts w:ascii="Aptos" w:hAnsi="Aptos"/>
                <w:b w:val="0"/>
                <w:color w:val="2F3742"/>
                <w:sz w:val="20"/>
              </w:rPr>
              <w:t>2%</w:t>
            </w:r>
          </w:p>
        </w:tc>
      </w:tr>
      <w:tr>
        <w:tc>
          <w:tcPr>
            <w:tcW w:type="dxa" w:w="5040"/>
            <w:vAlign w:val="center"/>
            <w:shd w:fill="F2F5F8"/>
          </w:tcPr>
          <w:p>
            <w:pPr>
              <w:spacing w:after="0"/>
            </w:pPr>
            <w:r/>
            <w:r>
              <w:rPr>
                <w:rFonts w:ascii="Aptos" w:hAnsi="Aptos"/>
                <w:b/>
                <w:color w:val="17365D"/>
                <w:sz w:val="20"/>
              </w:rPr>
              <w:t>Design principle</w:t>
            </w:r>
          </w:p>
        </w:tc>
        <w:tc>
          <w:tcPr>
            <w:tcW w:type="dxa" w:w="5040"/>
            <w:vAlign w:val="center"/>
          </w:tcPr>
          <w:p>
            <w:pPr>
              <w:spacing w:after="0"/>
            </w:pPr>
            <w:r/>
            <w:r>
              <w:rPr>
                <w:rFonts w:ascii="Aptos" w:hAnsi="Aptos"/>
                <w:b w:val="0"/>
                <w:color w:val="2F3742"/>
                <w:sz w:val="20"/>
              </w:rPr>
              <w:t>Randomized Control vs. Treatment comparison</w:t>
            </w:r>
          </w:p>
        </w:tc>
      </w:tr>
    </w:tbl>
    <w:p>
      <w:pPr>
        <w:pStyle w:val="SectionClean"/>
        <w:keepNext w:val="0"/>
      </w:pPr>
      <w:r>
        <w:t>3. A/B Test Analysis</w:t>
      </w:r>
    </w:p>
    <w:p>
      <w:pPr>
        <w:pStyle w:val="BodyClean"/>
        <w:keepNext w:val="0"/>
      </w:pPr>
      <w:r>
        <w:rPr>
          <w:i/>
        </w:rPr>
        <w:t>Using the standard Kaggle dataset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Aptos" w:hAnsi="Aptos"/>
                <w:b/>
                <w:color w:val="FFFFFF"/>
                <w:sz w:val="20"/>
              </w:rPr>
              <w:t>Metric</w:t>
            </w:r>
          </w:p>
        </w:tc>
        <w:tc>
          <w:tcPr>
            <w:tcW w:type="dxa" w:w="3360"/>
            <w:vAlign w:val="center"/>
            <w:shd w:fill="17365D"/>
          </w:tcPr>
          <w:p>
            <w:pPr>
              <w:spacing w:after="0"/>
            </w:pPr>
            <w:r/>
            <w:r>
              <w:rPr>
                <w:rFonts w:ascii="Aptos" w:hAnsi="Aptos"/>
                <w:b/>
                <w:color w:val="FFFFFF"/>
                <w:sz w:val="20"/>
              </w:rPr>
              <w:t>Control Group</w:t>
            </w:r>
          </w:p>
        </w:tc>
        <w:tc>
          <w:tcPr>
            <w:tcW w:type="dxa" w:w="3360"/>
            <w:vAlign w:val="center"/>
            <w:shd w:fill="17365D"/>
          </w:tcPr>
          <w:p>
            <w:pPr>
              <w:spacing w:after="0"/>
            </w:pPr>
            <w:r/>
            <w:r>
              <w:rPr>
                <w:rFonts w:ascii="Aptos" w:hAnsi="Aptos"/>
                <w:b/>
                <w:color w:val="FFFFFF"/>
                <w:sz w:val="20"/>
              </w:rPr>
              <w:t>Treatment Group</w:t>
            </w:r>
          </w:p>
        </w:tc>
      </w:tr>
      <w:tr>
        <w:tc>
          <w:tcPr>
            <w:tcW w:type="dxa" w:w="3360"/>
            <w:vAlign w:val="center"/>
            <w:shd w:fill="F2F5F8"/>
          </w:tcPr>
          <w:p>
            <w:pPr>
              <w:spacing w:after="0"/>
            </w:pPr>
            <w:r/>
            <w:r>
              <w:rPr>
                <w:rFonts w:ascii="Aptos" w:hAnsi="Aptos"/>
                <w:b/>
                <w:color w:val="17365D"/>
                <w:sz w:val="20"/>
              </w:rPr>
              <w:t>Conversion Rate</w:t>
            </w:r>
          </w:p>
        </w:tc>
        <w:tc>
          <w:tcPr>
            <w:tcW w:type="dxa" w:w="3360"/>
            <w:vAlign w:val="center"/>
          </w:tcPr>
          <w:p>
            <w:pPr>
              <w:spacing w:after="0"/>
            </w:pPr>
            <w:r/>
            <w:r>
              <w:rPr>
                <w:rFonts w:ascii="Aptos" w:hAnsi="Aptos"/>
                <w:b w:val="0"/>
                <w:color w:val="2F3742"/>
                <w:sz w:val="20"/>
              </w:rPr>
              <w:t>12.04%</w:t>
            </w:r>
          </w:p>
        </w:tc>
        <w:tc>
          <w:tcPr>
            <w:tcW w:type="dxa" w:w="3360"/>
            <w:vAlign w:val="center"/>
          </w:tcPr>
          <w:p>
            <w:pPr>
              <w:spacing w:after="0"/>
            </w:pPr>
            <w:r/>
            <w:r>
              <w:rPr>
                <w:rFonts w:ascii="Aptos" w:hAnsi="Aptos"/>
                <w:b w:val="0"/>
                <w:color w:val="2F3742"/>
                <w:sz w:val="20"/>
              </w:rPr>
              <w:t>11.88%</w:t>
            </w:r>
          </w:p>
        </w:tc>
      </w:tr>
      <w:tr>
        <w:tc>
          <w:tcPr>
            <w:tcW w:type="dxa" w:w="3360"/>
            <w:vAlign w:val="center"/>
            <w:shd w:fill="F2F5F8"/>
          </w:tcPr>
          <w:p>
            <w:pPr>
              <w:spacing w:after="0"/>
            </w:pPr>
            <w:r/>
            <w:r>
              <w:rPr>
                <w:rFonts w:ascii="Aptos" w:hAnsi="Aptos"/>
                <w:b/>
                <w:color w:val="17365D"/>
                <w:sz w:val="20"/>
              </w:rPr>
              <w:t>Absolute Lift</w:t>
            </w:r>
          </w:p>
        </w:tc>
        <w:tc>
          <w:tcPr>
            <w:tcW w:type="dxa" w:w="3360"/>
            <w:vAlign w:val="center"/>
          </w:tcPr>
          <w:p>
            <w:pPr>
              <w:spacing w:after="0"/>
            </w:pPr>
            <w:r/>
            <w:r>
              <w:rPr>
                <w:rFonts w:ascii="Aptos" w:hAnsi="Aptos"/>
                <w:b w:val="0"/>
                <w:color w:val="2F3742"/>
                <w:sz w:val="20"/>
              </w:rPr>
              <w:t>—</w:t>
            </w:r>
          </w:p>
        </w:tc>
        <w:tc>
          <w:tcPr>
            <w:tcW w:type="dxa" w:w="3360"/>
            <w:vAlign w:val="center"/>
          </w:tcPr>
          <w:p>
            <w:pPr>
              <w:spacing w:after="0"/>
            </w:pPr>
            <w:r/>
            <w:r>
              <w:rPr>
                <w:rFonts w:ascii="Aptos" w:hAnsi="Aptos"/>
                <w:b w:val="0"/>
                <w:color w:val="2F3742"/>
                <w:sz w:val="20"/>
              </w:rPr>
              <w:t>-0.16%</w:t>
            </w:r>
          </w:p>
        </w:tc>
      </w:tr>
      <w:tr>
        <w:tc>
          <w:tcPr>
            <w:tcW w:type="dxa" w:w="3360"/>
            <w:vAlign w:val="center"/>
            <w:shd w:fill="F2F5F8"/>
          </w:tcPr>
          <w:p>
            <w:pPr>
              <w:spacing w:after="0"/>
            </w:pPr>
            <w:r/>
            <w:r>
              <w:rPr>
                <w:rFonts w:ascii="Aptos" w:hAnsi="Aptos"/>
                <w:b/>
                <w:color w:val="17365D"/>
                <w:sz w:val="20"/>
              </w:rPr>
              <w:t>Relative Lift</w:t>
            </w:r>
          </w:p>
        </w:tc>
        <w:tc>
          <w:tcPr>
            <w:tcW w:type="dxa" w:w="3360"/>
            <w:vAlign w:val="center"/>
          </w:tcPr>
          <w:p>
            <w:pPr>
              <w:spacing w:after="0"/>
            </w:pPr>
            <w:r/>
            <w:r>
              <w:rPr>
                <w:rFonts w:ascii="Aptos" w:hAnsi="Aptos"/>
                <w:b w:val="0"/>
                <w:color w:val="2F3742"/>
                <w:sz w:val="20"/>
              </w:rPr>
              <w:t>—</w:t>
            </w:r>
          </w:p>
        </w:tc>
        <w:tc>
          <w:tcPr>
            <w:tcW w:type="dxa" w:w="3360"/>
            <w:vAlign w:val="center"/>
          </w:tcPr>
          <w:p>
            <w:pPr>
              <w:spacing w:after="0"/>
            </w:pPr>
            <w:r/>
            <w:r>
              <w:rPr>
                <w:rFonts w:ascii="Aptos" w:hAnsi="Aptos"/>
                <w:b w:val="0"/>
                <w:color w:val="2F3742"/>
                <w:sz w:val="20"/>
              </w:rPr>
              <w:t>-1.31%</w:t>
            </w:r>
          </w:p>
        </w:tc>
      </w:tr>
      <w:tr>
        <w:tc>
          <w:tcPr>
            <w:tcW w:type="dxa" w:w="3360"/>
            <w:vAlign w:val="center"/>
            <w:shd w:fill="F2F5F8"/>
          </w:tcPr>
          <w:p>
            <w:pPr>
              <w:spacing w:after="0"/>
            </w:pPr>
            <w:r/>
            <w:r>
              <w:rPr>
                <w:rFonts w:ascii="Aptos" w:hAnsi="Aptos"/>
                <w:b/>
                <w:color w:val="17365D"/>
                <w:sz w:val="20"/>
              </w:rPr>
              <w:t>P-Value</w:t>
            </w:r>
          </w:p>
        </w:tc>
        <w:tc>
          <w:tcPr>
            <w:tcW w:type="dxa" w:w="3360"/>
            <w:vAlign w:val="center"/>
          </w:tcPr>
          <w:p>
            <w:pPr>
              <w:spacing w:after="0"/>
            </w:pPr>
            <w:r/>
            <w:r>
              <w:rPr>
                <w:rFonts w:ascii="Aptos" w:hAnsi="Aptos"/>
                <w:b w:val="0"/>
                <w:color w:val="2F3742"/>
                <w:sz w:val="20"/>
              </w:rPr>
              <w:t>—</w:t>
            </w:r>
          </w:p>
        </w:tc>
        <w:tc>
          <w:tcPr>
            <w:tcW w:type="dxa" w:w="3360"/>
            <w:vAlign w:val="center"/>
          </w:tcPr>
          <w:p>
            <w:pPr>
              <w:spacing w:after="0"/>
            </w:pPr>
            <w:r/>
            <w:r>
              <w:rPr>
                <w:rFonts w:ascii="Aptos" w:hAnsi="Aptos"/>
                <w:b w:val="0"/>
                <w:color w:val="2F3742"/>
                <w:sz w:val="20"/>
              </w:rPr>
              <w:t>0.9050</w:t>
            </w:r>
          </w:p>
        </w:tc>
      </w:tr>
      <w:tr>
        <w:tc>
          <w:tcPr>
            <w:tcW w:type="dxa" w:w="3360"/>
            <w:vAlign w:val="center"/>
            <w:shd w:fill="F2F5F8"/>
          </w:tcPr>
          <w:p>
            <w:pPr>
              <w:spacing w:after="0"/>
            </w:pPr>
            <w:r/>
            <w:r>
              <w:rPr>
                <w:rFonts w:ascii="Aptos" w:hAnsi="Aptos"/>
                <w:b/>
                <w:color w:val="17365D"/>
                <w:sz w:val="20"/>
              </w:rPr>
              <w:t>Confidence Interval (95%)</w:t>
            </w:r>
          </w:p>
        </w:tc>
        <w:tc>
          <w:tcPr>
            <w:tcW w:type="dxa" w:w="3360"/>
            <w:vAlign w:val="center"/>
          </w:tcPr>
          <w:p>
            <w:pPr>
              <w:spacing w:after="0"/>
            </w:pPr>
            <w:r/>
            <w:r>
              <w:rPr>
                <w:rFonts w:ascii="Aptos" w:hAnsi="Aptos"/>
                <w:b w:val="0"/>
                <w:color w:val="2F3742"/>
                <w:sz w:val="20"/>
              </w:rPr>
              <w:t>—</w:t>
            </w:r>
          </w:p>
        </w:tc>
        <w:tc>
          <w:tcPr>
            <w:tcW w:type="dxa" w:w="3360"/>
            <w:vAlign w:val="center"/>
          </w:tcPr>
          <w:p>
            <w:pPr>
              <w:spacing w:after="0"/>
            </w:pPr>
            <w:r/>
            <w:r>
              <w:rPr>
                <w:rFonts w:ascii="Aptos" w:hAnsi="Aptos"/>
                <w:b w:val="0"/>
                <w:color w:val="2F3742"/>
                <w:sz w:val="20"/>
              </w:rPr>
              <w:t>[11.72%, 12.05%]</w:t>
            </w:r>
          </w:p>
        </w:tc>
      </w:tr>
      <w:tr>
        <w:tc>
          <w:tcPr>
            <w:tcW w:type="dxa" w:w="3360"/>
            <w:vAlign w:val="center"/>
            <w:shd w:fill="F2F5F8"/>
          </w:tcPr>
          <w:p>
            <w:pPr>
              <w:spacing w:after="0"/>
            </w:pPr>
            <w:r/>
            <w:r>
              <w:rPr>
                <w:rFonts w:ascii="Aptos" w:hAnsi="Aptos"/>
                <w:b/>
                <w:color w:val="17365D"/>
                <w:sz w:val="20"/>
              </w:rPr>
              <w:t>Significance</w:t>
            </w:r>
          </w:p>
        </w:tc>
        <w:tc>
          <w:tcPr>
            <w:tcW w:type="dxa" w:w="3360"/>
            <w:vAlign w:val="center"/>
          </w:tcPr>
          <w:p>
            <w:pPr>
              <w:spacing w:after="0"/>
            </w:pPr>
            <w:r/>
            <w:r>
              <w:rPr>
                <w:rFonts w:ascii="Aptos" w:hAnsi="Aptos"/>
                <w:b w:val="0"/>
                <w:color w:val="2F3742"/>
                <w:sz w:val="20"/>
              </w:rPr>
              <w:t>—</w:t>
            </w:r>
          </w:p>
        </w:tc>
        <w:tc>
          <w:tcPr>
            <w:tcW w:type="dxa" w:w="3360"/>
            <w:vAlign w:val="center"/>
          </w:tcPr>
          <w:p>
            <w:pPr>
              <w:spacing w:after="0"/>
            </w:pPr>
            <w:r/>
            <w:r>
              <w:rPr>
                <w:rFonts w:ascii="Aptos" w:hAnsi="Aptos"/>
                <w:b w:val="0"/>
                <w:color w:val="2F3742"/>
                <w:sz w:val="20"/>
              </w:rPr>
              <w:t>Not significant</w:t>
            </w:r>
          </w:p>
        </w:tc>
      </w:tr>
    </w:tbl>
    <w:p>
      <w:pPr>
        <w:pStyle w:val="SectionClean"/>
        <w:keepNext w:val="0"/>
      </w:pPr>
      <w:r>
        <w:t>4. Causal Reasoning</w:t>
      </w:r>
    </w:p>
    <w:tbl>
      <w:tblPr>
        <w:tblW w:type="auto" w:w="0"/>
        <w:jc w:val="center"/>
        <w:tblLayout w:type="autofit"/>
        <w:tblLook w:firstColumn="1" w:firstRow="1" w:lastColumn="0" w:lastRow="0" w:noHBand="0" w:noVBand="1" w:val="04A0"/>
      </w:tblPr>
      <w:tblGrid>
        <w:gridCol w:w="10080"/>
      </w:tblGrid>
      <w:tr>
        <w:tc>
          <w:tcPr>
            <w:tcW w:type="dxa" w:w="10080"/>
            <w:shd w:fill="EEF4FA"/>
            <w:vAlign w:val="center"/>
          </w:tcPr>
          <w:p>
            <w:pPr>
              <w:spacing w:after="40"/>
              <w:ind w:left="173" w:right="173"/>
            </w:pPr>
            <w:r/>
            <w:r>
              <w:rPr>
                <w:rFonts w:ascii="Aptos" w:hAnsi="Aptos"/>
                <w:b w:val="0"/>
                <w:color w:val="2F3742"/>
                <w:sz w:val="20"/>
              </w:rPr>
            </w:r>
            <w:r>
              <w:rPr>
                <w:rFonts w:ascii="Aptos" w:hAnsi="Aptos"/>
                <w:b/>
                <w:color w:val="17365D"/>
                <w:sz w:val="21"/>
              </w:rPr>
              <w:t>Randomization</w:t>
              <w:br/>
            </w:r>
            <w:r>
              <w:rPr>
                <w:rFonts w:ascii="Aptos" w:hAnsi="Aptos"/>
                <w:color w:val="2F3742"/>
                <w:sz w:val="20"/>
              </w:rPr>
              <w:t>Removes selection bias by ensuring the Control and Treatment groups are identical, proving that any change in conversions was caused solely by the landing page variation.</w:t>
            </w:r>
          </w:p>
        </w:tc>
      </w:tr>
    </w:tbl>
    <w:p>
      <w:pPr>
        <w:keepNext w:val="0"/>
        <w:spacing w:after="20"/>
      </w:pPr>
    </w:p>
    <w:p>
      <w:pPr>
        <w:pStyle w:val="SectionClean"/>
        <w:keepNext w:val="0"/>
      </w:pPr>
      <w:r>
        <w:t>5. Decision</w:t>
      </w:r>
    </w:p>
    <w:tbl>
      <w:tblPr>
        <w:tblW w:type="auto" w:w="0"/>
        <w:jc w:val="center"/>
        <w:tblLayout w:type="autofit"/>
        <w:tblLook w:firstColumn="1" w:firstRow="1" w:lastColumn="0" w:lastRow="0" w:noHBand="0" w:noVBand="1" w:val="04A0"/>
      </w:tblPr>
      <w:tblGrid>
        <w:gridCol w:w="10080"/>
      </w:tblGrid>
      <w:tr>
        <w:tc>
          <w:tcPr>
            <w:tcW w:type="dxa" w:w="10080"/>
            <w:shd w:fill="F7F7F7"/>
            <w:vAlign w:val="center"/>
          </w:tcPr>
          <w:p>
            <w:pPr>
              <w:spacing w:after="40"/>
              <w:ind w:left="173" w:right="173"/>
            </w:pPr>
            <w:r/>
            <w:r>
              <w:rPr>
                <w:rFonts w:ascii="Aptos" w:hAnsi="Aptos"/>
                <w:b w:val="0"/>
                <w:color w:val="2F3742"/>
                <w:sz w:val="20"/>
              </w:rPr>
            </w:r>
            <w:r>
              <w:rPr>
                <w:rFonts w:ascii="Aptos" w:hAnsi="Aptos"/>
                <w:b/>
                <w:color w:val="17365D"/>
                <w:sz w:val="21"/>
              </w:rPr>
              <w:t>Decision: Hold / Do Not Launch</w:t>
              <w:br/>
            </w:r>
            <w:r>
              <w:rPr>
                <w:rFonts w:ascii="Aptos" w:hAnsi="Aptos"/>
                <w:color w:val="2F3742"/>
                <w:sz w:val="20"/>
              </w:rPr>
              <w:t>The negative effect size (-0.16%) completely failed to meet the 2% practical threshold, and the confidence interval confirms there is no statistically significant improvement in registrations. Because the primary metric failed, the new landing page should not be launched, regardless of whether it maintained stable guardrail metrics (like page load time).</w:t>
            </w:r>
          </w:p>
        </w:tc>
      </w:tr>
    </w:tbl>
    <w:p>
      <w:pPr>
        <w:keepNext w:val="0"/>
        <w:spacing w:after="20"/>
      </w:pPr>
    </w:p>
    <w:p>
      <w:pPr>
        <w:pStyle w:val="BodyClean"/>
        <w:keepNext w:val="0"/>
      </w:pPr>
      <w:r>
        <w:rPr>
          <w:b/>
        </w:rPr>
        <w:t xml:space="preserve">Novelty Effect Assumption: </w:t>
      </w:r>
      <w:r>
        <w:t>User behavior was not temporarily skewed by change aversion or the sheer novelty of seeing a redesigned page.</w:t>
      </w:r>
    </w:p>
    <w:p>
      <w:pPr>
        <w:pStyle w:val="SectionClean"/>
        <w:keepNext w:val="0"/>
      </w:pPr>
      <w:r>
        <w:t>6. Workflow Diagram</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2F75B5"/>
          </w:tcPr>
          <w:p>
            <w:pPr>
              <w:spacing w:after="0"/>
            </w:pPr>
            <w:r/>
            <w:r>
              <w:rPr>
                <w:rFonts w:ascii="Aptos" w:hAnsi="Aptos"/>
                <w:b/>
                <w:color w:val="FFFFFF"/>
                <w:sz w:val="18"/>
              </w:rPr>
              <w:t>Problem</w:t>
            </w:r>
          </w:p>
        </w:tc>
        <w:tc>
          <w:tcPr>
            <w:tcW w:type="dxa" w:w="1680"/>
            <w:vAlign w:val="center"/>
            <w:shd w:fill="2F75B5"/>
          </w:tcPr>
          <w:p>
            <w:pPr>
              <w:spacing w:after="0"/>
            </w:pPr>
            <w:r/>
            <w:r>
              <w:rPr>
                <w:rFonts w:ascii="Aptos" w:hAnsi="Aptos"/>
                <w:b/>
                <w:color w:val="FFFFFF"/>
                <w:sz w:val="18"/>
              </w:rPr>
              <w:t>Hypothesis</w:t>
            </w:r>
          </w:p>
        </w:tc>
        <w:tc>
          <w:tcPr>
            <w:tcW w:type="dxa" w:w="1680"/>
            <w:vAlign w:val="center"/>
            <w:shd w:fill="2F75B5"/>
          </w:tcPr>
          <w:p>
            <w:pPr>
              <w:spacing w:after="0"/>
            </w:pPr>
            <w:r/>
            <w:r>
              <w:rPr>
                <w:rFonts w:ascii="Aptos" w:hAnsi="Aptos"/>
                <w:b/>
                <w:color w:val="FFFFFF"/>
                <w:sz w:val="18"/>
              </w:rPr>
              <w:t>Treatment / Control</w:t>
            </w:r>
          </w:p>
        </w:tc>
        <w:tc>
          <w:tcPr>
            <w:tcW w:type="dxa" w:w="1680"/>
            <w:vAlign w:val="center"/>
            <w:shd w:fill="2F75B5"/>
          </w:tcPr>
          <w:p>
            <w:pPr>
              <w:spacing w:after="0"/>
            </w:pPr>
            <w:r/>
            <w:r>
              <w:rPr>
                <w:rFonts w:ascii="Aptos" w:hAnsi="Aptos"/>
                <w:b/>
                <w:color w:val="FFFFFF"/>
                <w:sz w:val="18"/>
              </w:rPr>
              <w:t>OEC &amp; Guardrail</w:t>
            </w:r>
          </w:p>
        </w:tc>
        <w:tc>
          <w:tcPr>
            <w:tcW w:type="dxa" w:w="1680"/>
            <w:vAlign w:val="center"/>
            <w:shd w:fill="2F75B5"/>
          </w:tcPr>
          <w:p>
            <w:pPr>
              <w:spacing w:after="0"/>
            </w:pPr>
            <w:r/>
            <w:r>
              <w:rPr>
                <w:rFonts w:ascii="Aptos" w:hAnsi="Aptos"/>
                <w:b/>
                <w:color w:val="FFFFFF"/>
                <w:sz w:val="18"/>
              </w:rPr>
              <w:t>Analysis</w:t>
            </w:r>
          </w:p>
        </w:tc>
        <w:tc>
          <w:tcPr>
            <w:tcW w:type="dxa" w:w="1680"/>
            <w:vAlign w:val="center"/>
            <w:shd w:fill="17365D"/>
          </w:tcPr>
          <w:p>
            <w:pPr>
              <w:spacing w:after="0"/>
            </w:pPr>
            <w:r/>
            <w:r>
              <w:rPr>
                <w:rFonts w:ascii="Aptos" w:hAnsi="Aptos"/>
                <w:b/>
                <w:color w:val="FFFFFF"/>
                <w:sz w:val="18"/>
              </w:rPr>
              <w:t>Decision</w:t>
            </w:r>
          </w:p>
        </w:tc>
      </w:tr>
    </w:tbl>
    <w:p>
      <w:pPr>
        <w:pStyle w:val="SectionClean"/>
        <w:keepNext w:val="0"/>
      </w:pPr>
      <w:r>
        <w:t>7. Tools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F5F8"/>
          </w:tcPr>
          <w:p>
            <w:pPr>
              <w:spacing w:after="0"/>
            </w:pPr>
            <w:r/>
            <w:r>
              <w:rPr>
                <w:rFonts w:ascii="Aptos" w:hAnsi="Aptos"/>
                <w:b/>
                <w:color w:val="17365D"/>
                <w:sz w:val="20"/>
              </w:rPr>
              <w:t>Dataset</w:t>
            </w:r>
          </w:p>
        </w:tc>
        <w:tc>
          <w:tcPr>
            <w:tcW w:type="dxa" w:w="5040"/>
            <w:vAlign w:val="center"/>
          </w:tcPr>
          <w:p>
            <w:pPr>
              <w:spacing w:after="0"/>
            </w:pPr>
            <w:r/>
            <w:hyperlink r:id="rId11">
              <w:r>
                <w:rPr>
                  <w:color w:val="2F75B5"/>
                  <w:u w:val="single"/>
                </w:rPr>
                <w:t>https://www.kaggle.com/datasets/aadbutt/ab-testing</w:t>
              </w:r>
            </w:hyperlink>
          </w:p>
        </w:tc>
      </w:tr>
      <w:tr>
        <w:tc>
          <w:tcPr>
            <w:tcW w:type="dxa" w:w="5040"/>
            <w:vAlign w:val="center"/>
            <w:shd w:fill="F2F5F8"/>
          </w:tcPr>
          <w:p>
            <w:pPr>
              <w:spacing w:after="0"/>
            </w:pPr>
            <w:r/>
            <w:r>
              <w:rPr>
                <w:rFonts w:ascii="Aptos" w:hAnsi="Aptos"/>
                <w:b/>
                <w:color w:val="17365D"/>
                <w:sz w:val="20"/>
              </w:rPr>
              <w:t>SDAIA Academy GitHub Repository</w:t>
            </w:r>
          </w:p>
        </w:tc>
        <w:tc>
          <w:tcPr>
            <w:tcW w:type="dxa" w:w="5040"/>
            <w:vAlign w:val="center"/>
          </w:tcPr>
          <w:p>
            <w:pPr>
              <w:spacing w:after="0"/>
            </w:pPr>
            <w:r/>
            <w:hyperlink r:id="rId12">
              <w:r>
                <w:rPr>
                  <w:color w:val="2F75B5"/>
                  <w:u w:val="single"/>
                </w:rPr>
                <w:t>https://github.com/SDAIAAcademy</w:t>
              </w:r>
            </w:hyperlink>
          </w:p>
        </w:tc>
      </w:tr>
    </w:tbl>
    <w:p>
      <w:pPr>
        <w:pStyle w:val="SectionClean"/>
        <w:keepNext w:val="0"/>
      </w:pPr>
      <w:r>
        <w:t>8. Contributors</w:t>
      </w:r>
    </w:p>
    <w:p>
      <w:pPr>
        <w:pStyle w:val="BodyClean"/>
        <w:keepNext w:val="0"/>
        <w:ind w:left="259"/>
      </w:pPr>
      <w:r>
        <w:rPr>
          <w:color w:val="2F75B5"/>
        </w:rPr>
        <w:t xml:space="preserve">• </w:t>
      </w:r>
      <w:r>
        <w:t>Alzaynah Almazroa</w:t>
      </w:r>
    </w:p>
    <w:p>
      <w:pPr>
        <w:pStyle w:val="BodyClean"/>
        <w:keepNext w:val="0"/>
        <w:ind w:left="259"/>
      </w:pPr>
      <w:r>
        <w:rPr>
          <w:color w:val="2F75B5"/>
        </w:rPr>
        <w:t xml:space="preserve">• </w:t>
      </w:r>
      <w:r>
        <w:t>Fatima Ibrahim Hazazi</w:t>
      </w:r>
    </w:p>
    <w:p>
      <w:pPr>
        <w:pStyle w:val="BodyClean"/>
        <w:keepNext w:val="0"/>
        <w:ind w:left="259"/>
      </w:pPr>
      <w:r>
        <w:rPr>
          <w:color w:val="2F75B5"/>
        </w:rPr>
        <w:t xml:space="preserve">• </w:t>
      </w:r>
      <w:r>
        <w:t>Fatemah Tawfiq Alelawi</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7"/>
        <w:sz w:val="16"/>
      </w:rPr>
      <w:t>SDAIA Academy • Final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7"/>
        <w:sz w:val="16"/>
      </w:rPr>
      <w:t>FINAL PROJECT • EXPERIMENTATION &amp; A/B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lean">
    <w:name w:val="Title Clean"/>
    <w:pPr>
      <w:spacing w:before="0" w:after="120"/>
    </w:pPr>
    <w:rPr>
      <w:rFonts w:ascii="Aptos" w:hAnsi="Aptos"/>
      <w:b/>
      <w:color w:val="17365D"/>
      <w:sz w:val="48"/>
    </w:rPr>
  </w:style>
  <w:style w:type="paragraph" w:customStyle="1" w:styleId="SubtitleClean">
    <w:name w:val="Subtitle Clean"/>
    <w:pPr>
      <w:spacing w:before="0" w:after="360"/>
    </w:pPr>
    <w:rPr>
      <w:rFonts w:ascii="Aptos" w:hAnsi="Aptos"/>
      <w:b w:val="0"/>
      <w:color w:val="5B6573"/>
      <w:sz w:val="24"/>
    </w:rPr>
  </w:style>
  <w:style w:type="paragraph" w:customStyle="1" w:styleId="SectionClean">
    <w:name w:val="Section Clean"/>
    <w:pPr>
      <w:spacing w:before="280" w:after="120"/>
    </w:pPr>
    <w:rPr>
      <w:rFonts w:ascii="Aptos" w:hAnsi="Aptos"/>
      <w:b/>
      <w:color w:val="17365D"/>
      <w:sz w:val="28"/>
    </w:rPr>
  </w:style>
  <w:style w:type="paragraph" w:customStyle="1" w:styleId="BodyClean">
    <w:name w:val="Body Clean"/>
    <w:pPr>
      <w:spacing w:before="0" w:after="100"/>
    </w:pPr>
    <w:rPr>
      <w:rFonts w:ascii="Aptos" w:hAnsi="Aptos"/>
      <w:b w:val="0"/>
      <w:color w:val="2F374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aadbutt/ab-testing" TargetMode="External"/><Relationship Id="rId12" Type="http://schemas.openxmlformats.org/officeDocument/2006/relationships/hyperlink" Target="https://github.com/SDAIA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