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CAB9B">
      <w:pPr>
        <w:tabs>
          <w:tab w:val="left" w:pos="6870"/>
        </w:tabs>
      </w:pPr>
    </w:p>
    <w:p w14:paraId="2B904821">
      <w:pPr>
        <w:tabs>
          <w:tab w:val="left" w:pos="6870"/>
        </w:tabs>
      </w:pPr>
    </w:p>
    <w:p w14:paraId="592BE644">
      <w:pPr>
        <w:tabs>
          <w:tab w:val="left" w:pos="6870"/>
        </w:tabs>
      </w:pPr>
    </w:p>
    <w:p w14:paraId="042D9519">
      <w:pPr>
        <w:tabs>
          <w:tab w:val="left" w:pos="6870"/>
        </w:tabs>
      </w:pPr>
    </w:p>
    <w:p w14:paraId="63BDA41D">
      <w:pPr>
        <w:tabs>
          <w:tab w:val="left" w:pos="6870"/>
        </w:tabs>
      </w:pPr>
    </w:p>
    <w:p w14:paraId="7D4DEA09">
      <w:pPr>
        <w:tabs>
          <w:tab w:val="left" w:pos="6870"/>
        </w:tabs>
      </w:pPr>
    </w:p>
    <w:p w14:paraId="311864FD">
      <w:pPr>
        <w:tabs>
          <w:tab w:val="left" w:pos="6870"/>
        </w:tabs>
      </w:pPr>
    </w:p>
    <w:p w14:paraId="0FE7125C">
      <w:pPr>
        <w:tabs>
          <w:tab w:val="left" w:pos="6870"/>
        </w:tabs>
        <w:jc w:val="center"/>
      </w:pPr>
      <w:r>
        <w:object>
          <v:shape id="_x0000_i1025" o:spt="75" type="#_x0000_t75" style="height:58pt;width:235.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14:paraId="2EB7FBBC">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63412A7F">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26</w:t>
      </w:r>
      <w:r>
        <w:rPr>
          <w:rFonts w:hint="eastAsia" w:ascii="黑体" w:eastAsia="黑体"/>
          <w:sz w:val="30"/>
        </w:rPr>
        <w:t xml:space="preserve"> / 202</w:t>
      </w:r>
      <w:r>
        <w:rPr>
          <w:rFonts w:ascii="黑体" w:eastAsia="黑体"/>
          <w:sz w:val="30"/>
        </w:rPr>
        <w:t>7</w:t>
      </w:r>
      <w:r>
        <w:rPr>
          <w:rFonts w:hint="eastAsia" w:ascii="黑体" w:eastAsia="黑体"/>
          <w:sz w:val="30"/>
        </w:rPr>
        <w:t>学年 第 一 学期）</w:t>
      </w:r>
    </w:p>
    <w:p w14:paraId="560823C0">
      <w:pPr>
        <w:tabs>
          <w:tab w:val="left" w:pos="6870"/>
        </w:tabs>
        <w:ind w:firstLine="2160"/>
        <w:rPr>
          <w:rFonts w:ascii="黑体" w:eastAsia="黑体"/>
          <w:sz w:val="44"/>
        </w:rPr>
      </w:pPr>
    </w:p>
    <w:p w14:paraId="11505FE2">
      <w:pPr>
        <w:tabs>
          <w:tab w:val="left" w:pos="6870"/>
        </w:tabs>
        <w:ind w:firstLine="2160"/>
        <w:rPr>
          <w:rFonts w:ascii="黑体" w:eastAsia="黑体"/>
          <w:sz w:val="44"/>
        </w:rPr>
      </w:pPr>
    </w:p>
    <w:p w14:paraId="359A4EE0">
      <w:pPr>
        <w:tabs>
          <w:tab w:val="left" w:pos="6870"/>
        </w:tabs>
        <w:ind w:firstLine="1078" w:firstLineChars="245"/>
        <w:rPr>
          <w:rFonts w:hint="eastAsia"/>
          <w:sz w:val="44"/>
          <w:szCs w:val="44"/>
          <w:u w:val="single"/>
          <w:lang w:val="en-US" w:eastAsia="zh-CN"/>
        </w:rPr>
      </w:pPr>
      <w:r>
        <w:rPr>
          <w:rFonts w:hint="eastAsia" w:ascii="黑体" w:eastAsia="黑体"/>
          <w:sz w:val="44"/>
        </w:rPr>
        <w:t>题   目：</w:t>
      </w:r>
      <w:r>
        <w:rPr>
          <w:rFonts w:hint="eastAsia" w:eastAsia="宋体"/>
          <w:sz w:val="44"/>
          <w:szCs w:val="44"/>
          <w:u w:val="single"/>
        </w:rPr>
        <w:t>中国象棋游戏及其</w:t>
      </w:r>
      <w:r>
        <w:rPr>
          <w:rFonts w:hint="eastAsia"/>
          <w:sz w:val="44"/>
          <w:szCs w:val="44"/>
          <w:u w:val="single"/>
          <w:lang w:val="en-US" w:eastAsia="zh-CN"/>
        </w:rPr>
        <w:t>AI算法</w:t>
      </w:r>
    </w:p>
    <w:p w14:paraId="170A9B85">
      <w:pPr>
        <w:tabs>
          <w:tab w:val="left" w:pos="6870"/>
        </w:tabs>
        <w:ind w:firstLine="1078" w:firstLineChars="245"/>
        <w:rPr>
          <w:sz w:val="44"/>
          <w:szCs w:val="44"/>
          <w:u w:val="single"/>
        </w:rPr>
      </w:pPr>
    </w:p>
    <w:p w14:paraId="7BD0BDB0">
      <w:pPr>
        <w:spacing w:line="360" w:lineRule="auto"/>
        <w:jc w:val="center"/>
        <w:rPr>
          <w:b/>
          <w:bCs/>
          <w:sz w:val="32"/>
          <w:u w:val="single"/>
        </w:rPr>
      </w:pPr>
      <w:bookmarkStart w:id="0" w:name="_GoBack"/>
      <w:bookmarkEnd w:id="0"/>
    </w:p>
    <w:p w14:paraId="120A12BC">
      <w:pPr>
        <w:tabs>
          <w:tab w:val="left" w:pos="6870"/>
        </w:tabs>
        <w:rPr>
          <w:rFonts w:ascii="黑体" w:eastAsia="黑体"/>
          <w:sz w:val="44"/>
        </w:rPr>
      </w:pPr>
    </w:p>
    <w:tbl>
      <w:tblPr>
        <w:tblStyle w:val="12"/>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549E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77D6B46">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11892005">
            <w:pPr>
              <w:tabs>
                <w:tab w:val="left" w:pos="6870"/>
              </w:tabs>
              <w:jc w:val="center"/>
              <w:rPr>
                <w:b/>
                <w:sz w:val="30"/>
                <w:szCs w:val="30"/>
              </w:rPr>
            </w:pPr>
            <w:r>
              <w:rPr>
                <w:rFonts w:ascii="Times New Roman" w:hAnsi="Times New Roman" w:eastAsia="宋体"/>
                <w:color w:val="000000"/>
                <w:sz w:val="32"/>
              </w:rPr>
              <w:t>计算机科学与技术</w:t>
            </w:r>
          </w:p>
        </w:tc>
      </w:tr>
      <w:tr w14:paraId="58B5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E6B4086">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039726BB">
            <w:pPr>
              <w:tabs>
                <w:tab w:val="left" w:pos="6870"/>
              </w:tabs>
              <w:jc w:val="center"/>
              <w:rPr>
                <w:b/>
                <w:sz w:val="30"/>
                <w:szCs w:val="30"/>
              </w:rPr>
            </w:pPr>
            <w:r>
              <w:rPr>
                <w:rFonts w:ascii="Times New Roman" w:hAnsi="Times New Roman" w:eastAsia="宋体"/>
                <w:color w:val="000000"/>
                <w:sz w:val="32"/>
              </w:rPr>
              <w:t>孙鸣远</w:t>
            </w:r>
          </w:p>
        </w:tc>
      </w:tr>
      <w:tr w14:paraId="3C41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6803FAC">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4117771C">
            <w:pPr>
              <w:tabs>
                <w:tab w:val="left" w:pos="6870"/>
              </w:tabs>
              <w:jc w:val="center"/>
              <w:rPr>
                <w:b/>
                <w:sz w:val="30"/>
                <w:szCs w:val="30"/>
              </w:rPr>
            </w:pPr>
            <w:r>
              <w:rPr>
                <w:rFonts w:ascii="Times New Roman" w:hAnsi="Times New Roman" w:eastAsia="宋体"/>
                <w:color w:val="000000"/>
                <w:sz w:val="32"/>
              </w:rPr>
              <w:t>B23040514</w:t>
            </w:r>
          </w:p>
        </w:tc>
      </w:tr>
      <w:tr w14:paraId="5DD3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05683DD">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20D932D">
            <w:pPr>
              <w:tabs>
                <w:tab w:val="left" w:pos="6870"/>
              </w:tabs>
              <w:jc w:val="center"/>
              <w:rPr>
                <w:b/>
                <w:sz w:val="30"/>
                <w:szCs w:val="30"/>
              </w:rPr>
            </w:pPr>
            <w:r>
              <w:rPr>
                <w:rFonts w:hint="eastAsia"/>
                <w:b/>
                <w:sz w:val="30"/>
                <w:szCs w:val="30"/>
              </w:rPr>
              <w:t>陈兴国</w:t>
            </w:r>
          </w:p>
        </w:tc>
      </w:tr>
      <w:tr w14:paraId="1F5B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0DEE319">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21BB092E">
            <w:pPr>
              <w:tabs>
                <w:tab w:val="left" w:pos="6870"/>
              </w:tabs>
              <w:spacing w:line="240" w:lineRule="atLeast"/>
              <w:jc w:val="center"/>
              <w:rPr>
                <w:b/>
                <w:sz w:val="30"/>
                <w:szCs w:val="30"/>
              </w:rPr>
            </w:pPr>
            <w:r>
              <w:rPr>
                <w:rFonts w:hint="eastAsia"/>
                <w:b/>
                <w:sz w:val="28"/>
                <w:szCs w:val="28"/>
              </w:rPr>
              <w:t>计算机科学与技术系</w:t>
            </w:r>
          </w:p>
        </w:tc>
      </w:tr>
      <w:tr w14:paraId="2C68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4C80F03">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29F4B8F6">
            <w:pPr>
              <w:tabs>
                <w:tab w:val="left" w:pos="6870"/>
              </w:tabs>
              <w:jc w:val="center"/>
              <w:rPr>
                <w:b/>
                <w:sz w:val="30"/>
                <w:szCs w:val="30"/>
              </w:rPr>
            </w:pPr>
            <w:r>
              <w:rPr>
                <w:rFonts w:ascii="Times New Roman" w:hAnsi="Times New Roman" w:cs="Times New Roman"/>
                <w:b/>
                <w:sz w:val="30"/>
                <w:szCs w:val="30"/>
              </w:rPr>
              <w:t>2026.</w:t>
            </w:r>
            <w:r>
              <w:rPr>
                <w:rFonts w:hint="eastAsia" w:ascii="Times New Roman" w:hAnsi="Times New Roman" w:cs="Times New Roman"/>
                <w:b/>
                <w:sz w:val="30"/>
                <w:szCs w:val="30"/>
              </w:rPr>
              <w:t>1</w:t>
            </w:r>
            <w:r>
              <w:rPr>
                <w:rFonts w:ascii="Times New Roman" w:hAnsi="Times New Roman" w:cs="Times New Roman"/>
                <w:b/>
                <w:sz w:val="30"/>
                <w:szCs w:val="30"/>
              </w:rPr>
              <w:t>0.12-20</w:t>
            </w:r>
            <w:r>
              <w:rPr>
                <w:rFonts w:hint="eastAsia" w:ascii="Times New Roman" w:hAnsi="Times New Roman" w:cs="Times New Roman"/>
                <w:b/>
                <w:sz w:val="30"/>
                <w:szCs w:val="30"/>
              </w:rPr>
              <w:t>2</w:t>
            </w:r>
            <w:r>
              <w:rPr>
                <w:rFonts w:ascii="Times New Roman" w:hAnsi="Times New Roman" w:cs="Times New Roman"/>
                <w:b/>
                <w:sz w:val="30"/>
                <w:szCs w:val="30"/>
              </w:rPr>
              <w:t>6.10.25</w:t>
            </w:r>
          </w:p>
        </w:tc>
      </w:tr>
    </w:tbl>
    <w:p w14:paraId="41AF7CE9">
      <w:pPr>
        <w:tabs>
          <w:tab w:val="left" w:pos="6870"/>
        </w:tabs>
        <w:rPr>
          <w:rFonts w:ascii="黑体" w:eastAsia="黑体"/>
          <w:sz w:val="21"/>
          <w:szCs w:val="21"/>
        </w:rPr>
      </w:pPr>
    </w:p>
    <w:p w14:paraId="0457C865">
      <w:pPr>
        <w:tabs>
          <w:tab w:val="left" w:pos="6870"/>
        </w:tabs>
        <w:rPr>
          <w:rFonts w:ascii="黑体" w:eastAsia="黑体"/>
          <w:sz w:val="21"/>
          <w:szCs w:val="21"/>
        </w:rPr>
      </w:pPr>
    </w:p>
    <w:p w14:paraId="36AF84B0">
      <w:pPr>
        <w:tabs>
          <w:tab w:val="left" w:pos="6870"/>
        </w:tabs>
        <w:rPr>
          <w:rFonts w:ascii="黑体" w:eastAsia="黑体"/>
          <w:sz w:val="21"/>
          <w:szCs w:val="21"/>
        </w:rPr>
      </w:pPr>
    </w:p>
    <w:tbl>
      <w:tblPr>
        <w:tblStyle w:val="11"/>
        <w:tblW w:w="9808"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418"/>
        <w:gridCol w:w="5514"/>
        <w:gridCol w:w="1316"/>
      </w:tblGrid>
      <w:tr w14:paraId="04E6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2978" w:type="dxa"/>
            <w:gridSpan w:val="2"/>
            <w:tcBorders>
              <w:top w:val="single" w:color="auto" w:sz="4" w:space="0"/>
            </w:tcBorders>
            <w:vAlign w:val="center"/>
          </w:tcPr>
          <w:p w14:paraId="06821E0C">
            <w:pPr>
              <w:jc w:val="center"/>
              <w:rPr>
                <w:b/>
                <w:bCs/>
              </w:rPr>
            </w:pPr>
            <w:r>
              <w:rPr>
                <w:rFonts w:hint="eastAsia"/>
                <w:b/>
                <w:bCs/>
              </w:rPr>
              <w:t>课程目标</w:t>
            </w:r>
          </w:p>
        </w:tc>
        <w:tc>
          <w:tcPr>
            <w:tcW w:w="5514" w:type="dxa"/>
            <w:tcBorders>
              <w:top w:val="single" w:color="auto" w:sz="4" w:space="0"/>
            </w:tcBorders>
            <w:vAlign w:val="center"/>
          </w:tcPr>
          <w:p w14:paraId="48C7581F">
            <w:pPr>
              <w:jc w:val="center"/>
              <w:rPr>
                <w:b/>
                <w:bCs/>
              </w:rPr>
            </w:pPr>
            <w:r>
              <w:rPr>
                <w:rFonts w:hint="eastAsia"/>
                <w:b/>
                <w:bCs/>
              </w:rPr>
              <w:t>评价准则</w:t>
            </w:r>
          </w:p>
        </w:tc>
        <w:tc>
          <w:tcPr>
            <w:tcW w:w="1316" w:type="dxa"/>
            <w:tcBorders>
              <w:top w:val="single" w:color="auto" w:sz="4" w:space="0"/>
            </w:tcBorders>
            <w:vAlign w:val="center"/>
          </w:tcPr>
          <w:p w14:paraId="228C8C15">
            <w:pPr>
              <w:jc w:val="center"/>
            </w:pPr>
            <w:r>
              <w:rPr>
                <w:rFonts w:ascii="Times New Roman" w:hAnsi="Times New Roman" w:cs="Times New Roman"/>
                <w:b/>
              </w:rPr>
              <w:t>计分（每项10分）</w:t>
            </w:r>
          </w:p>
        </w:tc>
      </w:tr>
      <w:tr w14:paraId="3E62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3" w:hRule="atLeast"/>
        </w:trPr>
        <w:tc>
          <w:tcPr>
            <w:tcW w:w="2978" w:type="dxa"/>
            <w:gridSpan w:val="2"/>
            <w:vMerge w:val="restart"/>
            <w:vAlign w:val="center"/>
          </w:tcPr>
          <w:p w14:paraId="257613AD">
            <w:pPr>
              <w:spacing w:before="93" w:beforeLines="30" w:after="93" w:afterLines="30"/>
              <w:jc w:val="left"/>
              <w:rPr>
                <w:rFonts w:ascii="Times New Roman" w:hAnsi="Times New Roman" w:cs="Times New Roman"/>
                <w:sz w:val="21"/>
                <w:szCs w:val="21"/>
              </w:rPr>
            </w:pPr>
            <w:r>
              <w:rPr>
                <w:rFonts w:ascii="Times New Roman" w:hAnsi="Times New Roman" w:cs="Times New Roman"/>
                <w:color w:val="000000"/>
              </w:rPr>
              <w:t>课程目标1：</w:t>
            </w:r>
            <w:r>
              <w:rPr>
                <w:rFonts w:ascii="Times New Roman" w:hAnsi="Times New Roman" w:cs="Times New Roman"/>
                <w:color w:val="000000"/>
                <w:sz w:val="18"/>
                <w:szCs w:val="18"/>
              </w:rPr>
              <w:t>通过课程设计提高学生的理论联系实际、查阅资料、自学和独立分析与解决复杂工程问题的能力</w:t>
            </w:r>
            <w:r>
              <w:rPr>
                <w:rFonts w:hint="eastAsia" w:ascii="Times New Roman" w:hAnsi="Times New Roman" w:cs="Times New Roman"/>
                <w:sz w:val="21"/>
                <w:szCs w:val="21"/>
              </w:rPr>
              <w:t>（</w:t>
            </w:r>
            <w:r>
              <w:rPr>
                <w:rFonts w:ascii="Times New Roman" w:hAnsi="Times New Roman" w:cs="Times New Roman"/>
                <w:sz w:val="21"/>
                <w:szCs w:val="21"/>
              </w:rPr>
              <w:t>3</w:t>
            </w:r>
            <w:r>
              <w:rPr>
                <w:rFonts w:hint="eastAsia" w:ascii="Times New Roman" w:hAnsi="Times New Roman" w:cs="Times New Roman"/>
                <w:sz w:val="21"/>
                <w:szCs w:val="21"/>
              </w:rPr>
              <w:t>0分）</w:t>
            </w:r>
          </w:p>
        </w:tc>
        <w:tc>
          <w:tcPr>
            <w:tcW w:w="5514" w:type="dxa"/>
            <w:vAlign w:val="center"/>
          </w:tcPr>
          <w:p w14:paraId="3DDD97E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r>
              <w:rPr>
                <w:rFonts w:hint="eastAsia" w:ascii="Times New Roman" w:hAnsi="Times New Roman" w:cs="Times New Roman"/>
                <w:sz w:val="21"/>
                <w:szCs w:val="21"/>
              </w:rPr>
              <w:t>。</w:t>
            </w:r>
          </w:p>
        </w:tc>
        <w:tc>
          <w:tcPr>
            <w:tcW w:w="1316" w:type="dxa"/>
            <w:vMerge w:val="restart"/>
            <w:vAlign w:val="center"/>
          </w:tcPr>
          <w:p w14:paraId="7918903D">
            <w:pPr>
              <w:spacing w:before="62" w:beforeLines="20" w:after="62" w:afterLines="20"/>
              <w:jc w:val="center"/>
              <w:rPr>
                <w:b/>
                <w:bCs/>
              </w:rPr>
            </w:pPr>
          </w:p>
        </w:tc>
      </w:tr>
      <w:tr w14:paraId="6E0A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6383F52E">
            <w:pPr>
              <w:spacing w:before="93" w:beforeLines="30" w:after="93" w:afterLines="30"/>
              <w:jc w:val="left"/>
              <w:rPr>
                <w:rFonts w:ascii="Times New Roman" w:hAnsi="Times New Roman" w:cs="Times New Roman"/>
                <w:sz w:val="21"/>
                <w:szCs w:val="21"/>
              </w:rPr>
            </w:pPr>
          </w:p>
        </w:tc>
        <w:tc>
          <w:tcPr>
            <w:tcW w:w="5514" w:type="dxa"/>
            <w:vAlign w:val="center"/>
          </w:tcPr>
          <w:p w14:paraId="5861DABF">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2、能够给出数据结构和算法的设计描述，给出关键算法的流程图或伪代码，并给出各算法之间的结构关系描述</w:t>
            </w:r>
            <w:r>
              <w:rPr>
                <w:rFonts w:hint="eastAsia" w:ascii="Times New Roman" w:hAnsi="Times New Roman" w:cs="Times New Roman"/>
                <w:sz w:val="21"/>
                <w:szCs w:val="21"/>
              </w:rPr>
              <w:t>。</w:t>
            </w:r>
            <w:r>
              <w:rPr>
                <w:rFonts w:ascii="Times New Roman" w:hAnsi="Times New Roman" w:cs="Times New Roman"/>
                <w:sz w:val="21"/>
                <w:szCs w:val="21"/>
              </w:rPr>
              <w:t xml:space="preserve"> </w:t>
            </w:r>
          </w:p>
        </w:tc>
        <w:tc>
          <w:tcPr>
            <w:tcW w:w="1316" w:type="dxa"/>
            <w:vMerge w:val="continue"/>
            <w:vAlign w:val="center"/>
          </w:tcPr>
          <w:p w14:paraId="3D11C6F3">
            <w:pPr>
              <w:spacing w:before="62" w:beforeLines="20" w:after="62" w:afterLines="20"/>
              <w:jc w:val="center"/>
              <w:rPr>
                <w:b/>
                <w:bCs/>
              </w:rPr>
            </w:pPr>
          </w:p>
        </w:tc>
      </w:tr>
      <w:tr w14:paraId="0DF5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trPr>
        <w:tc>
          <w:tcPr>
            <w:tcW w:w="2978" w:type="dxa"/>
            <w:gridSpan w:val="2"/>
            <w:vMerge w:val="continue"/>
            <w:vAlign w:val="center"/>
          </w:tcPr>
          <w:p w14:paraId="1828DAF6">
            <w:pPr>
              <w:spacing w:before="93" w:beforeLines="30" w:after="93" w:afterLines="30"/>
              <w:jc w:val="left"/>
              <w:rPr>
                <w:rFonts w:ascii="Times New Roman" w:hAnsi="Times New Roman" w:cs="Times New Roman"/>
                <w:sz w:val="21"/>
                <w:szCs w:val="21"/>
              </w:rPr>
            </w:pPr>
          </w:p>
        </w:tc>
        <w:tc>
          <w:tcPr>
            <w:tcW w:w="5514" w:type="dxa"/>
            <w:vAlign w:val="center"/>
          </w:tcPr>
          <w:p w14:paraId="7264CED4">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3、具备一定的人机交互设计意识，人机交互设计</w:t>
            </w:r>
            <w:r>
              <w:rPr>
                <w:rFonts w:ascii="Times New Roman" w:hAnsi="Times New Roman" w:cs="Times New Roman"/>
                <w:bCs/>
                <w:sz w:val="21"/>
                <w:szCs w:val="21"/>
              </w:rPr>
              <w:t>合理、友好，操作简便</w:t>
            </w:r>
            <w:r>
              <w:rPr>
                <w:rFonts w:hint="eastAsia" w:ascii="Times New Roman" w:hAnsi="Times New Roman" w:cs="Times New Roman"/>
                <w:bCs/>
                <w:sz w:val="21"/>
                <w:szCs w:val="21"/>
              </w:rPr>
              <w:t>。</w:t>
            </w:r>
          </w:p>
        </w:tc>
        <w:tc>
          <w:tcPr>
            <w:tcW w:w="1316" w:type="dxa"/>
            <w:vMerge w:val="continue"/>
            <w:vAlign w:val="center"/>
          </w:tcPr>
          <w:p w14:paraId="205F9573">
            <w:pPr>
              <w:spacing w:before="62" w:beforeLines="20" w:after="62" w:afterLines="20"/>
              <w:jc w:val="center"/>
              <w:rPr>
                <w:b/>
                <w:bCs/>
              </w:rPr>
            </w:pPr>
          </w:p>
        </w:tc>
      </w:tr>
      <w:tr w14:paraId="0A6B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restart"/>
            <w:vAlign w:val="center"/>
          </w:tcPr>
          <w:p w14:paraId="121DAA02">
            <w:pPr>
              <w:spacing w:before="93" w:beforeLines="30" w:after="93" w:afterLines="30"/>
              <w:rPr>
                <w:rFonts w:ascii="Times New Roman" w:hAnsi="Times New Roman" w:cs="Times New Roman"/>
              </w:rPr>
            </w:pPr>
            <w:r>
              <w:rPr>
                <w:rFonts w:ascii="Times New Roman" w:hAnsi="Times New Roman" w:cs="Times New Roman"/>
                <w:color w:val="000000"/>
                <w:szCs w:val="21"/>
              </w:rPr>
              <w:t>课程目标2：</w:t>
            </w:r>
            <w:r>
              <w:rPr>
                <w:rFonts w:hint="eastAsia"/>
                <w:color w:val="000000"/>
                <w:spacing w:val="-4"/>
                <w:sz w:val="18"/>
                <w:szCs w:val="18"/>
              </w:rPr>
              <w:t>要求</w:t>
            </w:r>
            <w:r>
              <w:rPr>
                <w:color w:val="000000"/>
                <w:spacing w:val="-4"/>
                <w:sz w:val="18"/>
                <w:szCs w:val="18"/>
              </w:rPr>
              <w:t>学生</w:t>
            </w:r>
            <w:r>
              <w:rPr>
                <w:rFonts w:hint="eastAsia"/>
                <w:color w:val="000000"/>
                <w:spacing w:val="-4"/>
                <w:sz w:val="18"/>
                <w:szCs w:val="18"/>
              </w:rPr>
              <w:t>在</w:t>
            </w:r>
            <w:r>
              <w:rPr>
                <w:rFonts w:hint="eastAsia" w:hAnsi="等线"/>
                <w:color w:val="000000"/>
                <w:spacing w:val="-4"/>
                <w:sz w:val="18"/>
                <w:szCs w:val="18"/>
              </w:rPr>
              <w:t>深入理解</w:t>
            </w:r>
            <w:r>
              <w:rPr>
                <w:rFonts w:hint="eastAsia"/>
                <w:color w:val="000000"/>
                <w:spacing w:val="-4"/>
                <w:sz w:val="18"/>
                <w:szCs w:val="18"/>
              </w:rPr>
              <w:t>软件系统</w:t>
            </w:r>
            <w:r>
              <w:rPr>
                <w:rFonts w:hint="eastAsia" w:hAnsi="等线"/>
                <w:color w:val="000000"/>
                <w:spacing w:val="-4"/>
                <w:sz w:val="18"/>
                <w:szCs w:val="18"/>
              </w:rPr>
              <w:t>的相关知识</w:t>
            </w:r>
            <w:r>
              <w:rPr>
                <w:color w:val="000000"/>
                <w:spacing w:val="-4"/>
                <w:sz w:val="18"/>
                <w:szCs w:val="18"/>
              </w:rPr>
              <w:t>基础上，综合运用所学的方法和理论自主地完成课程设计。</w:t>
            </w:r>
            <w:r>
              <w:rPr>
                <w:rFonts w:hint="eastAsia"/>
                <w:spacing w:val="-4"/>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spacing w:val="-4"/>
              </w:rPr>
              <w:t>（</w:t>
            </w:r>
            <w:r>
              <w:rPr>
                <w:rFonts w:ascii="Times New Roman" w:hAnsi="Times New Roman" w:cs="Times New Roman"/>
                <w:spacing w:val="-4"/>
              </w:rPr>
              <w:t>3</w:t>
            </w:r>
            <w:r>
              <w:rPr>
                <w:rFonts w:hint="eastAsia" w:ascii="Times New Roman" w:hAnsi="Times New Roman" w:cs="Times New Roman"/>
                <w:spacing w:val="-4"/>
              </w:rPr>
              <w:t>0分）</w:t>
            </w:r>
          </w:p>
        </w:tc>
        <w:tc>
          <w:tcPr>
            <w:tcW w:w="5514" w:type="dxa"/>
            <w:vAlign w:val="center"/>
          </w:tcPr>
          <w:p w14:paraId="170FB7DD">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4、能够结合计算机软硬件资源，合理选用算法、数据结构、数据存储方式等技术手段，对求解的工程问题进行有效建模和求解</w:t>
            </w:r>
            <w:r>
              <w:rPr>
                <w:rFonts w:hint="eastAsia" w:ascii="Times New Roman" w:hAnsi="Times New Roman" w:cs="Times New Roman"/>
                <w:sz w:val="21"/>
                <w:szCs w:val="21"/>
              </w:rPr>
              <w:t>。</w:t>
            </w:r>
          </w:p>
        </w:tc>
        <w:tc>
          <w:tcPr>
            <w:tcW w:w="1316" w:type="dxa"/>
            <w:vMerge w:val="restart"/>
            <w:vAlign w:val="center"/>
          </w:tcPr>
          <w:p w14:paraId="510D6869">
            <w:pPr>
              <w:spacing w:before="62" w:beforeLines="20" w:after="62" w:afterLines="20"/>
              <w:jc w:val="center"/>
              <w:rPr>
                <w:b/>
                <w:bCs/>
              </w:rPr>
            </w:pPr>
          </w:p>
        </w:tc>
      </w:tr>
      <w:tr w14:paraId="35FB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52ED6AA2">
            <w:pPr>
              <w:spacing w:before="93" w:beforeLines="30" w:after="93" w:afterLines="30"/>
              <w:jc w:val="left"/>
              <w:rPr>
                <w:rFonts w:ascii="Times New Roman" w:hAnsi="Times New Roman" w:cs="Times New Roman"/>
              </w:rPr>
            </w:pPr>
          </w:p>
        </w:tc>
        <w:tc>
          <w:tcPr>
            <w:tcW w:w="5514" w:type="dxa"/>
            <w:vAlign w:val="center"/>
          </w:tcPr>
          <w:p w14:paraId="7920AE3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r>
              <w:rPr>
                <w:rFonts w:hint="eastAsia" w:ascii="Times New Roman" w:hAnsi="Times New Roman" w:cs="Times New Roman"/>
                <w:sz w:val="21"/>
                <w:szCs w:val="21"/>
              </w:rPr>
              <w:t>。</w:t>
            </w:r>
            <w:r>
              <w:rPr>
                <w:rFonts w:ascii="Times New Roman" w:hAnsi="Times New Roman" w:cs="Times New Roman"/>
                <w:sz w:val="21"/>
                <w:szCs w:val="21"/>
              </w:rPr>
              <w:t>掌握调试方法与工具，对程序开发过程中出现的问题进行分析、跟踪与调试，并能够进行充分测试</w:t>
            </w:r>
            <w:r>
              <w:rPr>
                <w:rFonts w:hint="eastAsia" w:ascii="Times New Roman" w:hAnsi="Times New Roman" w:cs="Times New Roman"/>
                <w:sz w:val="21"/>
                <w:szCs w:val="21"/>
              </w:rPr>
              <w:t>。</w:t>
            </w:r>
          </w:p>
        </w:tc>
        <w:tc>
          <w:tcPr>
            <w:tcW w:w="1316" w:type="dxa"/>
            <w:vMerge w:val="continue"/>
            <w:vAlign w:val="center"/>
          </w:tcPr>
          <w:p w14:paraId="75C8DE0E">
            <w:pPr>
              <w:spacing w:before="62" w:beforeLines="20" w:after="62" w:afterLines="20"/>
              <w:jc w:val="center"/>
              <w:rPr>
                <w:b/>
                <w:bCs/>
              </w:rPr>
            </w:pPr>
          </w:p>
        </w:tc>
      </w:tr>
      <w:tr w14:paraId="23EF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2" w:hRule="atLeast"/>
        </w:trPr>
        <w:tc>
          <w:tcPr>
            <w:tcW w:w="2978" w:type="dxa"/>
            <w:gridSpan w:val="2"/>
            <w:vMerge w:val="continue"/>
            <w:vAlign w:val="center"/>
          </w:tcPr>
          <w:p w14:paraId="12B5F05C">
            <w:pPr>
              <w:spacing w:before="93" w:beforeLines="30" w:after="93" w:afterLines="30"/>
              <w:jc w:val="left"/>
              <w:rPr>
                <w:rFonts w:ascii="Times New Roman" w:hAnsi="Times New Roman" w:cs="Times New Roman"/>
              </w:rPr>
            </w:pPr>
          </w:p>
        </w:tc>
        <w:tc>
          <w:tcPr>
            <w:tcW w:w="5514" w:type="dxa"/>
            <w:vAlign w:val="center"/>
          </w:tcPr>
          <w:p w14:paraId="68D2C6E5">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79253859">
            <w:pPr>
              <w:spacing w:before="62" w:beforeLines="20" w:after="62" w:afterLines="20"/>
              <w:jc w:val="center"/>
              <w:rPr>
                <w:b/>
                <w:bCs/>
              </w:rPr>
            </w:pPr>
          </w:p>
        </w:tc>
      </w:tr>
      <w:tr w14:paraId="057F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1" w:hRule="atLeast"/>
        </w:trPr>
        <w:tc>
          <w:tcPr>
            <w:tcW w:w="2978" w:type="dxa"/>
            <w:gridSpan w:val="2"/>
            <w:vMerge w:val="restart"/>
            <w:vAlign w:val="center"/>
          </w:tcPr>
          <w:p w14:paraId="3B610274">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r>
              <w:rPr>
                <w:rFonts w:hint="eastAsia" w:hAnsi="等线"/>
                <w:spacing w:val="-4"/>
                <w:kern w:val="0"/>
                <w:sz w:val="18"/>
                <w:szCs w:val="18"/>
              </w:rPr>
              <w:t>要求</w:t>
            </w:r>
            <w:r>
              <w:rPr>
                <w:rFonts w:hAnsi="等线"/>
                <w:spacing w:val="-4"/>
                <w:kern w:val="0"/>
                <w:sz w:val="18"/>
                <w:szCs w:val="18"/>
              </w:rPr>
              <w:t>学生</w:t>
            </w:r>
            <w:r>
              <w:rPr>
                <w:rFonts w:hint="eastAsia" w:hAnsi="等线"/>
                <w:spacing w:val="-4"/>
                <w:kern w:val="0"/>
                <w:sz w:val="18"/>
                <w:szCs w:val="18"/>
              </w:rPr>
              <w:t>完成一次项目设计与开发的全过程，</w:t>
            </w:r>
            <w:r>
              <w:rPr>
                <w:rFonts w:hint="eastAsia"/>
                <w:spacing w:val="-4"/>
                <w:sz w:val="18"/>
                <w:szCs w:val="18"/>
              </w:rPr>
              <w:t>掌握软件需求分析、软件设计、软件测试和团队</w:t>
            </w:r>
            <w:r>
              <w:rPr>
                <w:spacing w:val="-4"/>
                <w:sz w:val="18"/>
                <w:szCs w:val="18"/>
              </w:rPr>
              <w:t>协同开发</w:t>
            </w:r>
            <w:r>
              <w:rPr>
                <w:rFonts w:hint="eastAsia"/>
                <w:spacing w:val="-4"/>
                <w:sz w:val="18"/>
                <w:szCs w:val="18"/>
              </w:rPr>
              <w:t>的基本理论和技术实践。</w:t>
            </w:r>
            <w:r>
              <w:rPr>
                <w:rFonts w:hint="eastAsia" w:hAnsi="等线"/>
                <w:spacing w:val="-4"/>
                <w:kern w:val="0"/>
                <w:sz w:val="18"/>
                <w:szCs w:val="18"/>
              </w:rPr>
              <w:t>应用工程项目管理原理和经济决策方法划分和管理课题任务，</w:t>
            </w:r>
            <w:r>
              <w:rPr>
                <w:rFonts w:hint="eastAsia"/>
                <w:spacing w:val="-4"/>
                <w:sz w:val="18"/>
                <w:szCs w:val="18"/>
              </w:rPr>
              <w:t>培养项目组织管理能力</w:t>
            </w:r>
            <w:r>
              <w:rPr>
                <w:rFonts w:hint="eastAsia"/>
                <w:sz w:val="18"/>
                <w:szCs w:val="18"/>
              </w:rPr>
              <w:t>。</w:t>
            </w:r>
            <w:r>
              <w:rPr>
                <w:rFonts w:hint="eastAsia" w:ascii="Times New Roman" w:hAnsi="Times New Roman" w:cs="Times New Roman"/>
              </w:rPr>
              <w:t>（20分）</w:t>
            </w:r>
          </w:p>
        </w:tc>
        <w:tc>
          <w:tcPr>
            <w:tcW w:w="5514" w:type="dxa"/>
            <w:vAlign w:val="center"/>
          </w:tcPr>
          <w:p w14:paraId="13A7ED84">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w:t>
            </w:r>
            <w:r>
              <w:rPr>
                <w:rFonts w:hint="eastAsia" w:ascii="Times New Roman" w:hAnsi="Times New Roman" w:cs="Times New Roman"/>
                <w:sz w:val="21"/>
                <w:szCs w:val="21"/>
              </w:rPr>
              <w:t>、能够正确理解课题目标任务，并做好需求分析、软件设计、软件测试等关键环节的实践工作，具备团队协调、协作和组织管理能力。</w:t>
            </w:r>
          </w:p>
        </w:tc>
        <w:tc>
          <w:tcPr>
            <w:tcW w:w="1316" w:type="dxa"/>
            <w:vMerge w:val="restart"/>
            <w:vAlign w:val="center"/>
          </w:tcPr>
          <w:p w14:paraId="2C4F9E79">
            <w:pPr>
              <w:spacing w:before="62" w:beforeLines="20" w:after="62" w:afterLines="20"/>
              <w:jc w:val="center"/>
              <w:rPr>
                <w:b/>
                <w:bCs/>
              </w:rPr>
            </w:pPr>
          </w:p>
        </w:tc>
      </w:tr>
      <w:tr w14:paraId="0A59E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7DD2BA96">
            <w:pPr>
              <w:spacing w:before="93" w:beforeLines="30" w:after="93" w:afterLines="30"/>
              <w:jc w:val="left"/>
              <w:rPr>
                <w:rFonts w:ascii="Times New Roman" w:hAnsi="Times New Roman" w:cs="Times New Roman"/>
              </w:rPr>
            </w:pPr>
          </w:p>
        </w:tc>
        <w:tc>
          <w:tcPr>
            <w:tcW w:w="5514" w:type="dxa"/>
            <w:vAlign w:val="center"/>
          </w:tcPr>
          <w:p w14:paraId="184D0CEC">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r>
              <w:rPr>
                <w:rFonts w:hint="eastAsia" w:ascii="Times New Roman" w:hAnsi="Times New Roman" w:cs="Times New Roman"/>
                <w:sz w:val="21"/>
                <w:szCs w:val="21"/>
              </w:rPr>
              <w:t>。</w:t>
            </w:r>
          </w:p>
        </w:tc>
        <w:tc>
          <w:tcPr>
            <w:tcW w:w="1316" w:type="dxa"/>
            <w:vMerge w:val="continue"/>
            <w:vAlign w:val="center"/>
          </w:tcPr>
          <w:p w14:paraId="5EF57A19">
            <w:pPr>
              <w:spacing w:before="62" w:beforeLines="20" w:after="62" w:afterLines="20"/>
              <w:jc w:val="center"/>
              <w:rPr>
                <w:b/>
                <w:bCs/>
              </w:rPr>
            </w:pPr>
          </w:p>
        </w:tc>
      </w:tr>
      <w:tr w14:paraId="182E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restart"/>
            <w:vAlign w:val="center"/>
          </w:tcPr>
          <w:p w14:paraId="36C14F78">
            <w:pPr>
              <w:spacing w:before="93" w:beforeLines="30" w:after="93" w:afterLines="30"/>
              <w:jc w:val="left"/>
              <w:rPr>
                <w:rFonts w:ascii="Times New Roman" w:hAnsi="Times New Roman" w:cs="Times New Roman"/>
              </w:rPr>
            </w:pPr>
            <w:r>
              <w:rPr>
                <w:rFonts w:hint="eastAsia" w:ascii="Times New Roman" w:hAnsi="Times New Roman" w:cs="Times New Roman"/>
              </w:rPr>
              <w:t>课程目标4：</w:t>
            </w:r>
            <w:r>
              <w:rPr>
                <w:rFonts w:hint="eastAsia"/>
                <w:sz w:val="18"/>
                <w:szCs w:val="18"/>
              </w:rPr>
              <w:t>要求学生能够通过参与项目设计与开发的全过程，建立解决实际问题需要不断</w:t>
            </w:r>
            <w:r>
              <w:rPr>
                <w:sz w:val="18"/>
                <w:szCs w:val="18"/>
              </w:rPr>
              <w:t>探索和学习</w:t>
            </w:r>
            <w:r>
              <w:rPr>
                <w:rFonts w:hint="eastAsia"/>
                <w:sz w:val="18"/>
                <w:szCs w:val="18"/>
              </w:rPr>
              <w:t>的主动性意识</w:t>
            </w:r>
            <w:r>
              <w:rPr>
                <w:sz w:val="18"/>
                <w:szCs w:val="18"/>
              </w:rPr>
              <w:t>，</w:t>
            </w:r>
            <w:r>
              <w:rPr>
                <w:rFonts w:hint="eastAsia"/>
                <w:sz w:val="18"/>
                <w:szCs w:val="18"/>
              </w:rPr>
              <w:t>能够结合实际问题的特征需求，通过自主学习、终生学习，</w:t>
            </w:r>
            <w:r>
              <w:rPr>
                <w:sz w:val="18"/>
                <w:szCs w:val="18"/>
              </w:rPr>
              <w:t>拓展</w:t>
            </w:r>
            <w:r>
              <w:rPr>
                <w:rFonts w:hint="eastAsia"/>
                <w:sz w:val="18"/>
                <w:szCs w:val="18"/>
              </w:rPr>
              <w:t>自身的</w:t>
            </w:r>
            <w:r>
              <w:rPr>
                <w:sz w:val="18"/>
                <w:szCs w:val="18"/>
              </w:rPr>
              <w:t>知识和能力。</w:t>
            </w:r>
            <w:r>
              <w:rPr>
                <w:rFonts w:hint="eastAsia" w:ascii="Times New Roman" w:hAnsi="Times New Roman" w:cs="Times New Roman"/>
              </w:rPr>
              <w:t>（20分）</w:t>
            </w:r>
          </w:p>
        </w:tc>
        <w:tc>
          <w:tcPr>
            <w:tcW w:w="5514" w:type="dxa"/>
            <w:vAlign w:val="center"/>
          </w:tcPr>
          <w:p w14:paraId="31127088">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9、具备一定自学能力与探索创新意识，能够充分利用教科书及其资源（如网络等）自学新知识与新技能</w:t>
            </w:r>
            <w:r>
              <w:rPr>
                <w:rFonts w:hint="eastAsia" w:ascii="Times New Roman" w:hAnsi="Times New Roman" w:cs="Times New Roman"/>
                <w:sz w:val="21"/>
                <w:szCs w:val="21"/>
              </w:rPr>
              <w:t>，以解决实际问题。</w:t>
            </w:r>
          </w:p>
        </w:tc>
        <w:tc>
          <w:tcPr>
            <w:tcW w:w="1316" w:type="dxa"/>
            <w:vMerge w:val="restart"/>
            <w:vAlign w:val="center"/>
          </w:tcPr>
          <w:p w14:paraId="2B73E541">
            <w:pPr>
              <w:spacing w:before="62" w:beforeLines="20" w:after="62" w:afterLines="20"/>
              <w:jc w:val="center"/>
              <w:rPr>
                <w:b/>
                <w:bCs/>
              </w:rPr>
            </w:pPr>
          </w:p>
        </w:tc>
      </w:tr>
      <w:tr w14:paraId="7C4C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5185AD16">
            <w:pPr>
              <w:spacing w:before="93" w:beforeLines="30" w:after="93" w:afterLines="30"/>
              <w:jc w:val="left"/>
              <w:rPr>
                <w:rFonts w:ascii="Times New Roman" w:hAnsi="Times New Roman" w:cs="Times New Roman"/>
              </w:rPr>
            </w:pPr>
          </w:p>
        </w:tc>
        <w:tc>
          <w:tcPr>
            <w:tcW w:w="5514" w:type="dxa"/>
            <w:vAlign w:val="center"/>
          </w:tcPr>
          <w:p w14:paraId="104DFB9D">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10、能够正确、完整地回答指导教师关于课题</w:t>
            </w:r>
            <w:r>
              <w:rPr>
                <w:rFonts w:hint="eastAsia" w:ascii="Times New Roman" w:hAnsi="Times New Roman" w:cs="Times New Roman"/>
                <w:sz w:val="21"/>
                <w:szCs w:val="21"/>
              </w:rPr>
              <w:t>开发全过程</w:t>
            </w:r>
            <w:r>
              <w:rPr>
                <w:rFonts w:ascii="Times New Roman" w:hAnsi="Times New Roman" w:cs="Times New Roman"/>
                <w:sz w:val="21"/>
                <w:szCs w:val="21"/>
              </w:rPr>
              <w:t>的问询，</w:t>
            </w:r>
            <w:r>
              <w:rPr>
                <w:rFonts w:hint="eastAsia" w:ascii="Times New Roman" w:hAnsi="Times New Roman" w:cs="Times New Roman"/>
                <w:sz w:val="21"/>
                <w:szCs w:val="21"/>
              </w:rPr>
              <w:t>能够掌握解决具体问题的一般性规律和方法</w:t>
            </w:r>
            <w:r>
              <w:rPr>
                <w:rFonts w:ascii="Times New Roman" w:hAnsi="Times New Roman" w:cs="Times New Roman"/>
                <w:sz w:val="21"/>
                <w:szCs w:val="21"/>
              </w:rPr>
              <w:t>，</w:t>
            </w:r>
            <w:r>
              <w:rPr>
                <w:rFonts w:hint="eastAsia" w:ascii="Times New Roman" w:hAnsi="Times New Roman" w:cs="Times New Roman"/>
                <w:sz w:val="21"/>
                <w:szCs w:val="21"/>
              </w:rPr>
              <w:t>具备自主学习、终生学习的意识。</w:t>
            </w:r>
          </w:p>
        </w:tc>
        <w:tc>
          <w:tcPr>
            <w:tcW w:w="1316" w:type="dxa"/>
            <w:vMerge w:val="continue"/>
            <w:vAlign w:val="center"/>
          </w:tcPr>
          <w:p w14:paraId="1ABA689D">
            <w:pPr>
              <w:spacing w:before="62" w:beforeLines="20" w:after="62" w:afterLines="20"/>
              <w:jc w:val="center"/>
              <w:rPr>
                <w:b/>
                <w:bCs/>
              </w:rPr>
            </w:pPr>
          </w:p>
        </w:tc>
      </w:tr>
      <w:tr w14:paraId="5D50E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8" w:hRule="atLeast"/>
        </w:trPr>
        <w:tc>
          <w:tcPr>
            <w:tcW w:w="8492" w:type="dxa"/>
            <w:gridSpan w:val="3"/>
            <w:vAlign w:val="center"/>
          </w:tcPr>
          <w:p w14:paraId="0E87250B">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71A4E0CC">
            <w:pPr>
              <w:spacing w:before="62" w:beforeLines="20" w:after="62" w:afterLines="20"/>
              <w:jc w:val="center"/>
              <w:rPr>
                <w:b/>
                <w:bCs/>
              </w:rPr>
            </w:pPr>
          </w:p>
        </w:tc>
      </w:tr>
      <w:tr w14:paraId="502E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19" w:hRule="atLeast"/>
        </w:trPr>
        <w:tc>
          <w:tcPr>
            <w:tcW w:w="9808" w:type="dxa"/>
            <w:gridSpan w:val="4"/>
            <w:vAlign w:val="center"/>
          </w:tcPr>
          <w:p w14:paraId="04F11E4D">
            <w:pPr>
              <w:jc w:val="center"/>
              <w:rPr>
                <w:b/>
                <w:bCs/>
              </w:rPr>
            </w:pPr>
            <w:r>
              <w:rPr>
                <w:rFonts w:hint="eastAsia"/>
                <w:b/>
                <w:bCs/>
              </w:rPr>
              <w:t xml:space="preserve"> </w:t>
            </w:r>
            <w:r>
              <w:rPr>
                <w:b/>
                <w:bCs/>
              </w:rPr>
              <w:t xml:space="preserve">       </w:t>
            </w:r>
          </w:p>
          <w:p w14:paraId="31241464">
            <w:pPr>
              <w:jc w:val="center"/>
              <w:rPr>
                <w:b/>
                <w:bCs/>
              </w:rPr>
            </w:pPr>
            <w:r>
              <w:rPr>
                <w:rFonts w:hint="eastAsia"/>
                <w:b/>
                <w:bCs/>
              </w:rPr>
              <w:t>指导教师：</w:t>
            </w:r>
            <w:r>
              <w:rPr>
                <w:rFonts w:hint="eastAsia"/>
                <w:b/>
                <w:bCs/>
                <w:u w:val="single"/>
              </w:rPr>
              <w:t xml:space="preserve">   陈兴国      </w:t>
            </w:r>
            <w:r>
              <w:rPr>
                <w:rFonts w:hint="eastAsia"/>
                <w:b/>
                <w:bCs/>
              </w:rPr>
              <w:t xml:space="preserve">                </w:t>
            </w:r>
            <w:r>
              <w:rPr>
                <w:b/>
                <w:bCs/>
              </w:rPr>
              <w:t xml:space="preserve">      </w:t>
            </w:r>
            <w:r>
              <w:rPr>
                <w:rFonts w:hint="eastAsia"/>
                <w:b/>
                <w:bCs/>
                <w:u w:val="single"/>
              </w:rPr>
              <w:t xml:space="preserve">  </w:t>
            </w:r>
            <w:r>
              <w:rPr>
                <w:b/>
                <w:bCs/>
                <w:u w:val="single"/>
              </w:rPr>
              <w:t>2026</w:t>
            </w:r>
            <w:r>
              <w:rPr>
                <w:rFonts w:hint="eastAsia"/>
                <w:b/>
                <w:bCs/>
                <w:u w:val="single"/>
              </w:rPr>
              <w:t xml:space="preserve">    </w:t>
            </w:r>
            <w:r>
              <w:rPr>
                <w:rFonts w:hint="eastAsia"/>
                <w:b/>
                <w:bCs/>
              </w:rPr>
              <w:t>年</w:t>
            </w:r>
            <w:r>
              <w:rPr>
                <w:rFonts w:hint="eastAsia"/>
                <w:b/>
                <w:bCs/>
                <w:u w:val="single"/>
              </w:rPr>
              <w:t xml:space="preserve"> </w:t>
            </w:r>
            <w:r>
              <w:rPr>
                <w:b/>
                <w:bCs/>
                <w:u w:val="single"/>
              </w:rPr>
              <w:t>10</w:t>
            </w:r>
            <w:r>
              <w:rPr>
                <w:rFonts w:hint="eastAsia"/>
                <w:b/>
                <w:bCs/>
                <w:u w:val="single"/>
              </w:rPr>
              <w:t xml:space="preserve">   </w:t>
            </w:r>
            <w:r>
              <w:rPr>
                <w:rFonts w:hint="eastAsia"/>
                <w:b/>
                <w:bCs/>
              </w:rPr>
              <w:t>月</w:t>
            </w:r>
            <w:r>
              <w:rPr>
                <w:rFonts w:hint="eastAsia"/>
                <w:b/>
                <w:bCs/>
                <w:u w:val="single"/>
              </w:rPr>
              <w:t xml:space="preserve">  </w:t>
            </w:r>
            <w:r>
              <w:rPr>
                <w:b/>
                <w:bCs/>
                <w:u w:val="single"/>
              </w:rPr>
              <w:t>25</w:t>
            </w:r>
            <w:r>
              <w:rPr>
                <w:rFonts w:hint="eastAsia"/>
                <w:b/>
                <w:bCs/>
                <w:u w:val="single"/>
              </w:rPr>
              <w:t xml:space="preserve">  </w:t>
            </w:r>
            <w:r>
              <w:rPr>
                <w:rFonts w:hint="eastAsia"/>
                <w:b/>
                <w:bCs/>
              </w:rPr>
              <w:t>日</w:t>
            </w:r>
          </w:p>
        </w:tc>
      </w:tr>
      <w:tr w14:paraId="04AF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60" w:type="dxa"/>
            <w:vAlign w:val="center"/>
          </w:tcPr>
          <w:p w14:paraId="35E42525">
            <w:pPr>
              <w:jc w:val="center"/>
              <w:rPr>
                <w:b/>
                <w:bCs/>
              </w:rPr>
            </w:pPr>
            <w:r>
              <w:rPr>
                <w:rFonts w:hint="eastAsia"/>
                <w:b/>
                <w:bCs/>
              </w:rPr>
              <w:t>备注</w:t>
            </w:r>
          </w:p>
        </w:tc>
        <w:tc>
          <w:tcPr>
            <w:tcW w:w="8248" w:type="dxa"/>
            <w:gridSpan w:val="3"/>
            <w:vAlign w:val="center"/>
          </w:tcPr>
          <w:p w14:paraId="0C71CC18">
            <w:pPr>
              <w:spacing w:before="156" w:beforeLines="50"/>
              <w:jc w:val="left"/>
              <w:rPr>
                <w:b/>
                <w:bCs/>
              </w:rPr>
            </w:pPr>
          </w:p>
        </w:tc>
      </w:tr>
    </w:tbl>
    <w:p w14:paraId="727069FB">
      <w:pPr>
        <w:keepNext/>
        <w:pageBreakBefore w:val="0"/>
        <w:widowControl/>
        <w:snapToGrid w:val="0"/>
        <w:spacing w:before="0" w:after="0" w:line="360" w:lineRule="auto"/>
        <w:ind w:left="0" w:right="0" w:firstLine="0"/>
        <w:jc w:val="center"/>
      </w:pPr>
      <w:r>
        <w:rPr>
          <w:rFonts w:ascii="Times New Roman" w:hAnsi="Times New Roman" w:eastAsia="宋体"/>
          <w:b/>
          <w:color w:val="000000"/>
          <w:sz w:val="32"/>
        </w:rPr>
        <w:t>中国象棋游戏及其AI算法</w:t>
      </w:r>
    </w:p>
    <w:p w14:paraId="150EC0D9">
      <w:pPr>
        <w:keepNext/>
        <w:pageBreakBefore w:val="0"/>
        <w:widowControl/>
        <w:snapToGrid w:val="0"/>
        <w:spacing w:before="0" w:after="0" w:line="360" w:lineRule="auto"/>
        <w:ind w:left="0" w:right="0" w:firstLine="0"/>
        <w:jc w:val="both"/>
      </w:pPr>
      <w:r>
        <w:rPr>
          <w:rFonts w:ascii="Times New Roman" w:hAnsi="Times New Roman" w:eastAsia="宋体"/>
          <w:b/>
          <w:color w:val="000000"/>
          <w:sz w:val="28"/>
        </w:rPr>
        <w:t>一、课题内容和要求</w:t>
      </w:r>
    </w:p>
    <w:p w14:paraId="4C22058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中国象棋软件既要服从棋子的局部走法，也要处理将帅安全、轮流行棋、终局和历史条件。本课题将这些约束组织为统一规则引擎，在此基础上设计能够受时间限制的搜索算法，并通过独立服务向网页对局程序提供建议着法。课程功能还包括三类对战、推荐、结果统计和棋谱操作，其中规则及AI输出必须与对局端保持一致。</w:t>
      </w:r>
    </w:p>
    <w:p w14:paraId="308E0A25">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1.1 本人任务与协作方式</w:t>
      </w:r>
    </w:p>
    <w:p w14:paraId="1B25314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我叫孙鸣远，学号B23040514，按当前分工负责总体设计、象棋规则与AI核心。工作范围包括模块依赖、数据契约、规则生成与裁决、启发式评估、搜索控制、独立AI服务以及皮卡鱼协议适配。组长孙榕鸿负责界面交互、对局管理与系统测试，双方在协议字段、取消语义和规则边界上共同联调。</w:t>
      </w:r>
    </w:p>
    <w:p w14:paraId="4A5156D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报告以engine/rules.py、engine/evaluation.py、ai/search.py、ai/server.py、ai/worker.py和backend/pikafish.py为主要技术入口。对局管理模块如何保存和恢复历史、前端如何显示与操作，由组长报告展开；这里说明它们需要遵守的输入输出条件，不重复介绍按钮和页面实现。</w:t>
      </w:r>
    </w:p>
    <w:p w14:paraId="359574BE">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1.2 必须满足的设计条件</w:t>
      </w:r>
    </w:p>
    <w:p w14:paraId="7B4E439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规则层应独立于浏览器与网络，给定相同局面和执方就产生一致结果。搜索必须使用这套规则，不能为了速度接受非法落子。时间用尽时保留最近一次完整迭代，取消或断连后释放计算资源。接口允许兼容客户端直接调用，异常必须给出明确错误，而不能偷偷换成随机着法。</w:t>
      </w:r>
    </w:p>
    <w:p w14:paraId="38BF482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课程提出战胜指导教师的目标。工程上可以通过算法改进和成熟引擎方案提高胜算，但实际胜局仍须现场确认。自研程序与第三方程序分别标注；本项目没有自行训练皮卡鱼的NNUE权重，也不把第三方搜索实现列作个人原创算法。</w:t>
      </w:r>
    </w:p>
    <w:p w14:paraId="3ECF7869">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二、需求分析和总体设计</w:t>
      </w:r>
    </w:p>
    <w:p w14:paraId="469AECD1">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2.1 按职责划分的功能需求</w:t>
      </w:r>
    </w:p>
    <w:p w14:paraId="2456A8B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模块首先解决三个问题：哪些着法符合规则，怎样从合法着法中作出选择，以及怎样把计算能力提供给对局程序。设计应允许规则单独测试、搜索单独比较、服务单独接入，而不需要先打开网页才能检查一次算法调用。</w:t>
      </w:r>
    </w:p>
    <w:tbl>
      <w:tblPr>
        <w:tblStyle w:val="11"/>
        <w:tblW w:w="0" w:type="auto"/>
        <w:tblInd w:w="0" w:type="dxa"/>
        <w:tblLayout w:type="fixed"/>
        <w:tblCellMar>
          <w:top w:w="0" w:type="dxa"/>
          <w:left w:w="108" w:type="dxa"/>
          <w:bottom w:w="0" w:type="dxa"/>
          <w:right w:w="108" w:type="dxa"/>
        </w:tblCellMar>
      </w:tblPr>
      <w:tblGrid>
        <w:gridCol w:w="1800"/>
        <w:gridCol w:w="2880"/>
        <w:gridCol w:w="3960"/>
      </w:tblGrid>
      <w:tr w14:paraId="24A066DF">
        <w:tblPrEx>
          <w:tblCellMar>
            <w:top w:w="0" w:type="dxa"/>
            <w:left w:w="108" w:type="dxa"/>
            <w:bottom w:w="0" w:type="dxa"/>
            <w:right w:w="108" w:type="dxa"/>
          </w:tblCellMar>
        </w:tblPrEx>
        <w:trPr>
          <w:cantSplit/>
          <w:tblHeader/>
        </w:trPr>
        <w:tc>
          <w:tcPr>
            <w:tcW w:w="18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9DF91F9">
            <w:pPr>
              <w:spacing w:before="0" w:after="0" w:line="276" w:lineRule="auto"/>
              <w:ind w:firstLine="0"/>
              <w:jc w:val="left"/>
            </w:pPr>
            <w:r>
              <w:rPr>
                <w:rFonts w:ascii="Times New Roman" w:hAnsi="Times New Roman" w:eastAsia="宋体"/>
                <w:b/>
                <w:color w:val="000000"/>
                <w:sz w:val="21"/>
              </w:rPr>
              <w:t>能力</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83ECF01">
            <w:pPr>
              <w:spacing w:before="0" w:after="0" w:line="276" w:lineRule="auto"/>
              <w:ind w:firstLine="0"/>
              <w:jc w:val="left"/>
            </w:pPr>
            <w:r>
              <w:rPr>
                <w:rFonts w:ascii="Times New Roman" w:hAnsi="Times New Roman" w:eastAsia="宋体"/>
                <w:b/>
                <w:color w:val="000000"/>
                <w:sz w:val="21"/>
              </w:rPr>
              <w:t>输入</w:t>
            </w:r>
          </w:p>
        </w:tc>
        <w:tc>
          <w:tcPr>
            <w:tcW w:w="396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8EFA139">
            <w:pPr>
              <w:spacing w:before="0" w:after="0" w:line="276" w:lineRule="auto"/>
              <w:ind w:firstLine="0"/>
              <w:jc w:val="left"/>
            </w:pPr>
            <w:r>
              <w:rPr>
                <w:rFonts w:ascii="Times New Roman" w:hAnsi="Times New Roman" w:eastAsia="宋体"/>
                <w:b/>
                <w:color w:val="000000"/>
                <w:sz w:val="21"/>
              </w:rPr>
              <w:t>输出或约束</w:t>
            </w:r>
          </w:p>
        </w:tc>
      </w:tr>
      <w:tr w14:paraId="4195FDE6">
        <w:tblPrEx>
          <w:tblCellMar>
            <w:top w:w="0" w:type="dxa"/>
            <w:left w:w="108" w:type="dxa"/>
            <w:bottom w:w="0" w:type="dxa"/>
            <w:right w:w="108" w:type="dxa"/>
          </w:tblCellMar>
        </w:tblPrEx>
        <w:trPr>
          <w:cantSplit/>
        </w:trPr>
        <w:tc>
          <w:tcPr>
            <w:tcW w:w="18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87A7923">
            <w:pPr>
              <w:spacing w:before="0" w:after="0" w:line="276" w:lineRule="auto"/>
              <w:ind w:firstLine="0"/>
              <w:jc w:val="left"/>
            </w:pPr>
            <w:r>
              <w:rPr>
                <w:rFonts w:ascii="Times New Roman" w:hAnsi="Times New Roman" w:eastAsia="宋体"/>
                <w:b w:val="0"/>
                <w:color w:val="000000"/>
                <w:sz w:val="21"/>
              </w:rPr>
              <w:t>规则查询</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95DF15F">
            <w:pPr>
              <w:spacing w:before="0" w:after="0" w:line="276" w:lineRule="auto"/>
              <w:ind w:firstLine="0"/>
              <w:jc w:val="left"/>
            </w:pPr>
            <w:r>
              <w:rPr>
                <w:rFonts w:ascii="Times New Roman" w:hAnsi="Times New Roman" w:eastAsia="宋体"/>
                <w:b w:val="0"/>
                <w:color w:val="000000"/>
                <w:sz w:val="21"/>
              </w:rPr>
              <w:t>棋盘、当前执方</w:t>
            </w:r>
          </w:p>
        </w:tc>
        <w:tc>
          <w:tcPr>
            <w:tcW w:w="396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E63E1F5">
            <w:pPr>
              <w:spacing w:before="0" w:after="0" w:line="276" w:lineRule="auto"/>
              <w:ind w:firstLine="0"/>
              <w:jc w:val="left"/>
            </w:pPr>
            <w:r>
              <w:rPr>
                <w:rFonts w:ascii="Times New Roman" w:hAnsi="Times New Roman" w:eastAsia="宋体"/>
                <w:b w:val="0"/>
                <w:color w:val="000000"/>
                <w:sz w:val="21"/>
              </w:rPr>
              <w:t>完整合法走法、将军状态</w:t>
            </w:r>
          </w:p>
        </w:tc>
      </w:tr>
      <w:tr w14:paraId="68BEC15F">
        <w:tblPrEx>
          <w:tblCellMar>
            <w:top w:w="0" w:type="dxa"/>
            <w:left w:w="108" w:type="dxa"/>
            <w:bottom w:w="0" w:type="dxa"/>
            <w:right w:w="108" w:type="dxa"/>
          </w:tblCellMar>
        </w:tblPrEx>
        <w:trPr>
          <w:cantSplit/>
        </w:trPr>
        <w:tc>
          <w:tcPr>
            <w:tcW w:w="18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F083F7E">
            <w:pPr>
              <w:spacing w:before="0" w:after="0" w:line="276" w:lineRule="auto"/>
              <w:ind w:firstLine="0"/>
              <w:jc w:val="left"/>
            </w:pPr>
            <w:r>
              <w:rPr>
                <w:rFonts w:ascii="Times New Roman" w:hAnsi="Times New Roman" w:eastAsia="宋体"/>
                <w:b w:val="0"/>
                <w:color w:val="000000"/>
                <w:sz w:val="21"/>
              </w:rPr>
              <w:t>局面推进</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0188F7F">
            <w:pPr>
              <w:spacing w:before="0" w:after="0" w:line="276" w:lineRule="auto"/>
              <w:ind w:firstLine="0"/>
              <w:jc w:val="left"/>
            </w:pPr>
            <w:r>
              <w:rPr>
                <w:rFonts w:ascii="Times New Roman" w:hAnsi="Times New Roman" w:eastAsia="宋体"/>
                <w:b w:val="0"/>
                <w:color w:val="000000"/>
                <w:sz w:val="21"/>
              </w:rPr>
              <w:t>不可变局面、合法走法</w:t>
            </w:r>
          </w:p>
        </w:tc>
        <w:tc>
          <w:tcPr>
            <w:tcW w:w="396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7BA475B">
            <w:pPr>
              <w:spacing w:before="0" w:after="0" w:line="276" w:lineRule="auto"/>
              <w:ind w:firstLine="0"/>
              <w:jc w:val="left"/>
            </w:pPr>
            <w:r>
              <w:rPr>
                <w:rFonts w:ascii="Times New Roman" w:hAnsi="Times New Roman" w:eastAsia="宋体"/>
                <w:b w:val="0"/>
                <w:color w:val="000000"/>
                <w:sz w:val="21"/>
              </w:rPr>
              <w:t>新局面及历史条件</w:t>
            </w:r>
          </w:p>
        </w:tc>
      </w:tr>
      <w:tr w14:paraId="5FD76C1D">
        <w:tblPrEx>
          <w:tblCellMar>
            <w:top w:w="0" w:type="dxa"/>
            <w:left w:w="108" w:type="dxa"/>
            <w:bottom w:w="0" w:type="dxa"/>
            <w:right w:w="108" w:type="dxa"/>
          </w:tblCellMar>
        </w:tblPrEx>
        <w:trPr>
          <w:cantSplit/>
        </w:trPr>
        <w:tc>
          <w:tcPr>
            <w:tcW w:w="18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137C2E0">
            <w:pPr>
              <w:spacing w:before="0" w:after="0" w:line="276" w:lineRule="auto"/>
              <w:ind w:firstLine="0"/>
              <w:jc w:val="left"/>
            </w:pPr>
            <w:r>
              <w:rPr>
                <w:rFonts w:ascii="Times New Roman" w:hAnsi="Times New Roman" w:eastAsia="宋体"/>
                <w:b w:val="0"/>
                <w:color w:val="000000"/>
                <w:sz w:val="21"/>
              </w:rPr>
              <w:t>终局裁决</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6F79837">
            <w:pPr>
              <w:spacing w:before="0" w:after="0" w:line="276" w:lineRule="auto"/>
              <w:ind w:firstLine="0"/>
              <w:jc w:val="left"/>
            </w:pPr>
            <w:r>
              <w:rPr>
                <w:rFonts w:ascii="Times New Roman" w:hAnsi="Times New Roman" w:eastAsia="宋体"/>
                <w:b w:val="0"/>
                <w:color w:val="000000"/>
                <w:sz w:val="21"/>
              </w:rPr>
              <w:t>当前局面与历史</w:t>
            </w:r>
          </w:p>
        </w:tc>
        <w:tc>
          <w:tcPr>
            <w:tcW w:w="396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5AD1421">
            <w:pPr>
              <w:spacing w:before="0" w:after="0" w:line="276" w:lineRule="auto"/>
              <w:ind w:firstLine="0"/>
              <w:jc w:val="left"/>
            </w:pPr>
            <w:r>
              <w:rPr>
                <w:rFonts w:ascii="Times New Roman" w:hAnsi="Times New Roman" w:eastAsia="宋体"/>
                <w:b w:val="0"/>
                <w:color w:val="000000"/>
                <w:sz w:val="21"/>
              </w:rPr>
              <w:t>胜方及原因，或尚未结束</w:t>
            </w:r>
          </w:p>
        </w:tc>
      </w:tr>
      <w:tr w14:paraId="1C989AC6">
        <w:tblPrEx>
          <w:tblCellMar>
            <w:top w:w="0" w:type="dxa"/>
            <w:left w:w="108" w:type="dxa"/>
            <w:bottom w:w="0" w:type="dxa"/>
            <w:right w:w="108" w:type="dxa"/>
          </w:tblCellMar>
        </w:tblPrEx>
        <w:trPr>
          <w:cantSplit/>
        </w:trPr>
        <w:tc>
          <w:tcPr>
            <w:tcW w:w="18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1BA24E6">
            <w:pPr>
              <w:spacing w:before="0" w:after="0" w:line="276" w:lineRule="auto"/>
              <w:ind w:firstLine="0"/>
              <w:jc w:val="left"/>
            </w:pPr>
            <w:r>
              <w:rPr>
                <w:rFonts w:ascii="Times New Roman" w:hAnsi="Times New Roman" w:eastAsia="宋体"/>
                <w:b w:val="0"/>
                <w:color w:val="000000"/>
                <w:sz w:val="21"/>
              </w:rPr>
              <w:t>自研搜索</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271608A">
            <w:pPr>
              <w:spacing w:before="0" w:after="0" w:line="276" w:lineRule="auto"/>
              <w:ind w:firstLine="0"/>
              <w:jc w:val="left"/>
            </w:pPr>
            <w:r>
              <w:rPr>
                <w:rFonts w:ascii="Times New Roman" w:hAnsi="Times New Roman" w:eastAsia="宋体"/>
                <w:b w:val="0"/>
                <w:color w:val="000000"/>
                <w:sz w:val="21"/>
              </w:rPr>
              <w:t>局面、深度与时间上限</w:t>
            </w:r>
          </w:p>
        </w:tc>
        <w:tc>
          <w:tcPr>
            <w:tcW w:w="396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C8725A0">
            <w:pPr>
              <w:spacing w:before="0" w:after="0" w:line="276" w:lineRule="auto"/>
              <w:ind w:firstLine="0"/>
              <w:jc w:val="left"/>
            </w:pPr>
            <w:r>
              <w:rPr>
                <w:rFonts w:ascii="Times New Roman" w:hAnsi="Times New Roman" w:eastAsia="宋体"/>
                <w:b w:val="0"/>
                <w:color w:val="000000"/>
                <w:sz w:val="21"/>
              </w:rPr>
              <w:t>着法、主变、深度、节点及评分</w:t>
            </w:r>
          </w:p>
        </w:tc>
      </w:tr>
      <w:tr w14:paraId="0DD29906">
        <w:tblPrEx>
          <w:tblCellMar>
            <w:top w:w="0" w:type="dxa"/>
            <w:left w:w="108" w:type="dxa"/>
            <w:bottom w:w="0" w:type="dxa"/>
            <w:right w:w="108" w:type="dxa"/>
          </w:tblCellMar>
        </w:tblPrEx>
        <w:trPr>
          <w:cantSplit/>
        </w:trPr>
        <w:tc>
          <w:tcPr>
            <w:tcW w:w="18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FC7F527">
            <w:pPr>
              <w:spacing w:before="0" w:after="0" w:line="276" w:lineRule="auto"/>
              <w:ind w:firstLine="0"/>
              <w:jc w:val="left"/>
            </w:pPr>
            <w:r>
              <w:rPr>
                <w:rFonts w:ascii="Times New Roman" w:hAnsi="Times New Roman" w:eastAsia="宋体"/>
                <w:b w:val="0"/>
                <w:color w:val="000000"/>
                <w:sz w:val="21"/>
              </w:rPr>
              <w:t>独立通信</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17BFF53">
            <w:pPr>
              <w:spacing w:before="0" w:after="0" w:line="276" w:lineRule="auto"/>
              <w:ind w:firstLine="0"/>
              <w:jc w:val="left"/>
            </w:pPr>
            <w:r>
              <w:rPr>
                <w:rFonts w:ascii="Times New Roman" w:hAnsi="Times New Roman" w:eastAsia="宋体"/>
                <w:b w:val="0"/>
                <w:color w:val="000000"/>
                <w:sz w:val="21"/>
              </w:rPr>
              <w:t>JSON搜索或取消请求</w:t>
            </w:r>
          </w:p>
        </w:tc>
        <w:tc>
          <w:tcPr>
            <w:tcW w:w="396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ACF6CFD">
            <w:pPr>
              <w:spacing w:before="0" w:after="0" w:line="276" w:lineRule="auto"/>
              <w:ind w:firstLine="0"/>
              <w:jc w:val="left"/>
            </w:pPr>
            <w:r>
              <w:rPr>
                <w:rFonts w:ascii="Times New Roman" w:hAnsi="Times New Roman" w:eastAsia="宋体"/>
                <w:b w:val="0"/>
                <w:color w:val="000000"/>
                <w:sz w:val="21"/>
              </w:rPr>
              <w:t>关联响应、错误或取消确认</w:t>
            </w:r>
          </w:p>
        </w:tc>
      </w:tr>
      <w:tr w14:paraId="220D9E2B">
        <w:tblPrEx>
          <w:tblCellMar>
            <w:top w:w="0" w:type="dxa"/>
            <w:left w:w="108" w:type="dxa"/>
            <w:bottom w:w="0" w:type="dxa"/>
            <w:right w:w="108" w:type="dxa"/>
          </w:tblCellMar>
        </w:tblPrEx>
        <w:trPr>
          <w:cantSplit/>
        </w:trPr>
        <w:tc>
          <w:tcPr>
            <w:tcW w:w="18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71F63CD">
            <w:pPr>
              <w:spacing w:before="0" w:after="0" w:line="276" w:lineRule="auto"/>
              <w:ind w:firstLine="0"/>
              <w:jc w:val="left"/>
            </w:pPr>
            <w:r>
              <w:rPr>
                <w:rFonts w:ascii="Times New Roman" w:hAnsi="Times New Roman" w:eastAsia="宋体"/>
                <w:b w:val="0"/>
                <w:color w:val="000000"/>
                <w:sz w:val="21"/>
              </w:rPr>
              <w:t>原生引擎适配</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55AAB61">
            <w:pPr>
              <w:spacing w:before="0" w:after="0" w:line="276" w:lineRule="auto"/>
              <w:ind w:firstLine="0"/>
              <w:jc w:val="left"/>
            </w:pPr>
            <w:r>
              <w:rPr>
                <w:rFonts w:ascii="Times New Roman" w:hAnsi="Times New Roman" w:eastAsia="宋体"/>
                <w:b w:val="0"/>
                <w:color w:val="000000"/>
                <w:sz w:val="21"/>
              </w:rPr>
              <w:t>同一局面与引擎配置</w:t>
            </w:r>
          </w:p>
        </w:tc>
        <w:tc>
          <w:tcPr>
            <w:tcW w:w="396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CCB4AFB">
            <w:pPr>
              <w:spacing w:before="0" w:after="0" w:line="276" w:lineRule="auto"/>
              <w:ind w:firstLine="0"/>
              <w:jc w:val="left"/>
            </w:pPr>
            <w:r>
              <w:rPr>
                <w:rFonts w:ascii="Times New Roman" w:hAnsi="Times New Roman" w:eastAsia="宋体"/>
                <w:b w:val="0"/>
                <w:color w:val="000000"/>
                <w:sz w:val="21"/>
              </w:rPr>
              <w:t>经课程规则验证的结果</w:t>
            </w:r>
          </w:p>
        </w:tc>
      </w:tr>
    </w:tbl>
    <w:p w14:paraId="4DCEC61C">
      <w:pPr>
        <w:pageBreakBefore w:val="0"/>
        <w:widowControl/>
        <w:snapToGrid w:val="0"/>
        <w:spacing w:before="0" w:after="0" w:line="72" w:lineRule="auto"/>
        <w:ind w:left="0" w:right="0" w:firstLine="0"/>
        <w:jc w:val="center"/>
      </w:pPr>
    </w:p>
    <w:p w14:paraId="2C9405E0">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2.1.1 整体分层与依赖</w:t>
      </w:r>
    </w:p>
    <w:p w14:paraId="5E961F93">
      <w:pPr>
        <w:keepNext/>
        <w:pageBreakBefore w:val="0"/>
        <w:widowControl/>
        <w:snapToGrid w:val="0"/>
        <w:spacing w:before="0" w:after="0" w:line="240" w:lineRule="auto"/>
        <w:ind w:left="0" w:right="0" w:firstLine="0"/>
        <w:jc w:val="center"/>
      </w:pPr>
      <w:r>
        <w:drawing>
          <wp:inline distT="0" distB="0" distL="114300" distR="114300">
            <wp:extent cx="5490845" cy="20389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90882" cy="2039470"/>
                    </a:xfrm>
                    <a:prstGeom prst="rect">
                      <a:avLst/>
                    </a:prstGeom>
                  </pic:spPr>
                </pic:pic>
              </a:graphicData>
            </a:graphic>
          </wp:inline>
        </w:drawing>
      </w:r>
    </w:p>
    <w:p w14:paraId="14D1855B">
      <w:pPr>
        <w:pageBreakBefore w:val="0"/>
        <w:widowControl/>
        <w:snapToGrid w:val="0"/>
        <w:spacing w:before="0" w:after="0" w:line="240" w:lineRule="auto"/>
        <w:ind w:left="0" w:right="0" w:firstLine="0"/>
        <w:jc w:val="center"/>
      </w:pPr>
      <w:r>
        <w:rPr>
          <w:rFonts w:ascii="Times New Roman" w:hAnsi="Times New Roman" w:eastAsia="宋体"/>
          <w:b w:val="0"/>
          <w:color w:val="000000"/>
          <w:sz w:val="21"/>
        </w:rPr>
        <w:t>图1 系统分层及规则依赖</w:t>
      </w:r>
    </w:p>
    <w:p w14:paraId="5A2B288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网页与对局控制不直接调用搜索递归；对局服务经WebSocket请求独立AI服务。规则包被对局服务、搜索器和适配器共同复用，其依赖方向保持向内。这样能在不重写界面的前提下比较自研与第三方引擎，也能在没有网络的单元测试中检查规则。</w:t>
      </w:r>
    </w:p>
    <w:p w14:paraId="02F9D04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部署采用本机浏览器与Python服务，默认只在回环地址工作。这一安排对应课程单对局规模，不包含多人房间、云端账户或数据库事务。完整应用测试由组长统筹，我的模块为其提供可检验的规则预期和搜索结果说明。</w:t>
      </w:r>
    </w:p>
    <w:p w14:paraId="14060EAF">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2.2 数据表单与局面模型</w:t>
      </w:r>
    </w:p>
    <w:p w14:paraId="46F42DB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模块采用对象与JSON组织数据，没有建立关系数据库。Position使用不可变数据类保存棋盘、执方、无吃子计数和局面键序列；走法用两个整数表示。不可变设计让搜索分支获得独立后继，减少递归返回后忘记恢复历史计数的风险。</w:t>
      </w:r>
    </w:p>
    <w:tbl>
      <w:tblPr>
        <w:tblStyle w:val="11"/>
        <w:tblW w:w="0" w:type="auto"/>
        <w:tblInd w:w="0" w:type="dxa"/>
        <w:tblLayout w:type="fixed"/>
        <w:tblCellMar>
          <w:top w:w="0" w:type="dxa"/>
          <w:left w:w="108" w:type="dxa"/>
          <w:bottom w:w="0" w:type="dxa"/>
          <w:right w:w="108" w:type="dxa"/>
        </w:tblCellMar>
      </w:tblPr>
      <w:tblGrid>
        <w:gridCol w:w="1584"/>
        <w:gridCol w:w="3024"/>
        <w:gridCol w:w="4032"/>
      </w:tblGrid>
      <w:tr w14:paraId="26207B34">
        <w:tblPrEx>
          <w:tblCellMar>
            <w:top w:w="0" w:type="dxa"/>
            <w:left w:w="108" w:type="dxa"/>
            <w:bottom w:w="0" w:type="dxa"/>
            <w:right w:w="108" w:type="dxa"/>
          </w:tblCellMar>
        </w:tblPrEx>
        <w:trPr>
          <w:cantSplit/>
          <w:tblHeader/>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9013AEB">
            <w:pPr>
              <w:spacing w:before="0" w:after="0" w:line="276" w:lineRule="auto"/>
              <w:ind w:firstLine="0"/>
              <w:jc w:val="left"/>
            </w:pPr>
            <w:r>
              <w:rPr>
                <w:rFonts w:ascii="Times New Roman" w:hAnsi="Times New Roman" w:eastAsia="宋体"/>
                <w:b/>
                <w:color w:val="000000"/>
                <w:sz w:val="21"/>
              </w:rPr>
              <w:t>字段</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97A4BF0">
            <w:pPr>
              <w:spacing w:before="0" w:after="0" w:line="276" w:lineRule="auto"/>
              <w:ind w:firstLine="0"/>
              <w:jc w:val="left"/>
            </w:pPr>
            <w:r>
              <w:rPr>
                <w:rFonts w:ascii="Times New Roman" w:hAnsi="Times New Roman" w:eastAsia="宋体"/>
                <w:b/>
                <w:color w:val="000000"/>
                <w:sz w:val="21"/>
              </w:rPr>
              <w:t>表示</w:t>
            </w:r>
          </w:p>
        </w:tc>
        <w:tc>
          <w:tcPr>
            <w:tcW w:w="403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743E205">
            <w:pPr>
              <w:spacing w:before="0" w:after="0" w:line="276" w:lineRule="auto"/>
              <w:ind w:firstLine="0"/>
              <w:jc w:val="left"/>
            </w:pPr>
            <w:r>
              <w:rPr>
                <w:rFonts w:ascii="Times New Roman" w:hAnsi="Times New Roman" w:eastAsia="宋体"/>
                <w:b/>
                <w:color w:val="000000"/>
                <w:sz w:val="21"/>
              </w:rPr>
              <w:t>设计理由</w:t>
            </w:r>
          </w:p>
        </w:tc>
      </w:tr>
      <w:tr w14:paraId="47B443B2">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5562A84">
            <w:pPr>
              <w:spacing w:before="0" w:after="0" w:line="276" w:lineRule="auto"/>
              <w:ind w:firstLine="0"/>
              <w:jc w:val="left"/>
            </w:pPr>
            <w:r>
              <w:rPr>
                <w:rFonts w:ascii="Times New Roman" w:hAnsi="Times New Roman" w:eastAsia="宋体"/>
                <w:b w:val="0"/>
                <w:color w:val="000000"/>
                <w:sz w:val="21"/>
              </w:rPr>
              <w:t>board</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4E1839F">
            <w:pPr>
              <w:spacing w:before="0" w:after="0" w:line="276" w:lineRule="auto"/>
              <w:ind w:firstLine="0"/>
              <w:jc w:val="left"/>
            </w:pPr>
            <w:r>
              <w:rPr>
                <w:rFonts w:ascii="Times New Roman" w:hAnsi="Times New Roman" w:eastAsia="宋体"/>
                <w:b w:val="0"/>
                <w:color w:val="000000"/>
                <w:sz w:val="21"/>
              </w:rPr>
              <w:t>90元素整数元组</w:t>
            </w:r>
          </w:p>
        </w:tc>
        <w:tc>
          <w:tcPr>
            <w:tcW w:w="403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0CE21BD">
            <w:pPr>
              <w:spacing w:before="0" w:after="0" w:line="276" w:lineRule="auto"/>
              <w:ind w:firstLine="0"/>
              <w:jc w:val="left"/>
            </w:pPr>
            <w:r>
              <w:rPr>
                <w:rFonts w:ascii="Times New Roman" w:hAnsi="Times New Roman" w:eastAsia="宋体"/>
                <w:b w:val="0"/>
                <w:color w:val="000000"/>
                <w:sz w:val="21"/>
              </w:rPr>
              <w:t>二维棋盘展平成一维，便于索引与缓存</w:t>
            </w:r>
          </w:p>
        </w:tc>
      </w:tr>
      <w:tr w14:paraId="612DCF62">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211422B">
            <w:pPr>
              <w:spacing w:before="0" w:after="0" w:line="276" w:lineRule="auto"/>
              <w:ind w:firstLine="0"/>
              <w:jc w:val="left"/>
            </w:pPr>
            <w:r>
              <w:rPr>
                <w:rFonts w:ascii="Times New Roman" w:hAnsi="Times New Roman" w:eastAsia="宋体"/>
                <w:b w:val="0"/>
                <w:color w:val="000000"/>
                <w:sz w:val="21"/>
              </w:rPr>
              <w:t>side</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8E29B32">
            <w:pPr>
              <w:spacing w:before="0" w:after="0" w:line="276" w:lineRule="auto"/>
              <w:ind w:firstLine="0"/>
              <w:jc w:val="left"/>
            </w:pPr>
            <w:r>
              <w:rPr>
                <w:rFonts w:ascii="Times New Roman" w:hAnsi="Times New Roman" w:eastAsia="宋体"/>
                <w:b w:val="0"/>
                <w:color w:val="000000"/>
                <w:sz w:val="21"/>
              </w:rPr>
              <w:t>red或black</w:t>
            </w:r>
          </w:p>
        </w:tc>
        <w:tc>
          <w:tcPr>
            <w:tcW w:w="403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3837A03">
            <w:pPr>
              <w:spacing w:before="0" w:after="0" w:line="276" w:lineRule="auto"/>
              <w:ind w:firstLine="0"/>
              <w:jc w:val="left"/>
            </w:pPr>
            <w:r>
              <w:rPr>
                <w:rFonts w:ascii="Times New Roman" w:hAnsi="Times New Roman" w:eastAsia="宋体"/>
                <w:b w:val="0"/>
                <w:color w:val="000000"/>
                <w:sz w:val="21"/>
              </w:rPr>
              <w:t>区分同一棋盘上不同方行棋</w:t>
            </w:r>
          </w:p>
        </w:tc>
      </w:tr>
      <w:tr w14:paraId="21102435">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4CDAB9F">
            <w:pPr>
              <w:spacing w:before="0" w:after="0" w:line="276" w:lineRule="auto"/>
              <w:ind w:firstLine="0"/>
              <w:jc w:val="left"/>
            </w:pPr>
            <w:r>
              <w:rPr>
                <w:rFonts w:ascii="Times New Roman" w:hAnsi="Times New Roman" w:eastAsia="宋体"/>
                <w:b w:val="0"/>
                <w:color w:val="000000"/>
                <w:sz w:val="21"/>
              </w:rPr>
              <w:t>no_capture</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956BE8A">
            <w:pPr>
              <w:spacing w:before="0" w:after="0" w:line="276" w:lineRule="auto"/>
              <w:ind w:firstLine="0"/>
              <w:jc w:val="left"/>
            </w:pPr>
            <w:r>
              <w:rPr>
                <w:rFonts w:ascii="Times New Roman" w:hAnsi="Times New Roman" w:eastAsia="宋体"/>
                <w:b w:val="0"/>
                <w:color w:val="000000"/>
                <w:sz w:val="21"/>
              </w:rPr>
              <w:t>无吃子半回合计数</w:t>
            </w:r>
          </w:p>
        </w:tc>
        <w:tc>
          <w:tcPr>
            <w:tcW w:w="403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EA86C3E">
            <w:pPr>
              <w:spacing w:before="0" w:after="0" w:line="276" w:lineRule="auto"/>
              <w:ind w:firstLine="0"/>
              <w:jc w:val="left"/>
            </w:pPr>
            <w:r>
              <w:rPr>
                <w:rFonts w:ascii="Times New Roman" w:hAnsi="Times New Roman" w:eastAsia="宋体"/>
                <w:b w:val="0"/>
                <w:color w:val="000000"/>
                <w:sz w:val="21"/>
              </w:rPr>
              <w:t>吃子清零，用于课程和棋条件</w:t>
            </w:r>
          </w:p>
        </w:tc>
      </w:tr>
      <w:tr w14:paraId="3B7EEE02">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97977E0">
            <w:pPr>
              <w:spacing w:before="0" w:after="0" w:line="276" w:lineRule="auto"/>
              <w:ind w:firstLine="0"/>
              <w:jc w:val="left"/>
            </w:pPr>
            <w:r>
              <w:rPr>
                <w:rFonts w:ascii="Times New Roman" w:hAnsi="Times New Roman" w:eastAsia="宋体"/>
                <w:b w:val="0"/>
                <w:color w:val="000000"/>
                <w:sz w:val="21"/>
              </w:rPr>
              <w:t>keys</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0E0C279">
            <w:pPr>
              <w:spacing w:before="0" w:after="0" w:line="276" w:lineRule="auto"/>
              <w:ind w:firstLine="0"/>
              <w:jc w:val="left"/>
            </w:pPr>
            <w:r>
              <w:rPr>
                <w:rFonts w:ascii="Times New Roman" w:hAnsi="Times New Roman" w:eastAsia="宋体"/>
                <w:b w:val="0"/>
                <w:color w:val="000000"/>
                <w:sz w:val="21"/>
              </w:rPr>
              <w:t>规范局面键元组</w:t>
            </w:r>
          </w:p>
        </w:tc>
        <w:tc>
          <w:tcPr>
            <w:tcW w:w="403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E2CE1A9">
            <w:pPr>
              <w:spacing w:before="0" w:after="0" w:line="276" w:lineRule="auto"/>
              <w:ind w:firstLine="0"/>
              <w:jc w:val="left"/>
            </w:pPr>
            <w:r>
              <w:rPr>
                <w:rFonts w:ascii="Times New Roman" w:hAnsi="Times New Roman" w:eastAsia="宋体"/>
                <w:b w:val="0"/>
                <w:color w:val="000000"/>
                <w:sz w:val="21"/>
              </w:rPr>
              <w:t>保留重复局面出现次数</w:t>
            </w:r>
          </w:p>
        </w:tc>
      </w:tr>
      <w:tr w14:paraId="4D7AB0DD">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A8E5225">
            <w:pPr>
              <w:spacing w:before="0" w:after="0" w:line="276" w:lineRule="auto"/>
              <w:ind w:firstLine="0"/>
              <w:jc w:val="left"/>
            </w:pPr>
            <w:r>
              <w:rPr>
                <w:rFonts w:ascii="Times New Roman" w:hAnsi="Times New Roman" w:eastAsia="宋体"/>
                <w:b w:val="0"/>
                <w:color w:val="000000"/>
                <w:sz w:val="21"/>
              </w:rPr>
              <w:t>Move</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079E1A0">
            <w:pPr>
              <w:spacing w:before="0" w:after="0" w:line="276" w:lineRule="auto"/>
              <w:ind w:firstLine="0"/>
              <w:jc w:val="left"/>
            </w:pPr>
            <w:r>
              <w:rPr>
                <w:rFonts w:ascii="Times New Roman" w:hAnsi="Times New Roman" w:eastAsia="宋体"/>
                <w:b w:val="0"/>
                <w:color w:val="000000"/>
                <w:sz w:val="21"/>
              </w:rPr>
              <w:t>起点和终点索引</w:t>
            </w:r>
          </w:p>
        </w:tc>
        <w:tc>
          <w:tcPr>
            <w:tcW w:w="403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D88FF37">
            <w:pPr>
              <w:spacing w:before="0" w:after="0" w:line="276" w:lineRule="auto"/>
              <w:ind w:firstLine="0"/>
              <w:jc w:val="left"/>
            </w:pPr>
            <w:r>
              <w:rPr>
                <w:rFonts w:ascii="Times New Roman" w:hAnsi="Times New Roman" w:eastAsia="宋体"/>
                <w:b w:val="0"/>
                <w:color w:val="000000"/>
                <w:sz w:val="21"/>
              </w:rPr>
              <w:t>与SVG、棋子文字和像素无关</w:t>
            </w:r>
          </w:p>
        </w:tc>
      </w:tr>
      <w:tr w14:paraId="3B9196BF">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6458DA7">
            <w:pPr>
              <w:spacing w:before="0" w:after="0" w:line="276" w:lineRule="auto"/>
              <w:ind w:firstLine="0"/>
              <w:jc w:val="left"/>
            </w:pPr>
            <w:r>
              <w:rPr>
                <w:rFonts w:ascii="Times New Roman" w:hAnsi="Times New Roman" w:eastAsia="宋体"/>
                <w:b w:val="0"/>
                <w:color w:val="000000"/>
                <w:sz w:val="21"/>
              </w:rPr>
              <w:t>SearchResult</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285FFEC">
            <w:pPr>
              <w:spacing w:before="0" w:after="0" w:line="276" w:lineRule="auto"/>
              <w:ind w:firstLine="0"/>
              <w:jc w:val="left"/>
            </w:pPr>
            <w:r>
              <w:rPr>
                <w:rFonts w:ascii="Times New Roman" w:hAnsi="Times New Roman" w:eastAsia="宋体"/>
                <w:b w:val="0"/>
                <w:color w:val="000000"/>
                <w:sz w:val="21"/>
              </w:rPr>
              <w:t>move与search信息</w:t>
            </w:r>
          </w:p>
        </w:tc>
        <w:tc>
          <w:tcPr>
            <w:tcW w:w="403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BD0F09F">
            <w:pPr>
              <w:spacing w:before="0" w:after="0" w:line="276" w:lineRule="auto"/>
              <w:ind w:firstLine="0"/>
              <w:jc w:val="left"/>
            </w:pPr>
            <w:r>
              <w:rPr>
                <w:rFonts w:ascii="Times New Roman" w:hAnsi="Times New Roman" w:eastAsia="宋体"/>
                <w:b w:val="0"/>
                <w:color w:val="000000"/>
                <w:sz w:val="21"/>
              </w:rPr>
              <w:t>使选择结果与计算过程可检查</w:t>
            </w:r>
          </w:p>
        </w:tc>
      </w:tr>
    </w:tbl>
    <w:p w14:paraId="48DAA3DA">
      <w:pPr>
        <w:pageBreakBefore w:val="0"/>
        <w:widowControl/>
        <w:snapToGrid w:val="0"/>
        <w:spacing w:before="0" w:after="0" w:line="72" w:lineRule="auto"/>
        <w:ind w:left="0" w:right="0" w:firstLine="0"/>
        <w:jc w:val="center"/>
      </w:pPr>
    </w:p>
    <w:p w14:paraId="259EA02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索引i对应行r=i整除9、列c=i模9；红方底线在第9行，黑方底线在第0行。红棋为正、黑棋为负，绝对值1至7依次表示将帅、士仕、象相、马、车、炮和兵卒。红兵沿行号减少方向前进，黑卒方向相反。</w:t>
      </w:r>
    </w:p>
    <w:p w14:paraId="5D11602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局面键使用紧凑JSON棋盘加竖线和执方，避免语言内置哈希跨进程不稳定。AI请求中的历史末项必须等于当前局面；反序列化还检查棋盘长度、整数编码和双方将帅数量。类型检查排除布尔值混入整数参数。</w:t>
      </w:r>
    </w:p>
    <w:p w14:paraId="3B4FB5C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重复判定需要历史出现次数，而不是仅判断以前是否见过。因此搜索评分缓存不能只按棋盘建立。历史数据在规则、搜索和原生适配之间都保有明确用途，不能在传输中为了缩短消息而默默丢弃。</w:t>
      </w:r>
    </w:p>
    <w:p w14:paraId="07E8D1B0">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2.3 WebSocket与JSON接口设计</w:t>
      </w:r>
    </w:p>
    <w:p w14:paraId="6767D61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独立AI服务使用固定协议版本接收search和cancel消息。search除局面与配置外，还携带requestId、gameId和revision；服务返回search_result时原样关联。requestId识别一次通信，gameId识别对局，revision识别状态版本，三者不能互换。</w:t>
      </w:r>
    </w:p>
    <w:p w14:paraId="467D947A">
      <w:pPr>
        <w:keepNext/>
        <w:pageBreakBefore w:val="0"/>
        <w:widowControl/>
        <w:snapToGrid w:val="0"/>
        <w:spacing w:before="0" w:after="0" w:line="240" w:lineRule="auto"/>
        <w:ind w:left="0" w:right="0" w:firstLine="0"/>
        <w:jc w:val="center"/>
      </w:pPr>
      <w:r>
        <w:drawing>
          <wp:inline distT="0" distB="0" distL="114300" distR="114300">
            <wp:extent cx="5490845" cy="1804035"/>
            <wp:effectExtent l="0" t="0" r="825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90882" cy="1804147"/>
                    </a:xfrm>
                    <a:prstGeom prst="rect">
                      <a:avLst/>
                    </a:prstGeom>
                  </pic:spPr>
                </pic:pic>
              </a:graphicData>
            </a:graphic>
          </wp:inline>
        </w:drawing>
      </w:r>
    </w:p>
    <w:p w14:paraId="3E8D90B4">
      <w:pPr>
        <w:pageBreakBefore w:val="0"/>
        <w:widowControl/>
        <w:snapToGrid w:val="0"/>
        <w:spacing w:before="0" w:after="0" w:line="240" w:lineRule="auto"/>
        <w:ind w:left="0" w:right="0" w:firstLine="0"/>
        <w:jc w:val="center"/>
      </w:pPr>
      <w:r>
        <w:rPr>
          <w:rFonts w:ascii="Times New Roman" w:hAnsi="Times New Roman" w:eastAsia="宋体"/>
          <w:b w:val="0"/>
          <w:color w:val="000000"/>
          <w:sz w:val="21"/>
        </w:rPr>
        <w:t>图2 独立AI请求的处理顺序</w:t>
      </w:r>
    </w:p>
    <w:p w14:paraId="7EAC2A4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配置包含maxDepth、timeLimitMs和可选engine。未指定引擎时使用自研，显式pikafish则调用本地适配器。自研深度上限为12，原生引擎允许至128；时间预算保持可校验的整数范围。参数不符合要求时直接报错，不先启动计算进程。</w:t>
      </w:r>
    </w:p>
    <w:p w14:paraId="284679C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响应的move为索引对象，终局时可以为空；search至少记录completedDepth、nodes、elapsedMs、score和pv。pv是主变着法序列，需要可以从输入局面连续合法执行。节点数和深度帮助解释计算过程，但不同引擎的统计口径不能直接换算成同一棋力尺度。</w:t>
      </w:r>
    </w:p>
    <w:p w14:paraId="10FFAB0A">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2.3.1 失败与取消语义</w:t>
      </w:r>
    </w:p>
    <w:p w14:paraId="5869D69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服务拒绝非法JSON、二进制消息、不支持的版本、重复请求和冲突搜索。cancel针对具体targetRequestId；任务匹配时先取消并清理，再返回确认；未匹配时幂等确认，不会停止其他任务。客户端断连也触发清理。算法失败、执行文件缺失和超时均向调用端暴露，由对局控制决定暂停和提示。</w:t>
      </w:r>
    </w:p>
    <w:p w14:paraId="6529AB2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服务不拥有当前对局的修改权。即使返回走法符合输入局面，对局端仍需核对最新身份和版本。这里的响应关联使异步计算与状态一致性能够配合，而不是让AI服务猜测网页是否已经悔棋。</w:t>
      </w:r>
    </w:p>
    <w:p w14:paraId="5BFEA6E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浏览器侧的另一套接口以command、action和payload表达操作：hello取得完整state，move提交坐标，new_game提交模式与双方配置。变更成功返回ack并推送state，推荐另回recommendation。两套接口共用身份与版本语义，但浏览器发送操作意图，AI服务接收可计算局面。</w:t>
      </w:r>
    </w:p>
    <w:p w14:paraId="4EC5DD60">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2.4 主要功能界面的算法信息设计</w:t>
      </w:r>
    </w:p>
    <w:p w14:paraId="4178E6A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页面交互由组长负责，我提供引擎配置和搜索信息的语义。界面需要区分“对战模式”和“AI引擎”：前者表示人人、人机或AI对战，后者表示自研或皮卡鱼。双方可以分别配置，引擎选择不改变课程规则集。</w:t>
      </w:r>
    </w:p>
    <w:p w14:paraId="43AAA1CE">
      <w:pPr>
        <w:keepNext/>
        <w:pageBreakBefore w:val="0"/>
        <w:widowControl/>
        <w:snapToGrid w:val="0"/>
        <w:spacing w:before="0" w:after="0" w:line="240" w:lineRule="auto"/>
        <w:ind w:left="0" w:right="0" w:firstLine="0"/>
        <w:jc w:val="center"/>
      </w:pPr>
      <w:r>
        <w:drawing>
          <wp:inline distT="0" distB="0" distL="114300" distR="114300">
            <wp:extent cx="5490845" cy="192151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90882" cy="1921809"/>
                    </a:xfrm>
                    <a:prstGeom prst="rect">
                      <a:avLst/>
                    </a:prstGeom>
                  </pic:spPr>
                </pic:pic>
              </a:graphicData>
            </a:graphic>
          </wp:inline>
        </w:drawing>
      </w:r>
    </w:p>
    <w:p w14:paraId="1B7505A0">
      <w:pPr>
        <w:pageBreakBefore w:val="0"/>
        <w:widowControl/>
        <w:snapToGrid w:val="0"/>
        <w:spacing w:before="0" w:after="0" w:line="240" w:lineRule="auto"/>
        <w:ind w:left="0" w:right="0" w:firstLine="0"/>
        <w:jc w:val="center"/>
      </w:pPr>
      <w:r>
        <w:rPr>
          <w:rFonts w:ascii="Times New Roman" w:hAnsi="Times New Roman" w:eastAsia="宋体"/>
          <w:b w:val="0"/>
          <w:color w:val="000000"/>
          <w:sz w:val="21"/>
        </w:rPr>
        <w:t>图3 算法配置与结果展示的信息关系</w:t>
      </w:r>
    </w:p>
    <w:tbl>
      <w:tblPr>
        <w:tblStyle w:val="11"/>
        <w:tblW w:w="0" w:type="auto"/>
        <w:tblInd w:w="0" w:type="dxa"/>
        <w:tblLayout w:type="fixed"/>
        <w:tblCellMar>
          <w:top w:w="0" w:type="dxa"/>
          <w:left w:w="108" w:type="dxa"/>
          <w:bottom w:w="0" w:type="dxa"/>
          <w:right w:w="108" w:type="dxa"/>
        </w:tblCellMar>
      </w:tblPr>
      <w:tblGrid>
        <w:gridCol w:w="1584"/>
        <w:gridCol w:w="2376"/>
        <w:gridCol w:w="2376"/>
        <w:gridCol w:w="2304"/>
      </w:tblGrid>
      <w:tr w14:paraId="52089E4C">
        <w:tblPrEx>
          <w:tblCellMar>
            <w:top w:w="0" w:type="dxa"/>
            <w:left w:w="108" w:type="dxa"/>
            <w:bottom w:w="0" w:type="dxa"/>
            <w:right w:w="108" w:type="dxa"/>
          </w:tblCellMar>
        </w:tblPrEx>
        <w:trPr>
          <w:cantSplit/>
          <w:tblHeader/>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ED2BA45">
            <w:pPr>
              <w:spacing w:before="0" w:after="0" w:line="276" w:lineRule="auto"/>
              <w:ind w:firstLine="0"/>
              <w:jc w:val="left"/>
            </w:pPr>
            <w:r>
              <w:rPr>
                <w:rFonts w:ascii="Times New Roman" w:hAnsi="Times New Roman" w:eastAsia="宋体"/>
                <w:b/>
                <w:color w:val="000000"/>
                <w:sz w:val="21"/>
              </w:rPr>
              <w:t>预算预设</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0BEC759">
            <w:pPr>
              <w:spacing w:before="0" w:after="0" w:line="276" w:lineRule="auto"/>
              <w:ind w:firstLine="0"/>
              <w:jc w:val="left"/>
            </w:pPr>
            <w:r>
              <w:rPr>
                <w:rFonts w:ascii="Times New Roman" w:hAnsi="Times New Roman" w:eastAsia="宋体"/>
                <w:b/>
                <w:color w:val="000000"/>
                <w:sz w:val="21"/>
              </w:rPr>
              <w:t>自研深度上限</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EA45348">
            <w:pPr>
              <w:spacing w:before="0" w:after="0" w:line="276" w:lineRule="auto"/>
              <w:ind w:firstLine="0"/>
              <w:jc w:val="left"/>
            </w:pPr>
            <w:r>
              <w:rPr>
                <w:rFonts w:ascii="Times New Roman" w:hAnsi="Times New Roman" w:eastAsia="宋体"/>
                <w:b/>
                <w:color w:val="000000"/>
                <w:sz w:val="21"/>
              </w:rPr>
              <w:t>原生深度上限</w:t>
            </w:r>
          </w:p>
        </w:tc>
        <w:tc>
          <w:tcPr>
            <w:tcW w:w="230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E92FBAA">
            <w:pPr>
              <w:spacing w:before="0" w:after="0" w:line="276" w:lineRule="auto"/>
              <w:ind w:firstLine="0"/>
              <w:jc w:val="left"/>
            </w:pPr>
            <w:r>
              <w:rPr>
                <w:rFonts w:ascii="Times New Roman" w:hAnsi="Times New Roman" w:eastAsia="宋体"/>
                <w:b/>
                <w:color w:val="000000"/>
                <w:sz w:val="21"/>
              </w:rPr>
              <w:t>搜索预算</w:t>
            </w:r>
          </w:p>
        </w:tc>
      </w:tr>
      <w:tr w14:paraId="737FB8FC">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2E75427">
            <w:pPr>
              <w:spacing w:before="0" w:after="0" w:line="276" w:lineRule="auto"/>
              <w:ind w:firstLine="0"/>
              <w:jc w:val="left"/>
            </w:pPr>
            <w:r>
              <w:rPr>
                <w:rFonts w:ascii="Times New Roman" w:hAnsi="Times New Roman" w:eastAsia="宋体"/>
                <w:b w:val="0"/>
                <w:color w:val="000000"/>
                <w:sz w:val="21"/>
              </w:rPr>
              <w:t>基础</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92FAB6F">
            <w:pPr>
              <w:spacing w:before="0" w:after="0" w:line="276" w:lineRule="auto"/>
              <w:ind w:firstLine="0"/>
              <w:jc w:val="left"/>
            </w:pPr>
            <w:r>
              <w:rPr>
                <w:rFonts w:ascii="Times New Roman" w:hAnsi="Times New Roman" w:eastAsia="宋体"/>
                <w:b w:val="0"/>
                <w:color w:val="000000"/>
                <w:sz w:val="21"/>
              </w:rPr>
              <w:t>2</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90820CD">
            <w:pPr>
              <w:spacing w:before="0" w:after="0" w:line="276" w:lineRule="auto"/>
              <w:ind w:firstLine="0"/>
              <w:jc w:val="left"/>
            </w:pPr>
            <w:r>
              <w:rPr>
                <w:rFonts w:ascii="Times New Roman" w:hAnsi="Times New Roman" w:eastAsia="宋体"/>
                <w:b w:val="0"/>
                <w:color w:val="000000"/>
                <w:sz w:val="21"/>
              </w:rPr>
              <w:t>128</w:t>
            </w:r>
          </w:p>
        </w:tc>
        <w:tc>
          <w:tcPr>
            <w:tcW w:w="230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AF36215">
            <w:pPr>
              <w:spacing w:before="0" w:after="0" w:line="276" w:lineRule="auto"/>
              <w:ind w:firstLine="0"/>
              <w:jc w:val="left"/>
            </w:pPr>
            <w:r>
              <w:rPr>
                <w:rFonts w:ascii="Times New Roman" w:hAnsi="Times New Roman" w:eastAsia="宋体"/>
                <w:b w:val="0"/>
                <w:color w:val="000000"/>
                <w:sz w:val="21"/>
              </w:rPr>
              <w:t>500ms</w:t>
            </w:r>
          </w:p>
        </w:tc>
      </w:tr>
      <w:tr w14:paraId="116634DE">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44D568D">
            <w:pPr>
              <w:spacing w:before="0" w:after="0" w:line="276" w:lineRule="auto"/>
              <w:ind w:firstLine="0"/>
              <w:jc w:val="left"/>
            </w:pPr>
            <w:r>
              <w:rPr>
                <w:rFonts w:ascii="Times New Roman" w:hAnsi="Times New Roman" w:eastAsia="宋体"/>
                <w:b w:val="0"/>
                <w:color w:val="000000"/>
                <w:sz w:val="21"/>
              </w:rPr>
              <w:t>标准</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E4A6FAC">
            <w:pPr>
              <w:spacing w:before="0" w:after="0" w:line="276" w:lineRule="auto"/>
              <w:ind w:firstLine="0"/>
              <w:jc w:val="left"/>
            </w:pPr>
            <w:r>
              <w:rPr>
                <w:rFonts w:ascii="Times New Roman" w:hAnsi="Times New Roman" w:eastAsia="宋体"/>
                <w:b w:val="0"/>
                <w:color w:val="000000"/>
                <w:sz w:val="21"/>
              </w:rPr>
              <w:t>8</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58C6772">
            <w:pPr>
              <w:spacing w:before="0" w:after="0" w:line="276" w:lineRule="auto"/>
              <w:ind w:firstLine="0"/>
              <w:jc w:val="left"/>
            </w:pPr>
            <w:r>
              <w:rPr>
                <w:rFonts w:ascii="Times New Roman" w:hAnsi="Times New Roman" w:eastAsia="宋体"/>
                <w:b w:val="0"/>
                <w:color w:val="000000"/>
                <w:sz w:val="21"/>
              </w:rPr>
              <w:t>128</w:t>
            </w:r>
          </w:p>
        </w:tc>
        <w:tc>
          <w:tcPr>
            <w:tcW w:w="230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13974D3">
            <w:pPr>
              <w:spacing w:before="0" w:after="0" w:line="276" w:lineRule="auto"/>
              <w:ind w:firstLine="0"/>
              <w:jc w:val="left"/>
            </w:pPr>
            <w:r>
              <w:rPr>
                <w:rFonts w:ascii="Times New Roman" w:hAnsi="Times New Roman" w:eastAsia="宋体"/>
                <w:b w:val="0"/>
                <w:color w:val="000000"/>
                <w:sz w:val="21"/>
              </w:rPr>
              <w:t>1500ms</w:t>
            </w:r>
          </w:p>
        </w:tc>
      </w:tr>
      <w:tr w14:paraId="1337F37B">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C09AF57">
            <w:pPr>
              <w:spacing w:before="0" w:after="0" w:line="276" w:lineRule="auto"/>
              <w:ind w:firstLine="0"/>
              <w:jc w:val="left"/>
            </w:pPr>
            <w:r>
              <w:rPr>
                <w:rFonts w:ascii="Times New Roman" w:hAnsi="Times New Roman" w:eastAsia="宋体"/>
                <w:b w:val="0"/>
                <w:color w:val="000000"/>
                <w:sz w:val="21"/>
              </w:rPr>
              <w:t>强力</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3107606">
            <w:pPr>
              <w:spacing w:before="0" w:after="0" w:line="276" w:lineRule="auto"/>
              <w:ind w:firstLine="0"/>
              <w:jc w:val="left"/>
            </w:pPr>
            <w:r>
              <w:rPr>
                <w:rFonts w:ascii="Times New Roman" w:hAnsi="Times New Roman" w:eastAsia="宋体"/>
                <w:b w:val="0"/>
                <w:color w:val="000000"/>
                <w:sz w:val="21"/>
              </w:rPr>
              <w:t>12</w:t>
            </w:r>
          </w:p>
        </w:tc>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B3AADB5">
            <w:pPr>
              <w:spacing w:before="0" w:after="0" w:line="276" w:lineRule="auto"/>
              <w:ind w:firstLine="0"/>
              <w:jc w:val="left"/>
            </w:pPr>
            <w:r>
              <w:rPr>
                <w:rFonts w:ascii="Times New Roman" w:hAnsi="Times New Roman" w:eastAsia="宋体"/>
                <w:b w:val="0"/>
                <w:color w:val="000000"/>
                <w:sz w:val="21"/>
              </w:rPr>
              <w:t>128</w:t>
            </w:r>
          </w:p>
        </w:tc>
        <w:tc>
          <w:tcPr>
            <w:tcW w:w="230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20C4D78">
            <w:pPr>
              <w:spacing w:before="0" w:after="0" w:line="276" w:lineRule="auto"/>
              <w:ind w:firstLine="0"/>
              <w:jc w:val="left"/>
            </w:pPr>
            <w:r>
              <w:rPr>
                <w:rFonts w:ascii="Times New Roman" w:hAnsi="Times New Roman" w:eastAsia="宋体"/>
                <w:b w:val="0"/>
                <w:color w:val="000000"/>
                <w:sz w:val="21"/>
              </w:rPr>
              <w:t>10000ms</w:t>
            </w:r>
          </w:p>
        </w:tc>
      </w:tr>
    </w:tbl>
    <w:p w14:paraId="51292D26">
      <w:pPr>
        <w:pageBreakBefore w:val="0"/>
        <w:widowControl/>
        <w:snapToGrid w:val="0"/>
        <w:spacing w:before="0" w:after="0" w:line="72" w:lineRule="auto"/>
        <w:ind w:left="0" w:right="0" w:firstLine="0"/>
        <w:jc w:val="center"/>
      </w:pPr>
    </w:p>
    <w:p w14:paraId="22CCB33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深度是限制值而不是完成承诺。复杂局面可能在时间到达前只完成较浅搜索；显示应采用实际completedDepth。原生模式另有初始化成本，elapsedMs描述搜索阶段，startupMs和totalElapsedMs描述启动及总耗时，不能把两者合并后再宣称提供了完整短时搜索。</w:t>
      </w:r>
    </w:p>
    <w:p w14:paraId="640FF66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推荐与自动落子使用相同搜索能力，但用途由对局端区分。推荐信息可以解释一个候选着法的起终点、深度和用时，不能把启发式分数直接显示成确定胜率。自研评分以兵约100为尺度，原生评分只用于该引擎自身的比较。</w:t>
      </w:r>
    </w:p>
    <w:p w14:paraId="414C674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皮卡鱼身份必须随当前对局实际配置显示。自研棋谱为v1、包含原生配置的棋谱为v2，导入旧记录保留原设置。这些约定保证对局记录能解释当时使用的计算方案，而非只根据当前下拉框判断。</w:t>
      </w:r>
    </w:p>
    <w:p w14:paraId="6415DBBC">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三、相关功能模块详细设计</w:t>
      </w:r>
    </w:p>
    <w:p w14:paraId="7313AA3C">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3.1 七类棋子的候选走法</w:t>
      </w:r>
    </w:p>
    <w:p w14:paraId="18D2A4E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走法生成分两层。第一层pseudo_targets依据棋子几何和占位生成候选目标；第二层过滤己方目标、将帅格以及会使己方将帅受攻击的着法。前一层不应被误叫作完整合法走法，因为它尚未完成将帅安全检查。</w:t>
      </w:r>
    </w:p>
    <w:tbl>
      <w:tblPr>
        <w:tblStyle w:val="11"/>
        <w:tblW w:w="0" w:type="auto"/>
        <w:tblInd w:w="0" w:type="dxa"/>
        <w:tblLayout w:type="fixed"/>
        <w:tblCellMar>
          <w:top w:w="0" w:type="dxa"/>
          <w:left w:w="108" w:type="dxa"/>
          <w:bottom w:w="0" w:type="dxa"/>
          <w:right w:w="108" w:type="dxa"/>
        </w:tblCellMar>
      </w:tblPr>
      <w:tblGrid>
        <w:gridCol w:w="1008"/>
        <w:gridCol w:w="3024"/>
        <w:gridCol w:w="4608"/>
      </w:tblGrid>
      <w:tr w14:paraId="19F5BF54">
        <w:tblPrEx>
          <w:tblCellMar>
            <w:top w:w="0" w:type="dxa"/>
            <w:left w:w="108" w:type="dxa"/>
            <w:bottom w:w="0" w:type="dxa"/>
            <w:right w:w="108" w:type="dxa"/>
          </w:tblCellMar>
        </w:tblPrEx>
        <w:trPr>
          <w:cantSplit/>
          <w:tblHeader/>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66CE6E5">
            <w:pPr>
              <w:spacing w:before="0" w:after="0" w:line="276" w:lineRule="auto"/>
              <w:ind w:firstLine="0"/>
              <w:jc w:val="left"/>
            </w:pPr>
            <w:r>
              <w:rPr>
                <w:rFonts w:ascii="Times New Roman" w:hAnsi="Times New Roman" w:eastAsia="宋体"/>
                <w:b/>
                <w:color w:val="000000"/>
                <w:sz w:val="21"/>
              </w:rPr>
              <w:t>棋子</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87272B6">
            <w:pPr>
              <w:spacing w:before="0" w:after="0" w:line="276" w:lineRule="auto"/>
              <w:ind w:firstLine="0"/>
              <w:jc w:val="left"/>
            </w:pPr>
            <w:r>
              <w:rPr>
                <w:rFonts w:ascii="Times New Roman" w:hAnsi="Times New Roman" w:eastAsia="宋体"/>
                <w:b/>
                <w:color w:val="000000"/>
                <w:sz w:val="21"/>
              </w:rPr>
              <w:t>候选移动</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E96C055">
            <w:pPr>
              <w:spacing w:before="0" w:after="0" w:line="276" w:lineRule="auto"/>
              <w:ind w:firstLine="0"/>
              <w:jc w:val="left"/>
            </w:pPr>
            <w:r>
              <w:rPr>
                <w:rFonts w:ascii="Times New Roman" w:hAnsi="Times New Roman" w:eastAsia="宋体"/>
                <w:b/>
                <w:color w:val="000000"/>
                <w:sz w:val="21"/>
              </w:rPr>
              <w:t>额外限制</w:t>
            </w:r>
          </w:p>
        </w:tc>
      </w:tr>
      <w:tr w14:paraId="328CECC9">
        <w:tblPrEx>
          <w:tblCellMar>
            <w:top w:w="0" w:type="dxa"/>
            <w:left w:w="108" w:type="dxa"/>
            <w:bottom w:w="0" w:type="dxa"/>
            <w:right w:w="108" w:type="dxa"/>
          </w:tblCellMar>
        </w:tblPrEx>
        <w:trPr>
          <w:cantSplit/>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EC85CB4">
            <w:pPr>
              <w:spacing w:before="0" w:after="0" w:line="276" w:lineRule="auto"/>
              <w:ind w:firstLine="0"/>
              <w:jc w:val="left"/>
            </w:pPr>
            <w:r>
              <w:rPr>
                <w:rFonts w:ascii="Times New Roman" w:hAnsi="Times New Roman" w:eastAsia="宋体"/>
                <w:b w:val="0"/>
                <w:color w:val="000000"/>
                <w:sz w:val="21"/>
              </w:rPr>
              <w:t>车</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AA3ABE2">
            <w:pPr>
              <w:spacing w:before="0" w:after="0" w:line="276" w:lineRule="auto"/>
              <w:ind w:firstLine="0"/>
              <w:jc w:val="left"/>
            </w:pPr>
            <w:r>
              <w:rPr>
                <w:rFonts w:ascii="Times New Roman" w:hAnsi="Times New Roman" w:eastAsia="宋体"/>
                <w:b w:val="0"/>
                <w:color w:val="000000"/>
                <w:sz w:val="21"/>
              </w:rPr>
              <w:t>沿横向或纵向射线</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12D9CD2">
            <w:pPr>
              <w:spacing w:before="0" w:after="0" w:line="276" w:lineRule="auto"/>
              <w:ind w:firstLine="0"/>
              <w:jc w:val="left"/>
            </w:pPr>
            <w:r>
              <w:rPr>
                <w:rFonts w:ascii="Times New Roman" w:hAnsi="Times New Roman" w:eastAsia="宋体"/>
                <w:b w:val="0"/>
                <w:color w:val="000000"/>
                <w:sz w:val="21"/>
              </w:rPr>
              <w:t>遇第一枚棋子停止扫描</w:t>
            </w:r>
          </w:p>
        </w:tc>
      </w:tr>
      <w:tr w14:paraId="13821424">
        <w:tblPrEx>
          <w:tblCellMar>
            <w:top w:w="0" w:type="dxa"/>
            <w:left w:w="108" w:type="dxa"/>
            <w:bottom w:w="0" w:type="dxa"/>
            <w:right w:w="108" w:type="dxa"/>
          </w:tblCellMar>
        </w:tblPrEx>
        <w:trPr>
          <w:cantSplit/>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3E2E641">
            <w:pPr>
              <w:spacing w:before="0" w:after="0" w:line="276" w:lineRule="auto"/>
              <w:ind w:firstLine="0"/>
              <w:jc w:val="left"/>
            </w:pPr>
            <w:r>
              <w:rPr>
                <w:rFonts w:ascii="Times New Roman" w:hAnsi="Times New Roman" w:eastAsia="宋体"/>
                <w:b w:val="0"/>
                <w:color w:val="000000"/>
                <w:sz w:val="21"/>
              </w:rPr>
              <w:t>炮</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6E7DC14">
            <w:pPr>
              <w:spacing w:before="0" w:after="0" w:line="276" w:lineRule="auto"/>
              <w:ind w:firstLine="0"/>
              <w:jc w:val="left"/>
            </w:pPr>
            <w:r>
              <w:rPr>
                <w:rFonts w:ascii="Times New Roman" w:hAnsi="Times New Roman" w:eastAsia="宋体"/>
                <w:b w:val="0"/>
                <w:color w:val="000000"/>
                <w:sz w:val="21"/>
              </w:rPr>
              <w:t>沿横向或纵向射线</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8A4C0D5">
            <w:pPr>
              <w:spacing w:before="0" w:after="0" w:line="276" w:lineRule="auto"/>
              <w:ind w:firstLine="0"/>
              <w:jc w:val="left"/>
            </w:pPr>
            <w:r>
              <w:rPr>
                <w:rFonts w:ascii="Times New Roman" w:hAnsi="Times New Roman" w:eastAsia="宋体"/>
                <w:b w:val="0"/>
                <w:color w:val="000000"/>
                <w:sz w:val="21"/>
              </w:rPr>
              <w:t>非吃子无阻挡；吃子恰有一个炮架</w:t>
            </w:r>
          </w:p>
        </w:tc>
      </w:tr>
      <w:tr w14:paraId="1FA83B7D">
        <w:tblPrEx>
          <w:tblCellMar>
            <w:top w:w="0" w:type="dxa"/>
            <w:left w:w="108" w:type="dxa"/>
            <w:bottom w:w="0" w:type="dxa"/>
            <w:right w:w="108" w:type="dxa"/>
          </w:tblCellMar>
        </w:tblPrEx>
        <w:trPr>
          <w:cantSplit/>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3D3A17F">
            <w:pPr>
              <w:spacing w:before="0" w:after="0" w:line="276" w:lineRule="auto"/>
              <w:ind w:firstLine="0"/>
              <w:jc w:val="left"/>
            </w:pPr>
            <w:r>
              <w:rPr>
                <w:rFonts w:ascii="Times New Roman" w:hAnsi="Times New Roman" w:eastAsia="宋体"/>
                <w:b w:val="0"/>
                <w:color w:val="000000"/>
                <w:sz w:val="21"/>
              </w:rPr>
              <w:t>马</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40F1BE3">
            <w:pPr>
              <w:spacing w:before="0" w:after="0" w:line="276" w:lineRule="auto"/>
              <w:ind w:firstLine="0"/>
              <w:jc w:val="left"/>
            </w:pPr>
            <w:r>
              <w:rPr>
                <w:rFonts w:ascii="Times New Roman" w:hAnsi="Times New Roman" w:eastAsia="宋体"/>
                <w:b w:val="0"/>
                <w:color w:val="000000"/>
                <w:sz w:val="21"/>
              </w:rPr>
              <w:t>八个日字目标</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BF27B7C">
            <w:pPr>
              <w:spacing w:before="0" w:after="0" w:line="276" w:lineRule="auto"/>
              <w:ind w:firstLine="0"/>
              <w:jc w:val="left"/>
            </w:pPr>
            <w:r>
              <w:rPr>
                <w:rFonts w:ascii="Times New Roman" w:hAnsi="Times New Roman" w:eastAsia="宋体"/>
                <w:b w:val="0"/>
                <w:color w:val="000000"/>
                <w:sz w:val="21"/>
              </w:rPr>
              <w:t>对应马腿必须为空</w:t>
            </w:r>
          </w:p>
        </w:tc>
      </w:tr>
      <w:tr w14:paraId="608C50A2">
        <w:tblPrEx>
          <w:tblCellMar>
            <w:top w:w="0" w:type="dxa"/>
            <w:left w:w="108" w:type="dxa"/>
            <w:bottom w:w="0" w:type="dxa"/>
            <w:right w:w="108" w:type="dxa"/>
          </w:tblCellMar>
        </w:tblPrEx>
        <w:trPr>
          <w:cantSplit/>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B76A264">
            <w:pPr>
              <w:spacing w:before="0" w:after="0" w:line="276" w:lineRule="auto"/>
              <w:ind w:firstLine="0"/>
              <w:jc w:val="left"/>
            </w:pPr>
            <w:r>
              <w:rPr>
                <w:rFonts w:ascii="Times New Roman" w:hAnsi="Times New Roman" w:eastAsia="宋体"/>
                <w:b w:val="0"/>
                <w:color w:val="000000"/>
                <w:sz w:val="21"/>
              </w:rPr>
              <w:t>象相</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AFAC2D4">
            <w:pPr>
              <w:spacing w:before="0" w:after="0" w:line="276" w:lineRule="auto"/>
              <w:ind w:firstLine="0"/>
              <w:jc w:val="left"/>
            </w:pPr>
            <w:r>
              <w:rPr>
                <w:rFonts w:ascii="Times New Roman" w:hAnsi="Times New Roman" w:eastAsia="宋体"/>
                <w:b w:val="0"/>
                <w:color w:val="000000"/>
                <w:sz w:val="21"/>
              </w:rPr>
              <w:t>斜向两格</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B149B51">
            <w:pPr>
              <w:spacing w:before="0" w:after="0" w:line="276" w:lineRule="auto"/>
              <w:ind w:firstLine="0"/>
              <w:jc w:val="left"/>
            </w:pPr>
            <w:r>
              <w:rPr>
                <w:rFonts w:ascii="Times New Roman" w:hAnsi="Times New Roman" w:eastAsia="宋体"/>
                <w:b w:val="0"/>
                <w:color w:val="000000"/>
                <w:sz w:val="21"/>
              </w:rPr>
              <w:t>象眼为空且留在己方半场</w:t>
            </w:r>
          </w:p>
        </w:tc>
      </w:tr>
      <w:tr w14:paraId="175F3B76">
        <w:tblPrEx>
          <w:tblCellMar>
            <w:top w:w="0" w:type="dxa"/>
            <w:left w:w="108" w:type="dxa"/>
            <w:bottom w:w="0" w:type="dxa"/>
            <w:right w:w="108" w:type="dxa"/>
          </w:tblCellMar>
        </w:tblPrEx>
        <w:trPr>
          <w:cantSplit/>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CBA2F61">
            <w:pPr>
              <w:spacing w:before="0" w:after="0" w:line="276" w:lineRule="auto"/>
              <w:ind w:firstLine="0"/>
              <w:jc w:val="left"/>
            </w:pPr>
            <w:r>
              <w:rPr>
                <w:rFonts w:ascii="Times New Roman" w:hAnsi="Times New Roman" w:eastAsia="宋体"/>
                <w:b w:val="0"/>
                <w:color w:val="000000"/>
                <w:sz w:val="21"/>
              </w:rPr>
              <w:t>士仕</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F8F96E8">
            <w:pPr>
              <w:spacing w:before="0" w:after="0" w:line="276" w:lineRule="auto"/>
              <w:ind w:firstLine="0"/>
              <w:jc w:val="left"/>
            </w:pPr>
            <w:r>
              <w:rPr>
                <w:rFonts w:ascii="Times New Roman" w:hAnsi="Times New Roman" w:eastAsia="宋体"/>
                <w:b w:val="0"/>
                <w:color w:val="000000"/>
                <w:sz w:val="21"/>
              </w:rPr>
              <w:t>斜向一格</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7CD1791">
            <w:pPr>
              <w:spacing w:before="0" w:after="0" w:line="276" w:lineRule="auto"/>
              <w:ind w:firstLine="0"/>
              <w:jc w:val="left"/>
            </w:pPr>
            <w:r>
              <w:rPr>
                <w:rFonts w:ascii="Times New Roman" w:hAnsi="Times New Roman" w:eastAsia="宋体"/>
                <w:b w:val="0"/>
                <w:color w:val="000000"/>
                <w:sz w:val="21"/>
              </w:rPr>
              <w:t>终点在己方九宫</w:t>
            </w:r>
          </w:p>
        </w:tc>
      </w:tr>
      <w:tr w14:paraId="396B6115">
        <w:tblPrEx>
          <w:tblCellMar>
            <w:top w:w="0" w:type="dxa"/>
            <w:left w:w="108" w:type="dxa"/>
            <w:bottom w:w="0" w:type="dxa"/>
            <w:right w:w="108" w:type="dxa"/>
          </w:tblCellMar>
        </w:tblPrEx>
        <w:trPr>
          <w:cantSplit/>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F88D21C">
            <w:pPr>
              <w:spacing w:before="0" w:after="0" w:line="276" w:lineRule="auto"/>
              <w:ind w:firstLine="0"/>
              <w:jc w:val="left"/>
            </w:pPr>
            <w:r>
              <w:rPr>
                <w:rFonts w:ascii="Times New Roman" w:hAnsi="Times New Roman" w:eastAsia="宋体"/>
                <w:b w:val="0"/>
                <w:color w:val="000000"/>
                <w:sz w:val="21"/>
              </w:rPr>
              <w:t>将帅</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803B26D">
            <w:pPr>
              <w:spacing w:before="0" w:after="0" w:line="276" w:lineRule="auto"/>
              <w:ind w:firstLine="0"/>
              <w:jc w:val="left"/>
            </w:pPr>
            <w:r>
              <w:rPr>
                <w:rFonts w:ascii="Times New Roman" w:hAnsi="Times New Roman" w:eastAsia="宋体"/>
                <w:b w:val="0"/>
                <w:color w:val="000000"/>
                <w:sz w:val="21"/>
              </w:rPr>
              <w:t>横竖一格</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0275B57">
            <w:pPr>
              <w:spacing w:before="0" w:after="0" w:line="276" w:lineRule="auto"/>
              <w:ind w:firstLine="0"/>
              <w:jc w:val="left"/>
            </w:pPr>
            <w:r>
              <w:rPr>
                <w:rFonts w:ascii="Times New Roman" w:hAnsi="Times New Roman" w:eastAsia="宋体"/>
                <w:b w:val="0"/>
                <w:color w:val="000000"/>
                <w:sz w:val="21"/>
              </w:rPr>
              <w:t>终点在己方九宫；不能受攻击</w:t>
            </w:r>
          </w:p>
        </w:tc>
      </w:tr>
      <w:tr w14:paraId="3872DBB2">
        <w:tblPrEx>
          <w:tblCellMar>
            <w:top w:w="0" w:type="dxa"/>
            <w:left w:w="108" w:type="dxa"/>
            <w:bottom w:w="0" w:type="dxa"/>
            <w:right w:w="108" w:type="dxa"/>
          </w:tblCellMar>
        </w:tblPrEx>
        <w:trPr>
          <w:cantSplit/>
        </w:trPr>
        <w:tc>
          <w:tcPr>
            <w:tcW w:w="10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A8015D7">
            <w:pPr>
              <w:spacing w:before="0" w:after="0" w:line="276" w:lineRule="auto"/>
              <w:ind w:firstLine="0"/>
              <w:jc w:val="left"/>
            </w:pPr>
            <w:r>
              <w:rPr>
                <w:rFonts w:ascii="Times New Roman" w:hAnsi="Times New Roman" w:eastAsia="宋体"/>
                <w:b w:val="0"/>
                <w:color w:val="000000"/>
                <w:sz w:val="21"/>
              </w:rPr>
              <w:t>兵卒</w:t>
            </w:r>
          </w:p>
        </w:tc>
        <w:tc>
          <w:tcPr>
            <w:tcW w:w="302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E0B716D">
            <w:pPr>
              <w:spacing w:before="0" w:after="0" w:line="276" w:lineRule="auto"/>
              <w:ind w:firstLine="0"/>
              <w:jc w:val="left"/>
            </w:pPr>
            <w:r>
              <w:rPr>
                <w:rFonts w:ascii="Times New Roman" w:hAnsi="Times New Roman" w:eastAsia="宋体"/>
                <w:b w:val="0"/>
                <w:color w:val="000000"/>
                <w:sz w:val="21"/>
              </w:rPr>
              <w:t>向前一格</w:t>
            </w:r>
          </w:p>
        </w:tc>
        <w:tc>
          <w:tcPr>
            <w:tcW w:w="460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036D7C0">
            <w:pPr>
              <w:spacing w:before="0" w:after="0" w:line="276" w:lineRule="auto"/>
              <w:ind w:firstLine="0"/>
              <w:jc w:val="left"/>
            </w:pPr>
            <w:r>
              <w:rPr>
                <w:rFonts w:ascii="Times New Roman" w:hAnsi="Times New Roman" w:eastAsia="宋体"/>
                <w:b w:val="0"/>
                <w:color w:val="000000"/>
                <w:sz w:val="21"/>
              </w:rPr>
              <w:t>过河后增加左右移动；不得后退</w:t>
            </w:r>
          </w:p>
        </w:tc>
      </w:tr>
    </w:tbl>
    <w:p w14:paraId="2DD1F4B6">
      <w:pPr>
        <w:pageBreakBefore w:val="0"/>
        <w:widowControl/>
        <w:snapToGrid w:val="0"/>
        <w:spacing w:before="0" w:after="0" w:line="72" w:lineRule="auto"/>
        <w:ind w:left="0" w:right="0" w:firstLine="0"/>
        <w:jc w:val="center"/>
      </w:pPr>
    </w:p>
    <w:p w14:paraId="7B1B4E9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车与炮共用预计算射线，但扫描状态不同。车在遇子时可以把该格作为候选，之后停止；外层再排除己方棋子。炮遇第一枚棋子后进入有炮架状态，只把其后第一枚有子格作为吃子候选。这样不会把炮架本身误认为可吃目标。</w:t>
      </w:r>
    </w:p>
    <w:p w14:paraId="59047C3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马的每个目标都关联一枚腿格，相的每个目标关联眼格。几何表只与起点和棋盘边界有关，占位判断仍在查询时执行，因此预计算没有把某个局面中的通路缓存成永久可走。兵卒目标还依赖阵营和所在半场。</w:t>
      </w:r>
    </w:p>
    <w:p w14:paraId="136A3CF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数组复制和候选模拟只发生在规则函数内部，对外不改变输入棋盘。优化时保持候选顺序稳定，有助于相同评分下的确定性保底和新旧实现对照。</w:t>
      </w:r>
    </w:p>
    <w:p w14:paraId="09EE1EA3">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3.2 攻击检测与合法着法过滤</w:t>
      </w:r>
    </w:p>
    <w:p w14:paraId="2EF64F44">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攻击检测从将帅所在目标格向外检查敌方攻击关系，不能递归调用“对方完整合法走法”。否则双方是否合法都要依赖对方是否合法，容易形成循环，也难以清楚表达将帅照面。</w:t>
      </w:r>
    </w:p>
    <w:p w14:paraId="53F38F2F">
      <w:pPr>
        <w:keepNext/>
        <w:pageBreakBefore w:val="0"/>
        <w:widowControl/>
        <w:snapToGrid w:val="0"/>
        <w:spacing w:before="0" w:after="0" w:line="240" w:lineRule="auto"/>
        <w:ind w:left="0" w:right="0" w:firstLine="0"/>
        <w:jc w:val="center"/>
      </w:pPr>
      <w:r>
        <w:drawing>
          <wp:inline distT="0" distB="0" distL="114300" distR="114300">
            <wp:extent cx="5490845" cy="18821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90882" cy="1882588"/>
                    </a:xfrm>
                    <a:prstGeom prst="rect">
                      <a:avLst/>
                    </a:prstGeom>
                  </pic:spPr>
                </pic:pic>
              </a:graphicData>
            </a:graphic>
          </wp:inline>
        </w:drawing>
      </w:r>
    </w:p>
    <w:p w14:paraId="73E4BE10">
      <w:pPr>
        <w:pageBreakBefore w:val="0"/>
        <w:widowControl/>
        <w:snapToGrid w:val="0"/>
        <w:spacing w:before="0" w:after="0" w:line="240" w:lineRule="auto"/>
        <w:ind w:left="0" w:right="0" w:firstLine="0"/>
        <w:jc w:val="center"/>
      </w:pPr>
      <w:r>
        <w:rPr>
          <w:rFonts w:ascii="Times New Roman" w:hAnsi="Times New Roman" w:eastAsia="宋体"/>
          <w:b w:val="0"/>
          <w:color w:val="000000"/>
          <w:sz w:val="21"/>
        </w:rPr>
        <w:t>图4 从候选到合法走法的过滤</w:t>
      </w:r>
    </w:p>
    <w:p w14:paraId="2F7FEA34">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对每个候选，保存起点棋子和目标占位，模拟移动后检测己方将帅。如果移动的是将帅，检测目标随之改变；否则使用原将帅位置。检测完立即恢复起终点，再处理下一个候选。己方目标和敌方将帅格在模拟前排除，系统不会用吃掉将帅作为终局动作。</w:t>
      </w:r>
    </w:p>
    <w:p w14:paraId="2C278DC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直线攻击包括车、隔一子的炮和同列无阻挡的将帅；马攻击反查目标对应的马腿，兵卒按敌方前进和过河关系检查。士象等关系也保持与原规则语义一致。合法走法中的captures_only和limit是查询筛选，不会跳过将帅安全检查。</w:t>
      </w:r>
    </w:p>
    <w:p w14:paraId="6D143ADC">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3.2.1 被将军时的含义</w:t>
      </w:r>
    </w:p>
    <w:p w14:paraId="3679681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被将军后仍按同一生成器筛选，结果只剩能够解除攻击的走法，包括移将、吃掉攻击子或有效垫子。无需额外创建一套“应将规则”。这一统一方式使界面提示、AI搜索和终局裁决都依赖相同的安全条件。</w:t>
      </w:r>
    </w:p>
    <w:p w14:paraId="3B58617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同样，未被将军时不能走出自陷将军。例如双方将帅之间只有己方车遮挡，该车横移导致照面，就必须被过滤。只检查棋子的日字、田字或直线几何，无法处理这种全局约束。</w:t>
      </w:r>
    </w:p>
    <w:p w14:paraId="0A4F881D">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3.3 终局裁决与课程版和棋</w:t>
      </w:r>
    </w:p>
    <w:p w14:paraId="7DE94E3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终局先检查当前行棋方是否还有合法走法。没有走法且受攻击为将死，没有走法但未受攻击为困毙；两者都判当前行棋方负。困毙不能按照国际象棋习惯判和，这是中国象棋实现中需要单独验证的差异。</w:t>
      </w:r>
    </w:p>
    <w:p w14:paraId="062F471B">
      <w:pPr>
        <w:keepNext/>
        <w:pageBreakBefore w:val="0"/>
        <w:widowControl/>
        <w:snapToGrid w:val="0"/>
        <w:spacing w:before="0" w:after="0" w:line="240" w:lineRule="auto"/>
        <w:ind w:left="0" w:right="0" w:firstLine="0"/>
        <w:jc w:val="center"/>
      </w:pPr>
      <w:r>
        <w:drawing>
          <wp:inline distT="0" distB="0" distL="114300" distR="114300">
            <wp:extent cx="5490845" cy="192151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90882" cy="1921809"/>
                    </a:xfrm>
                    <a:prstGeom prst="rect">
                      <a:avLst/>
                    </a:prstGeom>
                  </pic:spPr>
                </pic:pic>
              </a:graphicData>
            </a:graphic>
          </wp:inline>
        </w:drawing>
      </w:r>
    </w:p>
    <w:p w14:paraId="04EEF9B2">
      <w:pPr>
        <w:pageBreakBefore w:val="0"/>
        <w:widowControl/>
        <w:snapToGrid w:val="0"/>
        <w:spacing w:before="0" w:after="0" w:line="240" w:lineRule="auto"/>
        <w:ind w:left="0" w:right="0" w:firstLine="0"/>
        <w:jc w:val="center"/>
      </w:pPr>
      <w:r>
        <w:rPr>
          <w:rFonts w:ascii="Times New Roman" w:hAnsi="Times New Roman" w:eastAsia="宋体"/>
          <w:b w:val="0"/>
          <w:color w:val="000000"/>
          <w:sz w:val="21"/>
        </w:rPr>
        <w:t>图5 终局原因的判定优先级</w:t>
      </w:r>
    </w:p>
    <w:p w14:paraId="6246BC2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仍有合法走法时，才检查相同棋盘与相同执方是否第三次出现，再检查无吃子计数是否达到120。胜负优先于这两个阈值，避免刚形成将死却因计数同时达到上限被覆盖为和棋。初始局面也是历史的一部分，计数包含当前节点。</w:t>
      </w:r>
    </w:p>
    <w:p w14:paraId="790306B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Position.play在吃子时将计数清零，否则加一，再切换执方并追加新局面键。兵卒走动本身不清零，这一规则由项目course-v1明确规定。对局端恢复历史时应恢复整个Position，而不只复制board。</w:t>
      </w:r>
    </w:p>
    <w:p w14:paraId="668D5C71">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3.3.1 完整竞赛规则的边界</w:t>
      </w:r>
    </w:p>
    <w:p w14:paraId="79351AC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course-v1没有实现长将、长捉责任方判罚、认输、协商和棋或超时判负。因此三次重复自动和棋只是课程规则，不代表完整竞赛裁决。原生引擎可能采用更复杂的内部重复规则，最终是否结束仍由本项目的权威规则决定。</w:t>
      </w:r>
    </w:p>
    <w:p w14:paraId="3B4A517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规则集是持久棋谱的含义之一。如果日后改变重复或无吃子条件，应升级规则集并检查旧记录兼容性；不能只改一个常数后仍宣称旧棋谱与新判定完全相同。</w:t>
      </w:r>
    </w:p>
    <w:p w14:paraId="34738DE5">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3.4 Negamax与Alpha Beta搜索</w:t>
      </w:r>
    </w:p>
    <w:p w14:paraId="00FD251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搜索把合法局面看成博弈树，当前方选择能够使自身收益最大的走法。评估函数输出红方视角分数，进入搜索后乘当前执方符号，统一成行棋方视角。子节点交换阵营，因此父节点取子节点评分的相反数，得到Negamax递推。</w:t>
      </w:r>
    </w:p>
    <w:p w14:paraId="3767E74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基本关系为N(P,d)=max{-N(Play(P,m),d-1)}，其中m遍历合法走法。到达终局直接给出胜负分，到达普通深度边界进入静态搜索。将死或困毙失败分为-MATE+ply，促使搜索偏好更快获胜、较晚失利，而不是把所有杀棋距离视为完全相同。</w:t>
      </w:r>
    </w:p>
    <w:p w14:paraId="4C82ACE0">
      <w:pPr>
        <w:keepNext/>
        <w:pageBreakBefore w:val="0"/>
        <w:widowControl/>
        <w:snapToGrid w:val="0"/>
        <w:spacing w:before="0" w:after="0" w:line="240" w:lineRule="auto"/>
        <w:ind w:left="0" w:right="0" w:firstLine="0"/>
        <w:jc w:val="center"/>
      </w:pPr>
      <w:r>
        <w:drawing>
          <wp:inline distT="0" distB="0" distL="114300" distR="114300">
            <wp:extent cx="5490845" cy="1960880"/>
            <wp:effectExtent l="0" t="0" r="825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90882" cy="1961029"/>
                    </a:xfrm>
                    <a:prstGeom prst="rect">
                      <a:avLst/>
                    </a:prstGeom>
                  </pic:spPr>
                </pic:pic>
              </a:graphicData>
            </a:graphic>
          </wp:inline>
        </w:drawing>
      </w:r>
    </w:p>
    <w:p w14:paraId="103A0573">
      <w:pPr>
        <w:pageBreakBefore w:val="0"/>
        <w:widowControl/>
        <w:snapToGrid w:val="0"/>
        <w:spacing w:before="0" w:after="0" w:line="240" w:lineRule="auto"/>
        <w:ind w:left="0" w:right="0" w:firstLine="0"/>
        <w:jc w:val="center"/>
      </w:pPr>
      <w:r>
        <w:rPr>
          <w:rFonts w:ascii="Times New Roman" w:hAnsi="Times New Roman" w:eastAsia="宋体"/>
          <w:b w:val="0"/>
          <w:color w:val="000000"/>
          <w:sz w:val="21"/>
        </w:rPr>
        <w:t>图6 自研搜索的调用层次</w:t>
      </w:r>
    </w:p>
    <w:p w14:paraId="6BBBAA4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Alpha Beta维护当前下界alpha和剪枝界beta。当某个走法的评分已经达到beta，当前节点余下分支不可能改善祖先选择，可以停止搜索。剪枝不更改规则，但效果强烈依赖好走法是否尽早出现。最坏情况下仍是指数级，不能把它描述为恒定耗时。</w:t>
      </w:r>
    </w:p>
    <w:p w14:paraId="70993B5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当前实现还采用PVS。第一个走法使用完整窗口；其余走法先用窄窗口判断是否可能超过alpha，只有结果落在需要确认的区间时才重搜。窄窗口结果不等于无条件精确评分，因此边界类型与重搜条件是正确性的组成部分。</w:t>
      </w:r>
    </w:p>
    <w:p w14:paraId="01982F9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相同算法在不同局面能完成的深度不同。分支多、应将多或静态搜索延伸长都会增加成本，设置深度上限只能控制搜索目标，实际运行仍须由单调时钟预算约束。</w:t>
      </w:r>
    </w:p>
    <w:p w14:paraId="1DDF1469">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3.5 迭代加深和静态搜索</w:t>
      </w:r>
    </w:p>
    <w:p w14:paraId="385C2AD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迭代加深从深度1开始，每轮完整结束后才更新对外最佳着法、分数和主变。达到时间预算时丢弃当前未完成轮次，返回上一次完整结果。如果连第一轮都未完成，使用事先验证的确定性合法保底，并报告completedDepth=0；这不是对服务崩溃的替代处理。</w:t>
      </w:r>
    </w:p>
    <w:p w14:paraId="516F3EB2">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3.5.1 叶节点的吃子延伸</w:t>
      </w:r>
    </w:p>
    <w:p w14:paraId="799BB78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固定深度静态评估可能把即将被吃回的棋子当成免费收益，形成地平线效应。静态搜索在普通叶节点继续检查合法吃子，让明显交换趋于稳定再估值。普通状态允许使用当前估值作为停着基准，被将军时则必须搜索全部合法应将，不能用高估值假装可以不应将。</w:t>
      </w:r>
    </w:p>
    <w:p w14:paraId="351878A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静态搜索默认吃子延伸深度为8，同时受整次请求deadline和MAX_PLY=64保护。达到安全边界时中止该轮，而不是在被将军的位置返回未经应将的静态分。终局判断在普通搜索和静态搜索中保持同一优先顺序。</w:t>
      </w:r>
    </w:p>
    <w:p w14:paraId="5F1B626C">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3.5.2 迭代窗口与结果完整性</w:t>
      </w:r>
    </w:p>
    <w:p w14:paraId="1970013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从第三轮起，搜索使用上一轮分数正负45的预期窗口。若结果超出窗口，必须改用完整窗口重新搜索；若重搜过程中超时，仍返回前一轮已完成结果。不能把失败窗口产生的界限值当作该深度的精确答案。</w:t>
      </w:r>
    </w:p>
    <w:tbl>
      <w:tblPr>
        <w:tblStyle w:val="11"/>
        <w:tblW w:w="0" w:type="auto"/>
        <w:tblInd w:w="0" w:type="dxa"/>
        <w:tblLayout w:type="fixed"/>
        <w:tblCellMar>
          <w:top w:w="0" w:type="dxa"/>
          <w:left w:w="108" w:type="dxa"/>
          <w:bottom w:w="0" w:type="dxa"/>
          <w:right w:w="108" w:type="dxa"/>
        </w:tblCellMar>
      </w:tblPr>
      <w:tblGrid>
        <w:gridCol w:w="1728"/>
        <w:gridCol w:w="3456"/>
        <w:gridCol w:w="3456"/>
      </w:tblGrid>
      <w:tr w14:paraId="7BB0B6B8">
        <w:tblPrEx>
          <w:tblCellMar>
            <w:top w:w="0" w:type="dxa"/>
            <w:left w:w="108" w:type="dxa"/>
            <w:bottom w:w="0" w:type="dxa"/>
            <w:right w:w="108" w:type="dxa"/>
          </w:tblCellMar>
        </w:tblPrEx>
        <w:trPr>
          <w:cantSplit/>
          <w:tblHeader/>
        </w:trPr>
        <w:tc>
          <w:tcPr>
            <w:tcW w:w="172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DBF61FB">
            <w:pPr>
              <w:spacing w:before="0" w:after="0" w:line="276" w:lineRule="auto"/>
              <w:ind w:firstLine="0"/>
              <w:jc w:val="left"/>
            </w:pPr>
            <w:r>
              <w:rPr>
                <w:rFonts w:ascii="Times New Roman" w:hAnsi="Times New Roman" w:eastAsia="宋体"/>
                <w:b/>
                <w:color w:val="000000"/>
                <w:sz w:val="21"/>
              </w:rPr>
              <w:t>阶段</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0F8C9EE">
            <w:pPr>
              <w:spacing w:before="0" w:after="0" w:line="276" w:lineRule="auto"/>
              <w:ind w:firstLine="0"/>
              <w:jc w:val="left"/>
            </w:pPr>
            <w:r>
              <w:rPr>
                <w:rFonts w:ascii="Times New Roman" w:hAnsi="Times New Roman" w:eastAsia="宋体"/>
                <w:b/>
                <w:color w:val="000000"/>
                <w:sz w:val="21"/>
              </w:rPr>
              <w:t>可以提交的结果</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9142BB2">
            <w:pPr>
              <w:spacing w:before="0" w:after="0" w:line="276" w:lineRule="auto"/>
              <w:ind w:firstLine="0"/>
              <w:jc w:val="left"/>
            </w:pPr>
            <w:r>
              <w:rPr>
                <w:rFonts w:ascii="Times New Roman" w:hAnsi="Times New Roman" w:eastAsia="宋体"/>
                <w:b/>
                <w:color w:val="000000"/>
                <w:sz w:val="21"/>
              </w:rPr>
              <w:t>不可提交的结果</w:t>
            </w:r>
          </w:p>
        </w:tc>
      </w:tr>
      <w:tr w14:paraId="65C1A32D">
        <w:tblPrEx>
          <w:tblCellMar>
            <w:top w:w="0" w:type="dxa"/>
            <w:left w:w="108" w:type="dxa"/>
            <w:bottom w:w="0" w:type="dxa"/>
            <w:right w:w="108" w:type="dxa"/>
          </w:tblCellMar>
        </w:tblPrEx>
        <w:trPr>
          <w:cantSplit/>
        </w:trPr>
        <w:tc>
          <w:tcPr>
            <w:tcW w:w="172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298B2F2">
            <w:pPr>
              <w:spacing w:before="0" w:after="0" w:line="276" w:lineRule="auto"/>
              <w:ind w:firstLine="0"/>
              <w:jc w:val="left"/>
            </w:pPr>
            <w:r>
              <w:rPr>
                <w:rFonts w:ascii="Times New Roman" w:hAnsi="Times New Roman" w:eastAsia="宋体"/>
                <w:b w:val="0"/>
                <w:color w:val="000000"/>
                <w:sz w:val="21"/>
              </w:rPr>
              <w:t>一轮完整结束</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84929BC">
            <w:pPr>
              <w:spacing w:before="0" w:after="0" w:line="276" w:lineRule="auto"/>
              <w:ind w:firstLine="0"/>
              <w:jc w:val="left"/>
            </w:pPr>
            <w:r>
              <w:rPr>
                <w:rFonts w:ascii="Times New Roman" w:hAnsi="Times New Roman" w:eastAsia="宋体"/>
                <w:b w:val="0"/>
                <w:color w:val="000000"/>
                <w:sz w:val="21"/>
              </w:rPr>
              <w:t>该轮最佳着法与主变</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A947C0F">
            <w:pPr>
              <w:spacing w:before="0" w:after="0" w:line="276" w:lineRule="auto"/>
              <w:ind w:firstLine="0"/>
              <w:jc w:val="left"/>
            </w:pPr>
            <w:r>
              <w:rPr>
                <w:rFonts w:ascii="Times New Roman" w:hAnsi="Times New Roman" w:eastAsia="宋体"/>
                <w:b w:val="0"/>
                <w:color w:val="000000"/>
                <w:sz w:val="21"/>
              </w:rPr>
              <w:t>仅局部根走法的临时比较</w:t>
            </w:r>
          </w:p>
        </w:tc>
      </w:tr>
      <w:tr w14:paraId="1AAD45A0">
        <w:tblPrEx>
          <w:tblCellMar>
            <w:top w:w="0" w:type="dxa"/>
            <w:left w:w="108" w:type="dxa"/>
            <w:bottom w:w="0" w:type="dxa"/>
            <w:right w:w="108" w:type="dxa"/>
          </w:tblCellMar>
        </w:tblPrEx>
        <w:trPr>
          <w:cantSplit/>
        </w:trPr>
        <w:tc>
          <w:tcPr>
            <w:tcW w:w="172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537144E">
            <w:pPr>
              <w:spacing w:before="0" w:after="0" w:line="276" w:lineRule="auto"/>
              <w:ind w:firstLine="0"/>
              <w:jc w:val="left"/>
            </w:pPr>
            <w:r>
              <w:rPr>
                <w:rFonts w:ascii="Times New Roman" w:hAnsi="Times New Roman" w:eastAsia="宋体"/>
                <w:b w:val="0"/>
                <w:color w:val="000000"/>
                <w:sz w:val="21"/>
              </w:rPr>
              <w:t>窗口失败</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5749E18">
            <w:pPr>
              <w:spacing w:before="0" w:after="0" w:line="276" w:lineRule="auto"/>
              <w:ind w:firstLine="0"/>
              <w:jc w:val="left"/>
            </w:pPr>
            <w:r>
              <w:rPr>
                <w:rFonts w:ascii="Times New Roman" w:hAnsi="Times New Roman" w:eastAsia="宋体"/>
                <w:b w:val="0"/>
                <w:color w:val="000000"/>
                <w:sz w:val="21"/>
              </w:rPr>
              <w:t>完成完整窗口重搜之后</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9C0064D">
            <w:pPr>
              <w:spacing w:before="0" w:after="0" w:line="276" w:lineRule="auto"/>
              <w:ind w:firstLine="0"/>
              <w:jc w:val="left"/>
            </w:pPr>
            <w:r>
              <w:rPr>
                <w:rFonts w:ascii="Times New Roman" w:hAnsi="Times New Roman" w:eastAsia="宋体"/>
                <w:b w:val="0"/>
                <w:color w:val="000000"/>
                <w:sz w:val="21"/>
              </w:rPr>
              <w:t>失败窗口边界分</w:t>
            </w:r>
          </w:p>
        </w:tc>
      </w:tr>
      <w:tr w14:paraId="1CB1E91A">
        <w:tblPrEx>
          <w:tblCellMar>
            <w:top w:w="0" w:type="dxa"/>
            <w:left w:w="108" w:type="dxa"/>
            <w:bottom w:w="0" w:type="dxa"/>
            <w:right w:w="108" w:type="dxa"/>
          </w:tblCellMar>
        </w:tblPrEx>
        <w:trPr>
          <w:cantSplit/>
        </w:trPr>
        <w:tc>
          <w:tcPr>
            <w:tcW w:w="172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355D528">
            <w:pPr>
              <w:spacing w:before="0" w:after="0" w:line="276" w:lineRule="auto"/>
              <w:ind w:firstLine="0"/>
              <w:jc w:val="left"/>
            </w:pPr>
            <w:r>
              <w:rPr>
                <w:rFonts w:ascii="Times New Roman" w:hAnsi="Times New Roman" w:eastAsia="宋体"/>
                <w:b w:val="0"/>
                <w:color w:val="000000"/>
                <w:sz w:val="21"/>
              </w:rPr>
              <w:t>正常预算耗尽</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CA8700B">
            <w:pPr>
              <w:spacing w:before="0" w:after="0" w:line="276" w:lineRule="auto"/>
              <w:ind w:firstLine="0"/>
              <w:jc w:val="left"/>
            </w:pPr>
            <w:r>
              <w:rPr>
                <w:rFonts w:ascii="Times New Roman" w:hAnsi="Times New Roman" w:eastAsia="宋体"/>
                <w:b w:val="0"/>
                <w:color w:val="000000"/>
                <w:sz w:val="21"/>
              </w:rPr>
              <w:t>上次完整迭代或明确合法保底</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9E7498C">
            <w:pPr>
              <w:spacing w:before="0" w:after="0" w:line="276" w:lineRule="auto"/>
              <w:ind w:firstLine="0"/>
              <w:jc w:val="left"/>
            </w:pPr>
            <w:r>
              <w:rPr>
                <w:rFonts w:ascii="Times New Roman" w:hAnsi="Times New Roman" w:eastAsia="宋体"/>
                <w:b w:val="0"/>
                <w:color w:val="000000"/>
                <w:sz w:val="21"/>
              </w:rPr>
              <w:t>声称完成中断的深度</w:t>
            </w:r>
          </w:p>
        </w:tc>
      </w:tr>
      <w:tr w14:paraId="747D0888">
        <w:tblPrEx>
          <w:tblCellMar>
            <w:top w:w="0" w:type="dxa"/>
            <w:left w:w="108" w:type="dxa"/>
            <w:bottom w:w="0" w:type="dxa"/>
            <w:right w:w="108" w:type="dxa"/>
          </w:tblCellMar>
        </w:tblPrEx>
        <w:trPr>
          <w:cantSplit/>
        </w:trPr>
        <w:tc>
          <w:tcPr>
            <w:tcW w:w="172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8B6EA3F">
            <w:pPr>
              <w:spacing w:before="0" w:after="0" w:line="276" w:lineRule="auto"/>
              <w:ind w:firstLine="0"/>
              <w:jc w:val="left"/>
            </w:pPr>
            <w:r>
              <w:rPr>
                <w:rFonts w:ascii="Times New Roman" w:hAnsi="Times New Roman" w:eastAsia="宋体"/>
                <w:b w:val="0"/>
                <w:color w:val="000000"/>
                <w:sz w:val="21"/>
              </w:rPr>
              <w:t>服务异常</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7B4B63A">
            <w:pPr>
              <w:spacing w:before="0" w:after="0" w:line="276" w:lineRule="auto"/>
              <w:ind w:firstLine="0"/>
              <w:jc w:val="left"/>
            </w:pPr>
            <w:r>
              <w:rPr>
                <w:rFonts w:ascii="Times New Roman" w:hAnsi="Times New Roman" w:eastAsia="宋体"/>
                <w:b w:val="0"/>
                <w:color w:val="000000"/>
                <w:sz w:val="21"/>
              </w:rPr>
              <w:t>错误响应交由对局端处理</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25CFE05">
            <w:pPr>
              <w:spacing w:before="0" w:after="0" w:line="276" w:lineRule="auto"/>
              <w:ind w:firstLine="0"/>
              <w:jc w:val="left"/>
            </w:pPr>
            <w:r>
              <w:rPr>
                <w:rFonts w:ascii="Times New Roman" w:hAnsi="Times New Roman" w:eastAsia="宋体"/>
                <w:b w:val="0"/>
                <w:color w:val="000000"/>
                <w:sz w:val="21"/>
              </w:rPr>
              <w:t>悄悄改用随机着法</w:t>
            </w:r>
          </w:p>
        </w:tc>
      </w:tr>
    </w:tbl>
    <w:p w14:paraId="766F3C01">
      <w:pPr>
        <w:pageBreakBefore w:val="0"/>
        <w:widowControl/>
        <w:snapToGrid w:val="0"/>
        <w:spacing w:before="0" w:after="0" w:line="72" w:lineRule="auto"/>
        <w:ind w:left="0" w:right="0" w:firstLine="0"/>
        <w:jc w:val="center"/>
      </w:pPr>
    </w:p>
    <w:p w14:paraId="2BAB33B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这些约定让实际棋力实验可以比较完成深度，也让用户知道系统是在预算内正常返回，还是遇到了基础设施错误。两种情况不能使用同一条“AI已落子”消息掩盖。</w:t>
      </w:r>
    </w:p>
    <w:p w14:paraId="2C5D6486">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3.6 局面评估与颜色对称</w:t>
      </w:r>
    </w:p>
    <w:p w14:paraId="6791F8A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评估先计算子力和位置，再考虑受将军惩罚、阶段调整、机动性与王区压力。基础子值为兵100、马420、炮450、车900、士相200；将帅不作为普通可交换子力计分。数值属于启发式权重，不能理解为真实胜率或绝对交换价格。</w:t>
      </w:r>
    </w:p>
    <w:tbl>
      <w:tblPr>
        <w:tblStyle w:val="11"/>
        <w:tblW w:w="0" w:type="auto"/>
        <w:tblInd w:w="0" w:type="dxa"/>
        <w:tblLayout w:type="fixed"/>
        <w:tblCellMar>
          <w:top w:w="0" w:type="dxa"/>
          <w:left w:w="108" w:type="dxa"/>
          <w:bottom w:w="0" w:type="dxa"/>
          <w:right w:w="108" w:type="dxa"/>
        </w:tblCellMar>
      </w:tblPr>
      <w:tblGrid>
        <w:gridCol w:w="1512"/>
        <w:gridCol w:w="3744"/>
        <w:gridCol w:w="3384"/>
      </w:tblGrid>
      <w:tr w14:paraId="1F3D36DB">
        <w:tblPrEx>
          <w:tblCellMar>
            <w:top w:w="0" w:type="dxa"/>
            <w:left w:w="108" w:type="dxa"/>
            <w:bottom w:w="0" w:type="dxa"/>
            <w:right w:w="108" w:type="dxa"/>
          </w:tblCellMar>
        </w:tblPrEx>
        <w:trPr>
          <w:cantSplit/>
          <w:tblHeader/>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2F5B1FE">
            <w:pPr>
              <w:spacing w:before="0" w:after="0" w:line="276" w:lineRule="auto"/>
              <w:ind w:firstLine="0"/>
              <w:jc w:val="left"/>
            </w:pPr>
            <w:r>
              <w:rPr>
                <w:rFonts w:ascii="Times New Roman" w:hAnsi="Times New Roman" w:eastAsia="宋体"/>
                <w:b/>
                <w:color w:val="000000"/>
                <w:sz w:val="21"/>
              </w:rPr>
              <w:t>评估项</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DACD8DC">
            <w:pPr>
              <w:spacing w:before="0" w:after="0" w:line="276" w:lineRule="auto"/>
              <w:ind w:firstLine="0"/>
              <w:jc w:val="left"/>
            </w:pPr>
            <w:r>
              <w:rPr>
                <w:rFonts w:ascii="Times New Roman" w:hAnsi="Times New Roman" w:eastAsia="宋体"/>
                <w:b/>
                <w:color w:val="000000"/>
                <w:sz w:val="21"/>
              </w:rPr>
              <w:t>实现含义</w:t>
            </w:r>
          </w:p>
        </w:tc>
        <w:tc>
          <w:tcPr>
            <w:tcW w:w="33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3EFF862">
            <w:pPr>
              <w:spacing w:before="0" w:after="0" w:line="276" w:lineRule="auto"/>
              <w:ind w:firstLine="0"/>
              <w:jc w:val="left"/>
            </w:pPr>
            <w:r>
              <w:rPr>
                <w:rFonts w:ascii="Times New Roman" w:hAnsi="Times New Roman" w:eastAsia="宋体"/>
                <w:b/>
                <w:color w:val="000000"/>
                <w:sz w:val="21"/>
              </w:rPr>
              <w:t>限制</w:t>
            </w:r>
          </w:p>
        </w:tc>
      </w:tr>
      <w:tr w14:paraId="318C32FC">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B7DD887">
            <w:pPr>
              <w:spacing w:before="0" w:after="0" w:line="276" w:lineRule="auto"/>
              <w:ind w:firstLine="0"/>
              <w:jc w:val="left"/>
            </w:pPr>
            <w:r>
              <w:rPr>
                <w:rFonts w:ascii="Times New Roman" w:hAnsi="Times New Roman" w:eastAsia="宋体"/>
                <w:b w:val="0"/>
                <w:color w:val="000000"/>
                <w:sz w:val="21"/>
              </w:rPr>
              <w:t>位置与推进</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0235B7D">
            <w:pPr>
              <w:spacing w:before="0" w:after="0" w:line="276" w:lineRule="auto"/>
              <w:ind w:firstLine="0"/>
              <w:jc w:val="left"/>
            </w:pPr>
            <w:r>
              <w:rPr>
                <w:rFonts w:ascii="Times New Roman" w:hAnsi="Times New Roman" w:eastAsia="宋体"/>
                <w:b w:val="0"/>
                <w:color w:val="000000"/>
                <w:sz w:val="21"/>
              </w:rPr>
              <w:t>不同棋子具有中心和推进加分</w:t>
            </w:r>
          </w:p>
        </w:tc>
        <w:tc>
          <w:tcPr>
            <w:tcW w:w="33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33F71B8">
            <w:pPr>
              <w:spacing w:before="0" w:after="0" w:line="276" w:lineRule="auto"/>
              <w:ind w:firstLine="0"/>
              <w:jc w:val="left"/>
            </w:pPr>
            <w:r>
              <w:rPr>
                <w:rFonts w:ascii="Times New Roman" w:hAnsi="Times New Roman" w:eastAsia="宋体"/>
                <w:b w:val="0"/>
                <w:color w:val="000000"/>
                <w:sz w:val="21"/>
              </w:rPr>
              <w:t>不是每一步向前都更优</w:t>
            </w:r>
          </w:p>
        </w:tc>
      </w:tr>
      <w:tr w14:paraId="795F56B1">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76BB466">
            <w:pPr>
              <w:spacing w:before="0" w:after="0" w:line="276" w:lineRule="auto"/>
              <w:ind w:firstLine="0"/>
              <w:jc w:val="left"/>
            </w:pPr>
            <w:r>
              <w:rPr>
                <w:rFonts w:ascii="Times New Roman" w:hAnsi="Times New Roman" w:eastAsia="宋体"/>
                <w:b w:val="0"/>
                <w:color w:val="000000"/>
                <w:sz w:val="21"/>
              </w:rPr>
              <w:t>将军惩罚</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3F7BE58">
            <w:pPr>
              <w:spacing w:before="0" w:after="0" w:line="276" w:lineRule="auto"/>
              <w:ind w:firstLine="0"/>
              <w:jc w:val="left"/>
            </w:pPr>
            <w:r>
              <w:rPr>
                <w:rFonts w:ascii="Times New Roman" w:hAnsi="Times New Roman" w:eastAsia="宋体"/>
                <w:b w:val="0"/>
                <w:color w:val="000000"/>
                <w:sz w:val="21"/>
              </w:rPr>
              <w:t>CHECK_PENALTY=55</w:t>
            </w:r>
          </w:p>
        </w:tc>
        <w:tc>
          <w:tcPr>
            <w:tcW w:w="33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4235D64">
            <w:pPr>
              <w:spacing w:before="0" w:after="0" w:line="276" w:lineRule="auto"/>
              <w:ind w:firstLine="0"/>
              <w:jc w:val="left"/>
            </w:pPr>
            <w:r>
              <w:rPr>
                <w:rFonts w:ascii="Times New Roman" w:hAnsi="Times New Roman" w:eastAsia="宋体"/>
                <w:b w:val="0"/>
                <w:color w:val="000000"/>
                <w:sz w:val="21"/>
              </w:rPr>
              <w:t>实际将死仍由终局分主导</w:t>
            </w:r>
          </w:p>
        </w:tc>
      </w:tr>
      <w:tr w14:paraId="7B82BABC">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F63EC63">
            <w:pPr>
              <w:spacing w:before="0" w:after="0" w:line="276" w:lineRule="auto"/>
              <w:ind w:firstLine="0"/>
              <w:jc w:val="left"/>
            </w:pPr>
            <w:r>
              <w:rPr>
                <w:rFonts w:ascii="Times New Roman" w:hAnsi="Times New Roman" w:eastAsia="宋体"/>
                <w:b w:val="0"/>
                <w:color w:val="000000"/>
                <w:sz w:val="21"/>
              </w:rPr>
              <w:t>机动性</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4EDB32A">
            <w:pPr>
              <w:spacing w:before="0" w:after="0" w:line="276" w:lineRule="auto"/>
              <w:ind w:firstLine="0"/>
              <w:jc w:val="left"/>
            </w:pPr>
            <w:r>
              <w:rPr>
                <w:rFonts w:ascii="Times New Roman" w:hAnsi="Times New Roman" w:eastAsia="宋体"/>
                <w:b w:val="0"/>
                <w:color w:val="000000"/>
                <w:sz w:val="21"/>
              </w:rPr>
              <w:t>马车炮可达目标计数加权</w:t>
            </w:r>
          </w:p>
        </w:tc>
        <w:tc>
          <w:tcPr>
            <w:tcW w:w="33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B42660D">
            <w:pPr>
              <w:spacing w:before="0" w:after="0" w:line="276" w:lineRule="auto"/>
              <w:ind w:firstLine="0"/>
              <w:jc w:val="left"/>
            </w:pPr>
            <w:r>
              <w:rPr>
                <w:rFonts w:ascii="Times New Roman" w:hAnsi="Times New Roman" w:eastAsia="宋体"/>
                <w:b w:val="0"/>
                <w:color w:val="000000"/>
                <w:sz w:val="21"/>
              </w:rPr>
              <w:t>使用伪合法活动度，不是规则裁决</w:t>
            </w:r>
          </w:p>
        </w:tc>
      </w:tr>
      <w:tr w14:paraId="7DB5160A">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07A1EAD">
            <w:pPr>
              <w:spacing w:before="0" w:after="0" w:line="276" w:lineRule="auto"/>
              <w:ind w:firstLine="0"/>
              <w:jc w:val="left"/>
            </w:pPr>
            <w:r>
              <w:rPr>
                <w:rFonts w:ascii="Times New Roman" w:hAnsi="Times New Roman" w:eastAsia="宋体"/>
                <w:b w:val="0"/>
                <w:color w:val="000000"/>
                <w:sz w:val="21"/>
              </w:rPr>
              <w:t>阶段修正</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55F2F15">
            <w:pPr>
              <w:spacing w:before="0" w:after="0" w:line="276" w:lineRule="auto"/>
              <w:ind w:firstLine="0"/>
              <w:jc w:val="left"/>
            </w:pPr>
            <w:r>
              <w:rPr>
                <w:rFonts w:ascii="Times New Roman" w:hAnsi="Times New Roman" w:eastAsia="宋体"/>
                <w:b w:val="0"/>
                <w:color w:val="000000"/>
                <w:sz w:val="21"/>
              </w:rPr>
              <w:t>残局适当提高马、降低炮的相对价值</w:t>
            </w:r>
          </w:p>
        </w:tc>
        <w:tc>
          <w:tcPr>
            <w:tcW w:w="33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F81A209">
            <w:pPr>
              <w:spacing w:before="0" w:after="0" w:line="276" w:lineRule="auto"/>
              <w:ind w:firstLine="0"/>
              <w:jc w:val="left"/>
            </w:pPr>
            <w:r>
              <w:rPr>
                <w:rFonts w:ascii="Times New Roman" w:hAnsi="Times New Roman" w:eastAsia="宋体"/>
                <w:b w:val="0"/>
                <w:color w:val="000000"/>
                <w:sz w:val="21"/>
              </w:rPr>
              <w:t>幅度有限，不能覆盖重大丢子</w:t>
            </w:r>
          </w:p>
        </w:tc>
      </w:tr>
      <w:tr w14:paraId="01AC23BF">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3859D63">
            <w:pPr>
              <w:spacing w:before="0" w:after="0" w:line="276" w:lineRule="auto"/>
              <w:ind w:firstLine="0"/>
              <w:jc w:val="left"/>
            </w:pPr>
            <w:r>
              <w:rPr>
                <w:rFonts w:ascii="Times New Roman" w:hAnsi="Times New Roman" w:eastAsia="宋体"/>
                <w:b w:val="0"/>
                <w:color w:val="000000"/>
                <w:sz w:val="21"/>
              </w:rPr>
              <w:t>王区压力</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60C2E79">
            <w:pPr>
              <w:spacing w:before="0" w:after="0" w:line="276" w:lineRule="auto"/>
              <w:ind w:firstLine="0"/>
              <w:jc w:val="left"/>
            </w:pPr>
            <w:r>
              <w:rPr>
                <w:rFonts w:ascii="Times New Roman" w:hAnsi="Times New Roman" w:eastAsia="宋体"/>
                <w:b w:val="0"/>
                <w:color w:val="000000"/>
                <w:sz w:val="21"/>
              </w:rPr>
              <w:t>敌将周围可达目标的启发式加分</w:t>
            </w:r>
          </w:p>
        </w:tc>
        <w:tc>
          <w:tcPr>
            <w:tcW w:w="33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AD0938A">
            <w:pPr>
              <w:spacing w:before="0" w:after="0" w:line="276" w:lineRule="auto"/>
              <w:ind w:firstLine="0"/>
              <w:jc w:val="left"/>
            </w:pPr>
            <w:r>
              <w:rPr>
                <w:rFonts w:ascii="Times New Roman" w:hAnsi="Times New Roman" w:eastAsia="宋体"/>
                <w:b w:val="0"/>
                <w:color w:val="000000"/>
                <w:sz w:val="21"/>
              </w:rPr>
              <w:t>不等于存在必胜攻击</w:t>
            </w:r>
          </w:p>
        </w:tc>
      </w:tr>
      <w:tr w14:paraId="33A9B2A8">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CCEA723">
            <w:pPr>
              <w:spacing w:before="0" w:after="0" w:line="276" w:lineRule="auto"/>
              <w:ind w:firstLine="0"/>
              <w:jc w:val="left"/>
            </w:pPr>
            <w:r>
              <w:rPr>
                <w:rFonts w:ascii="Times New Roman" w:hAnsi="Times New Roman" w:eastAsia="宋体"/>
                <w:b w:val="0"/>
                <w:color w:val="000000"/>
                <w:sz w:val="21"/>
              </w:rPr>
              <w:t>底线兵修正</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425DF24">
            <w:pPr>
              <w:spacing w:before="0" w:after="0" w:line="276" w:lineRule="auto"/>
              <w:ind w:firstLine="0"/>
              <w:jc w:val="left"/>
            </w:pPr>
            <w:r>
              <w:rPr>
                <w:rFonts w:ascii="Times New Roman" w:hAnsi="Times New Roman" w:eastAsia="宋体"/>
                <w:b w:val="0"/>
                <w:color w:val="000000"/>
                <w:sz w:val="21"/>
              </w:rPr>
              <w:t>降低不能再前进时的推进收益</w:t>
            </w:r>
          </w:p>
        </w:tc>
        <w:tc>
          <w:tcPr>
            <w:tcW w:w="33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FF7422C">
            <w:pPr>
              <w:spacing w:before="0" w:after="0" w:line="276" w:lineRule="auto"/>
              <w:ind w:firstLine="0"/>
              <w:jc w:val="left"/>
            </w:pPr>
            <w:r>
              <w:rPr>
                <w:rFonts w:ascii="Times New Roman" w:hAnsi="Times New Roman" w:eastAsia="宋体"/>
                <w:b w:val="0"/>
                <w:color w:val="000000"/>
                <w:sz w:val="21"/>
              </w:rPr>
              <w:t>保留横向活动价值</w:t>
            </w:r>
          </w:p>
        </w:tc>
      </w:tr>
    </w:tbl>
    <w:p w14:paraId="22348CB7">
      <w:pPr>
        <w:pageBreakBefore w:val="0"/>
        <w:widowControl/>
        <w:snapToGrid w:val="0"/>
        <w:spacing w:before="0" w:after="0" w:line="72" w:lineRule="auto"/>
        <w:ind w:left="0" w:right="0" w:firstLine="0"/>
        <w:jc w:val="center"/>
      </w:pPr>
    </w:p>
    <w:p w14:paraId="4DB2BB1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阶段值由马车炮按不同权重累计并限制在32以内，endgame为32减去阶段值。随着重子减少，马的活动空间收益逐渐增加，炮对炮架的依赖通过较小减分表达。这些修正用于改善选择倾向，必须通过成局对照判断收益。</w:t>
      </w:r>
    </w:p>
    <w:p w14:paraId="528FC9F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评估保持红黑旋转镜像：棋盘倒序并交换正负后，评分应取相反数，初始对称局面评分为0。搜索层统一转换执方视角，避免黑方也追求红方优势。缓存的静态分以棋盘为键，因为该函数不依赖执方和重复历史；搜索结果缓存则需要更多上下文。</w:t>
      </w:r>
    </w:p>
    <w:p w14:paraId="34916B9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新增评估会增加每个叶节点成本。即使走法生成更快，也可能被复杂估值抵消，因此需要同时记录单项耗时、完成深度和对局结果，不能仅凭评估项数量声称程序一定更强。</w:t>
      </w:r>
    </w:p>
    <w:p w14:paraId="520382C5">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3.7 排序、置换表与几何加速</w:t>
      </w:r>
    </w:p>
    <w:p w14:paraId="12BFB77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走法排序依次优先主变候选、高价值吃子、同层杀手着法与历史表现较好的安静着法。吃子排序根据被吃子价值与攻击子价值组合，不是静态交换的完整证明。杀手和历史分数只影响搜索顺序，不会把原本非法的走法变为合法。</w:t>
      </w:r>
    </w:p>
    <w:p w14:paraId="78E39D8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置换表保存深度、分数、边界类型和主变；只有足够深且符合窗口条件的条目才能截断搜索。将杀分按根距离存取时调整，防止同一杀棋在不同层级复用后距离偏移。表和排序信息在单个请求内使用，避免跨配置无限积累。</w:t>
      </w:r>
    </w:p>
    <w:p w14:paraId="1A269A20">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3.7.1 和棋历史安全</w:t>
      </w:r>
    </w:p>
    <w:p w14:paraId="1CBA2EF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同一棋盘在无吃子计数119和计数0时，后续意义可能不同；同一局面已出现两次和只出现一次，也可能影响最佳选择。因此评分缓存键包含board、side、no_capture以及各历史键的出现次数集合。只存棋盘哈希会把不同和棋上下文错误合并。</w:t>
      </w:r>
    </w:p>
    <w:p w14:paraId="330143C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相较之下，合法走法仅由棋盘与执方决定，完整走法缓存可回答吃子筛选和是否存在合法着法的查询，不必再次生成。这一区分体现了缓存设计的原则：键必须覆盖被缓存函数真正依赖的数据，而不是对所有结果使用相同的“局面编号”。</w:t>
      </w:r>
    </w:p>
    <w:p w14:paraId="32430F84">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3.7.2 优化的等价性验证</w:t>
      </w:r>
    </w:p>
    <w:p w14:paraId="1C2F673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直线射线、马腿、象眼、九宫和兵卒几何在启动时预计算。v4规则与旧实现逐项对照300个局面：200个来自合法随机对局，100个为非典型位置合成局面，比较90格候选和双方攻击关系，并核对完整合法着法。合成局面只用于扩大算法输入覆盖，不冒充真实比赛。</w:t>
      </w:r>
    </w:p>
    <w:p w14:paraId="0EDB8BA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缓存大小达到30000时清理以限制请求内占用。上限与MAX_PLY是资源保护，不构成性能承诺；需要结合计算机配置和实测用时解释。</w:t>
      </w:r>
    </w:p>
    <w:p w14:paraId="4AB73E5A">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3.8 独立计算与第三方引擎适配</w:t>
      </w:r>
    </w:p>
    <w:p w14:paraId="69CA395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自研搜索放在ai.worker工作进程，AI服务事件循环负责通信和取消。计算与网络分离后，长搜索不会直接占住接收cancel的线程。服务退出、连接断开或任务取消时，需要终止并等待对应工作进程，而不仅仅取消一个Python协程。</w:t>
      </w:r>
    </w:p>
    <w:p w14:paraId="3F7DB1BA">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3.8.1 FEN与UCI的边界转换</w:t>
      </w:r>
    </w:p>
    <w:p w14:paraId="789CA24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原生适配器把90格棋盘转换为FEN，空格连续计数、行之间用斜线分隔，红方对应w，黑方对应b。UCI坐标的横线使用a至i，纵线方向与数组行号相反：例如索引64到67转换为b2e2。反向解析后仍执行索引、合法性和主变连续性检查。</w:t>
      </w:r>
    </w:p>
    <w:p w14:paraId="32261967">
      <w:pPr>
        <w:keepNext/>
        <w:pageBreakBefore w:val="0"/>
        <w:widowControl/>
        <w:snapToGrid w:val="0"/>
        <w:spacing w:before="0" w:after="0" w:line="240" w:lineRule="auto"/>
        <w:ind w:left="0" w:right="0" w:firstLine="0"/>
        <w:jc w:val="center"/>
      </w:pPr>
      <w:r>
        <w:drawing>
          <wp:inline distT="0" distB="0" distL="114300" distR="114300">
            <wp:extent cx="5490845" cy="1960880"/>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90882" cy="1961029"/>
                    </a:xfrm>
                    <a:prstGeom prst="rect">
                      <a:avLst/>
                    </a:prstGeom>
                  </pic:spPr>
                </pic:pic>
              </a:graphicData>
            </a:graphic>
          </wp:inline>
        </w:drawing>
      </w:r>
    </w:p>
    <w:p w14:paraId="500A2048">
      <w:pPr>
        <w:pageBreakBefore w:val="0"/>
        <w:widowControl/>
        <w:snapToGrid w:val="0"/>
        <w:spacing w:before="0" w:after="0" w:line="240" w:lineRule="auto"/>
        <w:ind w:left="0" w:right="0" w:firstLine="0"/>
        <w:jc w:val="center"/>
      </w:pPr>
      <w:r>
        <w:rPr>
          <w:rFonts w:ascii="Times New Roman" w:hAnsi="Times New Roman" w:eastAsia="宋体"/>
          <w:b w:val="0"/>
          <w:color w:val="000000"/>
          <w:sz w:val="21"/>
        </w:rPr>
        <w:t>图7 原生引擎适配的边界</w:t>
      </w:r>
    </w:p>
    <w:p w14:paraId="1FDF5D7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适配器根据positionKeys重建每一步合法转换，把初始FEN和完整moves送给原生程序，避免丢弃重复历史。根着法用searchmoves限制为本项目合法集合；bestmove返回后再次校验，主变重放遇到course-v1终局即停止。第三方内部规则不替代本项目裁决。</w:t>
      </w:r>
    </w:p>
    <w:p w14:paraId="15C4E8D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初始化单独限时5秒，完成握手和readyok后再给完整搜索预算，搜索与校验额外留1秒；对局端等待上限与之协调。配置线程不超过4，Hash为128MiB。执行文件或NNUE缺失时报错，不自动转成另一引擎。</w:t>
      </w:r>
    </w:p>
    <w:p w14:paraId="08BBE4B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项目固定使用Pikafish 2026-09-06，保留作者、来源、代码许可、权重许可及对应源码材料。自研算法和UCI桥接可以解释与修改，第三方搜索及预训练模型必须如实披露。</w:t>
      </w:r>
    </w:p>
    <w:p w14:paraId="4D46BC87">
      <w:pPr>
        <w:keepNext/>
        <w:pageBreakBefore/>
        <w:widowControl/>
        <w:snapToGrid w:val="0"/>
        <w:spacing w:before="0" w:after="0" w:line="360" w:lineRule="auto"/>
        <w:ind w:left="0" w:right="0" w:firstLine="0"/>
        <w:jc w:val="both"/>
      </w:pPr>
      <w:r>
        <w:rPr>
          <w:rFonts w:ascii="Times New Roman" w:hAnsi="Times New Roman" w:eastAsia="宋体"/>
          <w:b/>
          <w:color w:val="000000"/>
          <w:sz w:val="28"/>
        </w:rPr>
        <w:t>四、部分核心代码</w:t>
      </w:r>
    </w:p>
    <w:p w14:paraId="58C34214">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4.1 合法走法生成伪代码</w:t>
      </w:r>
    </w:p>
    <w:p w14:paraId="5D91DC8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下面的伪代码概括候选生成与将帅安全过滤。棋子专属几何放在Candidates中，攻击关系放在IsAttacked中，两者都不递归调用对方阵营的完整合法走法。</w:t>
      </w:r>
    </w:p>
    <w:p w14:paraId="0A09CAF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LegalMoves(board, side)</w:t>
      </w:r>
    </w:p>
    <w:p w14:paraId="2933B77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king &lt;- LocateKing(board, side)</w:t>
      </w:r>
    </w:p>
    <w:p w14:paraId="22BBCAAE">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answer &lt;- EMPTY</w:t>
      </w:r>
    </w:p>
    <w:p w14:paraId="08AEC78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FOR EACH own piece AT source DO</w:t>
      </w:r>
    </w:p>
    <w:p w14:paraId="322AA8D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FOR EACH target IN Candidates(board, source) DO</w:t>
      </w:r>
    </w:p>
    <w:p w14:paraId="406FF9A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captured &lt;- board[target]</w:t>
      </w:r>
    </w:p>
    <w:p w14:paraId="6C881B2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OwnPiece(captured, side) OR IsKing(captured) THEN CONTINUE</w:t>
      </w:r>
    </w:p>
    <w:p w14:paraId="369CA6C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MoveTemporarily(board, source, target)</w:t>
      </w:r>
    </w:p>
    <w:p w14:paraId="3BDC8D5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kingAfter &lt;- target IF MovingKing ELSE king</w:t>
      </w:r>
    </w:p>
    <w:p w14:paraId="0E7FF868">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NOT IsAttacked(board, kingAfter, Opponent(side)) THEN</w:t>
      </w:r>
    </w:p>
    <w:p w14:paraId="4F80BC1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Append(answer, (source, target))</w:t>
      </w:r>
    </w:p>
    <w:p w14:paraId="1EADD3B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25BE626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Restore(board, source, target, captured)</w:t>
      </w:r>
    </w:p>
    <w:p w14:paraId="33BC50D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FOR</w:t>
      </w:r>
    </w:p>
    <w:p w14:paraId="0D49877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FOR</w:t>
      </w:r>
    </w:p>
    <w:p w14:paraId="2D43FAC8">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 answer</w:t>
      </w:r>
    </w:p>
    <w:p w14:paraId="3BC6635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74A49D5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车炮候选可使用射线扫描，马相候选检查腿眼占位，将帅和士仕候选限制九宫。目标为敌将时排除普通可执行吃子，但攻击检测仍能识别将军。保存与恢复起终点占位是循环不变量，任何分支都不能漏掉恢复步骤。</w:t>
      </w:r>
    </w:p>
    <w:p w14:paraId="058901D9">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4.1.1 终局裁决伪代码</w:t>
      </w:r>
    </w:p>
    <w:p w14:paraId="59581C5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Result(position)</w:t>
      </w:r>
    </w:p>
    <w:p w14:paraId="6481EDE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moves &lt;- LegalMoves(position.board, position.side)</w:t>
      </w:r>
    </w:p>
    <w:p w14:paraId="26BE7E3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moves IS EMPTY THEN</w:t>
      </w:r>
    </w:p>
    <w:p w14:paraId="7960E3A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reason &lt;- CHECKMATE IF InCheck(position) ELSE STALEMATE</w:t>
      </w:r>
    </w:p>
    <w:p w14:paraId="0983D99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 Win(Opponent(position.side), reason)</w:t>
      </w:r>
    </w:p>
    <w:p w14:paraId="0CCA5CF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2C96A09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Occurrences(CurrentKey(position)) &gt;= 3 THEN RETURN Draw(THREEFOLD)</w:t>
      </w:r>
    </w:p>
    <w:p w14:paraId="3E8F0D9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position.noCapture &gt;= 120 THEN RETURN Draw(NO_CAPTURE_LIMIT)</w:t>
      </w:r>
    </w:p>
    <w:p w14:paraId="6051BC9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 NONE</w:t>
      </w:r>
    </w:p>
    <w:p w14:paraId="7DE287F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17066FA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没有合法走法时先返回胜负，因此重复与无吃子条件不会覆盖已经形成的将死或困毙。该顺序同时用于搜索终局估分，避免对局服务和AI对同一节点给出不同胜负含义。</w:t>
      </w:r>
    </w:p>
    <w:p w14:paraId="35BAE73B">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4.2 搜索递归与叶节点伪代码</w:t>
      </w:r>
    </w:p>
    <w:p w14:paraId="30AF44A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Negamax把红黑策略统一为对当前方最有利的评分。窗口在进入子节点时交换并取负，返回评分再次取负。下面保留核心逻辑，置换表和PVS属于在这一递推上的优化。</w:t>
      </w:r>
    </w:p>
    <w:p w14:paraId="79E5DA2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Negamax(position, depth, alpha, beta, ply)</w:t>
      </w:r>
    </w:p>
    <w:p w14:paraId="7E71FE1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CheckDeadline()</w:t>
      </w:r>
    </w:p>
    <w:p w14:paraId="3D86AF0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moves &lt;- LegalMoves(position)</w:t>
      </w:r>
    </w:p>
    <w:p w14:paraId="6B61B90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Terminal(position, moves) THEN RETURN TerminalScore(position, ply)</w:t>
      </w:r>
    </w:p>
    <w:p w14:paraId="2C97710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depth &lt;= 0 THEN RETURN Quiescence(position, alpha, beta, ply)</w:t>
      </w:r>
    </w:p>
    <w:p w14:paraId="685A164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best &lt;- NEGATIVE_INFINITY</w:t>
      </w:r>
    </w:p>
    <w:p w14:paraId="439DD25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FOR EACH move IN Ordered(moves) DO</w:t>
      </w:r>
    </w:p>
    <w:p w14:paraId="272E7BC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child &lt;- Play(position, move)</w:t>
      </w:r>
    </w:p>
    <w:p w14:paraId="3D6D9AE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score &lt;- -Negamax(child, depth - 1, -beta, -alpha, ply + 1)</w:t>
      </w:r>
    </w:p>
    <w:p w14:paraId="24F70846">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best &lt;- Max(best, score)</w:t>
      </w:r>
    </w:p>
    <w:p w14:paraId="2D6FF1E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alpha &lt;- Max(alpha, score)</w:t>
      </w:r>
    </w:p>
    <w:p w14:paraId="67F9F7A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alpha &gt;= beta THEN BREAK</w:t>
      </w:r>
    </w:p>
    <w:p w14:paraId="1D07EBE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FOR</w:t>
      </w:r>
    </w:p>
    <w:p w14:paraId="25AD918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 best</w:t>
      </w:r>
    </w:p>
    <w:p w14:paraId="1A09458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40BF7223">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4.2.1 静态搜索的应将处理</w:t>
      </w:r>
    </w:p>
    <w:p w14:paraId="46CEB09E">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Quiescence(position, alpha, beta, ply)</w:t>
      </w:r>
    </w:p>
    <w:p w14:paraId="23BB652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CheckDeadlineAndSafetyBound(ply)</w:t>
      </w:r>
    </w:p>
    <w:p w14:paraId="576AEF1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InCheck(position) THEN</w:t>
      </w:r>
    </w:p>
    <w:p w14:paraId="7F0BF7A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moves &lt;- AllLegalEvasions(position)</w:t>
      </w:r>
    </w:p>
    <w:p w14:paraId="34ACD40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best &lt;- NEGATIVE_INFINITY</w:t>
      </w:r>
    </w:p>
    <w:p w14:paraId="39938DB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ELSE</w:t>
      </w:r>
    </w:p>
    <w:p w14:paraId="653B8C0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moves &lt;- LegalCaptures(position)</w:t>
      </w:r>
    </w:p>
    <w:p w14:paraId="1BD4FA3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best &lt;- EvaluateForSide(position)</w:t>
      </w:r>
    </w:p>
    <w:p w14:paraId="2758553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78414E3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Result(position) EXISTS THEN RETURN TerminalScore(position, ply)</w:t>
      </w:r>
    </w:p>
    <w:p w14:paraId="011FE2C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SearchSelectedMovesAndUpdateWindow(moves, best, alpha, beta)</w:t>
      </w:r>
    </w:p>
    <w:p w14:paraId="374D48B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 best</w:t>
      </w:r>
    </w:p>
    <w:p w14:paraId="7D3D946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68C0F84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静态搜索不能只看是否有吃子。当前方无合法着法时可能已经困毙，需要存在性查询；被将军而剩余吃子深度为0时，也仍需搜索应将或中止整轮。将这些情况显式处理，能阻止叶节点用静态分逃避规则。</w:t>
      </w:r>
    </w:p>
    <w:p w14:paraId="6DFFC7E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实际实现返回分数与主变。主变用于调试及结果解释，不保证后续对手一定照此行棋；调用方必须以当前真实局面发起下一次计算。</w:t>
      </w:r>
    </w:p>
    <w:p w14:paraId="0FFECC0E">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4.3 迭代提交与原生生命周期伪代码</w:t>
      </w:r>
    </w:p>
    <w:p w14:paraId="729731A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预算控制应区分“算到一半”和“完成一层”。发布结果只发生在一轮搜索及必要重搜全部结束以后。这样当窗口重搜被打断，客户端不会拿到一个被错误标注为已完成的深度。</w:t>
      </w:r>
    </w:p>
    <w:p w14:paraId="4BB8E816">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IterativeSearch(position, options)</w:t>
      </w:r>
    </w:p>
    <w:p w14:paraId="2547127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Result(position) EXISTS THEN RETURN TerminalResult(position)</w:t>
      </w:r>
    </w:p>
    <w:p w14:paraId="7B05DA4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best &lt;- DeterministicLegalFallback(position)</w:t>
      </w:r>
    </w:p>
    <w:p w14:paraId="5C47815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completedDepth &lt;- 0</w:t>
      </w:r>
    </w:p>
    <w:p w14:paraId="41BEF2E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FOR depth FROM 1 TO options.maxDepth DO</w:t>
      </w:r>
    </w:p>
    <w:p w14:paraId="0EAADCB8">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TRY</w:t>
      </w:r>
    </w:p>
    <w:p w14:paraId="3F909A9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window &lt;- WindowAroundPreviousScore(depth)</w:t>
      </w:r>
    </w:p>
    <w:p w14:paraId="4CCC0E3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candidate &lt;- SearchWithWindow(position, depth, window)</w:t>
      </w:r>
    </w:p>
    <w:p w14:paraId="595BA58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WindowFailed(candidate, window) THEN</w:t>
      </w:r>
    </w:p>
    <w:p w14:paraId="7238225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candidate &lt;- SearchWithFullWindow(position, depth)</w:t>
      </w:r>
    </w:p>
    <w:p w14:paraId="055DFDE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1412BE4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CATCH BudgetExpired</w:t>
      </w:r>
    </w:p>
    <w:p w14:paraId="58561B7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BREAK</w:t>
      </w:r>
    </w:p>
    <w:p w14:paraId="39A8C42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TRY</w:t>
      </w:r>
    </w:p>
    <w:p w14:paraId="18FD0AF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best &lt;- candidate</w:t>
      </w:r>
    </w:p>
    <w:p w14:paraId="78F1B21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completedDepth &lt;- depth</w:t>
      </w:r>
    </w:p>
    <w:p w14:paraId="10E3B33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FOR</w:t>
      </w:r>
    </w:p>
    <w:p w14:paraId="1FBACC36">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 best WITH completedDepth</w:t>
      </w:r>
    </w:p>
    <w:p w14:paraId="65B7A70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695C329A">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4.3.1 UCI进程的阶段控制</w:t>
      </w:r>
    </w:p>
    <w:p w14:paraId="1207BCF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NativeSearch(position, options)</w:t>
      </w:r>
    </w:p>
    <w:p w14:paraId="080D0F8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process &lt;- NONE</w:t>
      </w:r>
    </w:p>
    <w:p w14:paraId="5AEF953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TRY</w:t>
      </w:r>
    </w:p>
    <w:p w14:paraId="7B69FF6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WITH StartupDeadline(5 seconds) DO</w:t>
      </w:r>
    </w:p>
    <w:p w14:paraId="3758AF4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ValidateAndRebuildHistory(position)</w:t>
      </w:r>
    </w:p>
    <w:p w14:paraId="1A3AAB6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process &lt;- StartOwnedEngine()</w:t>
      </w:r>
    </w:p>
    <w:p w14:paraId="0800C71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HandshakeAndWaitReady(process)</w:t>
      </w:r>
    </w:p>
    <w:p w14:paraId="087FF6A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SendPositionAndHistory(process, position)</w:t>
      </w:r>
    </w:p>
    <w:p w14:paraId="557F666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WITH</w:t>
      </w:r>
    </w:p>
    <w:p w14:paraId="334502A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WITH SearchDeadline(options.time + validationAllowance) DO</w:t>
      </w:r>
    </w:p>
    <w:p w14:paraId="50906BEE">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result &lt;- RequestAndReadBestMove(process, options)</w:t>
      </w:r>
    </w:p>
    <w:p w14:paraId="2F650FE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ValidateMoveAndPrincipalVariation(position, result)</w:t>
      </w:r>
    </w:p>
    <w:p w14:paraId="481AE13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 result WITH EngineIdentityAndTiming()</w:t>
      </w:r>
    </w:p>
    <w:p w14:paraId="1CB2819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WITH</w:t>
      </w:r>
    </w:p>
    <w:p w14:paraId="323F539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FINALLY</w:t>
      </w:r>
    </w:p>
    <w:p w14:paraId="63BB8A0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TerminateIfRunningAndWait(process)</w:t>
      </w:r>
    </w:p>
    <w:p w14:paraId="1841F9CE">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TRY</w:t>
      </w:r>
    </w:p>
    <w:p w14:paraId="4B3EF8A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1788D37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finally路径既覆盖正常返回，也覆盖超时与取消。初始化耗时和搜索耗时分别记录，进程创建期间的取消也要等待取得子进程句柄后清理，避免留下无人管理的原生进程。</w:t>
      </w:r>
    </w:p>
    <w:p w14:paraId="12B87DE1">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五、软件测试及其结果分析</w:t>
      </w:r>
    </w:p>
    <w:p w14:paraId="12CC2BD0">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5.1 规则的定值输入与结果</w:t>
      </w:r>
    </w:p>
    <w:p w14:paraId="10EADE2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规则测试优先使用能独立说明预期的手工局面。除标准初始局面外，下面局面只列非空索引，其余均为0；1和-1分别为红帅、黑将。这些合成位置用于检验规则分支，并非比赛棋谱或任意局面编辑功能。</w:t>
      </w:r>
    </w:p>
    <w:tbl>
      <w:tblPr>
        <w:tblStyle w:val="11"/>
        <w:tblW w:w="0" w:type="auto"/>
        <w:tblInd w:w="0" w:type="dxa"/>
        <w:tblLayout w:type="fixed"/>
        <w:tblCellMar>
          <w:top w:w="0" w:type="dxa"/>
          <w:left w:w="108" w:type="dxa"/>
          <w:bottom w:w="0" w:type="dxa"/>
          <w:right w:w="108" w:type="dxa"/>
        </w:tblCellMar>
      </w:tblPr>
      <w:tblGrid>
        <w:gridCol w:w="4752"/>
        <w:gridCol w:w="3888"/>
      </w:tblGrid>
      <w:tr w14:paraId="66063D5D">
        <w:tblPrEx>
          <w:tblCellMar>
            <w:top w:w="0" w:type="dxa"/>
            <w:left w:w="108" w:type="dxa"/>
            <w:bottom w:w="0" w:type="dxa"/>
            <w:right w:w="108" w:type="dxa"/>
          </w:tblCellMar>
        </w:tblPrEx>
        <w:trPr>
          <w:cantSplit/>
          <w:tblHeader/>
        </w:trPr>
        <w:tc>
          <w:tcPr>
            <w:tcW w:w="475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7EFC4F7">
            <w:pPr>
              <w:spacing w:before="0" w:after="0" w:line="276" w:lineRule="auto"/>
              <w:ind w:firstLine="0"/>
              <w:jc w:val="left"/>
            </w:pPr>
            <w:r>
              <w:rPr>
                <w:rFonts w:ascii="Times New Roman" w:hAnsi="Times New Roman" w:eastAsia="宋体"/>
                <w:b/>
                <w:color w:val="000000"/>
                <w:sz w:val="21"/>
              </w:rPr>
              <w:t>输入</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5126F58">
            <w:pPr>
              <w:spacing w:before="0" w:after="0" w:line="276" w:lineRule="auto"/>
              <w:ind w:firstLine="0"/>
              <w:jc w:val="left"/>
            </w:pPr>
            <w:r>
              <w:rPr>
                <w:rFonts w:ascii="Times New Roman" w:hAnsi="Times New Roman" w:eastAsia="宋体"/>
                <w:b/>
                <w:color w:val="000000"/>
                <w:sz w:val="21"/>
              </w:rPr>
              <w:t>预期及已通过断言</w:t>
            </w:r>
          </w:p>
        </w:tc>
      </w:tr>
      <w:tr w14:paraId="4C7C0D6D">
        <w:tblPrEx>
          <w:tblCellMar>
            <w:top w:w="0" w:type="dxa"/>
            <w:left w:w="108" w:type="dxa"/>
            <w:bottom w:w="0" w:type="dxa"/>
            <w:right w:w="108" w:type="dxa"/>
          </w:tblCellMar>
        </w:tblPrEx>
        <w:trPr>
          <w:cantSplit/>
        </w:trPr>
        <w:tc>
          <w:tcPr>
            <w:tcW w:w="475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B1EFD0E">
            <w:pPr>
              <w:spacing w:before="0" w:after="0" w:line="276" w:lineRule="auto"/>
              <w:ind w:firstLine="0"/>
              <w:jc w:val="left"/>
            </w:pPr>
            <w:r>
              <w:rPr>
                <w:rFonts w:ascii="Times New Roman" w:hAnsi="Times New Roman" w:eastAsia="宋体"/>
                <w:b w:val="0"/>
                <w:color w:val="000000"/>
                <w:sz w:val="21"/>
              </w:rPr>
              <w:t>标准初始局面、红方行棋</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C90F60D">
            <w:pPr>
              <w:spacing w:before="0" w:after="0" w:line="276" w:lineRule="auto"/>
              <w:ind w:firstLine="0"/>
              <w:jc w:val="left"/>
            </w:pPr>
            <w:r>
              <w:rPr>
                <w:rFonts w:ascii="Times New Roman" w:hAnsi="Times New Roman" w:eastAsia="宋体"/>
                <w:b w:val="0"/>
                <w:color w:val="000000"/>
                <w:sz w:val="21"/>
              </w:rPr>
              <w:t>32枚棋子；44个合法着法；红方未将军</w:t>
            </w:r>
          </w:p>
        </w:tc>
      </w:tr>
      <w:tr w14:paraId="02DB18DD">
        <w:tblPrEx>
          <w:tblCellMar>
            <w:top w:w="0" w:type="dxa"/>
            <w:left w:w="108" w:type="dxa"/>
            <w:bottom w:w="0" w:type="dxa"/>
            <w:right w:w="108" w:type="dxa"/>
          </w:tblCellMar>
        </w:tblPrEx>
        <w:trPr>
          <w:cantSplit/>
        </w:trPr>
        <w:tc>
          <w:tcPr>
            <w:tcW w:w="475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66683EE">
            <w:pPr>
              <w:spacing w:before="0" w:after="0" w:line="276" w:lineRule="auto"/>
              <w:ind w:firstLine="0"/>
              <w:jc w:val="left"/>
            </w:pPr>
            <w:r>
              <w:rPr>
                <w:rFonts w:ascii="Times New Roman" w:hAnsi="Times New Roman" w:eastAsia="宋体"/>
                <w:b w:val="0"/>
                <w:color w:val="000000"/>
                <w:sz w:val="21"/>
              </w:rPr>
              <w:t>{85:1,4:-1,49:5}，红方</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7DDD1FD">
            <w:pPr>
              <w:spacing w:before="0" w:after="0" w:line="276" w:lineRule="auto"/>
              <w:ind w:firstLine="0"/>
              <w:jc w:val="left"/>
            </w:pPr>
            <w:r>
              <w:rPr>
                <w:rFonts w:ascii="Times New Roman" w:hAnsi="Times New Roman" w:eastAsia="宋体"/>
                <w:b w:val="0"/>
                <w:color w:val="000000"/>
                <w:sz w:val="21"/>
              </w:rPr>
              <w:t>49→48被排除，防止移车后将帅照面</w:t>
            </w:r>
          </w:p>
        </w:tc>
      </w:tr>
      <w:tr w14:paraId="1769B8EA">
        <w:tblPrEx>
          <w:tblCellMar>
            <w:top w:w="0" w:type="dxa"/>
            <w:left w:w="108" w:type="dxa"/>
            <w:bottom w:w="0" w:type="dxa"/>
            <w:right w:w="108" w:type="dxa"/>
          </w:tblCellMar>
        </w:tblPrEx>
        <w:trPr>
          <w:cantSplit/>
        </w:trPr>
        <w:tc>
          <w:tcPr>
            <w:tcW w:w="475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F8E570E">
            <w:pPr>
              <w:spacing w:before="0" w:after="0" w:line="276" w:lineRule="auto"/>
              <w:ind w:firstLine="0"/>
              <w:jc w:val="left"/>
            </w:pPr>
            <w:r>
              <w:rPr>
                <w:rFonts w:ascii="Times New Roman" w:hAnsi="Times New Roman" w:eastAsia="宋体"/>
                <w:b w:val="0"/>
                <w:color w:val="000000"/>
                <w:sz w:val="21"/>
              </w:rPr>
              <w:t>{85:1,4:-1,49:-5,76:5}，红方</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0A12EDE">
            <w:pPr>
              <w:spacing w:before="0" w:after="0" w:line="276" w:lineRule="auto"/>
              <w:ind w:firstLine="0"/>
              <w:jc w:val="left"/>
            </w:pPr>
            <w:r>
              <w:rPr>
                <w:rFonts w:ascii="Times New Roman" w:hAnsi="Times New Roman" w:eastAsia="宋体"/>
                <w:b w:val="0"/>
                <w:color w:val="000000"/>
                <w:sz w:val="21"/>
              </w:rPr>
              <w:t>76→75不合法；76→49解除将军合法</w:t>
            </w:r>
          </w:p>
        </w:tc>
      </w:tr>
      <w:tr w14:paraId="63B4F325">
        <w:tblPrEx>
          <w:tblCellMar>
            <w:top w:w="0" w:type="dxa"/>
            <w:left w:w="108" w:type="dxa"/>
            <w:bottom w:w="0" w:type="dxa"/>
            <w:right w:w="108" w:type="dxa"/>
          </w:tblCellMar>
        </w:tblPrEx>
        <w:trPr>
          <w:cantSplit/>
        </w:trPr>
        <w:tc>
          <w:tcPr>
            <w:tcW w:w="475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D6F525C">
            <w:pPr>
              <w:spacing w:before="0" w:after="0" w:line="276" w:lineRule="auto"/>
              <w:ind w:firstLine="0"/>
              <w:jc w:val="left"/>
            </w:pPr>
            <w:r>
              <w:rPr>
                <w:rFonts w:ascii="Times New Roman" w:hAnsi="Times New Roman" w:eastAsia="宋体"/>
                <w:b w:val="0"/>
                <w:color w:val="000000"/>
                <w:sz w:val="21"/>
              </w:rPr>
              <w:t>{85:1,4:-1,49:7,83:3,75:7,84:2}</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A5F8429">
            <w:pPr>
              <w:spacing w:before="0" w:after="0" w:line="276" w:lineRule="auto"/>
              <w:ind w:firstLine="0"/>
              <w:jc w:val="left"/>
            </w:pPr>
            <w:r>
              <w:rPr>
                <w:rFonts w:ascii="Times New Roman" w:hAnsi="Times New Roman" w:eastAsia="宋体"/>
                <w:b w:val="0"/>
                <w:color w:val="000000"/>
                <w:sz w:val="21"/>
              </w:rPr>
              <w:t>相83不能到67；可到63；士84只到76</w:t>
            </w:r>
          </w:p>
        </w:tc>
      </w:tr>
      <w:tr w14:paraId="0AD7F376">
        <w:tblPrEx>
          <w:tblCellMar>
            <w:top w:w="0" w:type="dxa"/>
            <w:left w:w="108" w:type="dxa"/>
            <w:bottom w:w="0" w:type="dxa"/>
            <w:right w:w="108" w:type="dxa"/>
          </w:tblCellMar>
        </w:tblPrEx>
        <w:trPr>
          <w:cantSplit/>
        </w:trPr>
        <w:tc>
          <w:tcPr>
            <w:tcW w:w="475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B1514E5">
            <w:pPr>
              <w:spacing w:before="0" w:after="0" w:line="276" w:lineRule="auto"/>
              <w:ind w:firstLine="0"/>
              <w:jc w:val="left"/>
            </w:pPr>
            <w:r>
              <w:rPr>
                <w:rFonts w:ascii="Times New Roman" w:hAnsi="Times New Roman" w:eastAsia="宋体"/>
                <w:b w:val="0"/>
                <w:color w:val="000000"/>
                <w:sz w:val="21"/>
              </w:rPr>
              <w:t>{4:-1,85:1,49:7,13:5,12:5,14:5}，黑方</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380DF5A">
            <w:pPr>
              <w:spacing w:before="0" w:after="0" w:line="276" w:lineRule="auto"/>
              <w:ind w:firstLine="0"/>
              <w:jc w:val="left"/>
            </w:pPr>
            <w:r>
              <w:rPr>
                <w:rFonts w:ascii="Times New Roman" w:hAnsi="Times New Roman" w:eastAsia="宋体"/>
                <w:b w:val="0"/>
                <w:color w:val="000000"/>
                <w:sz w:val="21"/>
              </w:rPr>
              <w:t>无应将；红方胜，原因为checkmate</w:t>
            </w:r>
          </w:p>
        </w:tc>
      </w:tr>
      <w:tr w14:paraId="765ED260">
        <w:tblPrEx>
          <w:tblCellMar>
            <w:top w:w="0" w:type="dxa"/>
            <w:left w:w="108" w:type="dxa"/>
            <w:bottom w:w="0" w:type="dxa"/>
            <w:right w:w="108" w:type="dxa"/>
          </w:tblCellMar>
        </w:tblPrEx>
        <w:trPr>
          <w:cantSplit/>
        </w:trPr>
        <w:tc>
          <w:tcPr>
            <w:tcW w:w="475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E7F336F">
            <w:pPr>
              <w:spacing w:before="0" w:after="0" w:line="276" w:lineRule="auto"/>
              <w:ind w:firstLine="0"/>
              <w:jc w:val="left"/>
            </w:pPr>
            <w:r>
              <w:rPr>
                <w:rFonts w:ascii="Times New Roman" w:hAnsi="Times New Roman" w:eastAsia="宋体"/>
                <w:b w:val="0"/>
                <w:color w:val="000000"/>
                <w:sz w:val="21"/>
              </w:rPr>
              <w:t>{4:-1,85:1,49:7,21:5,23:5,9:5}，黑方</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6C3180C">
            <w:pPr>
              <w:spacing w:before="0" w:after="0" w:line="276" w:lineRule="auto"/>
              <w:ind w:firstLine="0"/>
              <w:jc w:val="left"/>
            </w:pPr>
            <w:r>
              <w:rPr>
                <w:rFonts w:ascii="Times New Roman" w:hAnsi="Times New Roman" w:eastAsia="宋体"/>
                <w:b w:val="0"/>
                <w:color w:val="000000"/>
                <w:sz w:val="21"/>
              </w:rPr>
              <w:t>黑方未被将军但无合法着法；红胜stalemate</w:t>
            </w:r>
          </w:p>
        </w:tc>
      </w:tr>
    </w:tbl>
    <w:p w14:paraId="0F91D9EC">
      <w:pPr>
        <w:pageBreakBefore w:val="0"/>
        <w:widowControl/>
        <w:snapToGrid w:val="0"/>
        <w:spacing w:before="0" w:after="0" w:line="72" w:lineRule="auto"/>
        <w:ind w:left="0" w:right="0" w:firstLine="0"/>
        <w:jc w:val="center"/>
      </w:pPr>
    </w:p>
    <w:p w14:paraId="786E79A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马腿测试检查58号红马在49号有兵时不能到39，而能到75；攻击检测另用66号黑马与75号阻挡子核对红帅是否被攻击。兵卒测试核对初始红兵54只到45，过河红兵36可到27或37，黑卒53可到62或52。</w:t>
      </w:r>
    </w:p>
    <w:p w14:paraId="36E96DF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终局优先级测试把已将死局面的无吃子计数设为120，仍应输出checkmate。这能直接检出“先检查和棋再检查无合法走法”的错误。不可变性测试检查产生后继后，原初始Position仍与新建初始局面相同。</w:t>
      </w:r>
    </w:p>
    <w:p w14:paraId="55F5225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这些断言验证具体规则，不依赖AI是否选择某个策略。它们适合作为后续优化的基线；性能变化只有在保持这些语义后才有讨论价值。</w:t>
      </w:r>
    </w:p>
    <w:p w14:paraId="43AEBDBA">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5.2 搜索、对称性与协议验证</w:t>
      </w:r>
    </w:p>
    <w:tbl>
      <w:tblPr>
        <w:tblStyle w:val="11"/>
        <w:tblW w:w="0" w:type="auto"/>
        <w:tblInd w:w="0" w:type="dxa"/>
        <w:tblLayout w:type="fixed"/>
        <w:tblCellMar>
          <w:top w:w="0" w:type="dxa"/>
          <w:left w:w="108" w:type="dxa"/>
          <w:bottom w:w="0" w:type="dxa"/>
          <w:right w:w="108" w:type="dxa"/>
        </w:tblCellMar>
      </w:tblPr>
      <w:tblGrid>
        <w:gridCol w:w="1512"/>
        <w:gridCol w:w="3888"/>
        <w:gridCol w:w="3240"/>
      </w:tblGrid>
      <w:tr w14:paraId="39427587">
        <w:tblPrEx>
          <w:tblCellMar>
            <w:top w:w="0" w:type="dxa"/>
            <w:left w:w="108" w:type="dxa"/>
            <w:bottom w:w="0" w:type="dxa"/>
            <w:right w:w="108" w:type="dxa"/>
          </w:tblCellMar>
        </w:tblPrEx>
        <w:trPr>
          <w:cantSplit/>
          <w:tblHeader/>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621EEB0">
            <w:pPr>
              <w:spacing w:before="0" w:after="0" w:line="276" w:lineRule="auto"/>
              <w:ind w:firstLine="0"/>
              <w:jc w:val="left"/>
            </w:pPr>
            <w:r>
              <w:rPr>
                <w:rFonts w:ascii="Times New Roman" w:hAnsi="Times New Roman" w:eastAsia="宋体"/>
                <w:b/>
                <w:color w:val="000000"/>
                <w:sz w:val="21"/>
              </w:rPr>
              <w:t>检验对象</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F901EE5">
            <w:pPr>
              <w:spacing w:before="0" w:after="0" w:line="276" w:lineRule="auto"/>
              <w:ind w:firstLine="0"/>
              <w:jc w:val="left"/>
            </w:pPr>
            <w:r>
              <w:rPr>
                <w:rFonts w:ascii="Times New Roman" w:hAnsi="Times New Roman" w:eastAsia="宋体"/>
                <w:b/>
                <w:color w:val="000000"/>
                <w:sz w:val="21"/>
              </w:rPr>
              <w:t>输入或方法</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F4471F3">
            <w:pPr>
              <w:spacing w:before="0" w:after="0" w:line="276" w:lineRule="auto"/>
              <w:ind w:firstLine="0"/>
              <w:jc w:val="left"/>
            </w:pPr>
            <w:r>
              <w:rPr>
                <w:rFonts w:ascii="Times New Roman" w:hAnsi="Times New Roman" w:eastAsia="宋体"/>
                <w:b/>
                <w:color w:val="000000"/>
                <w:sz w:val="21"/>
              </w:rPr>
              <w:t>已通过结果</w:t>
            </w:r>
          </w:p>
        </w:tc>
      </w:tr>
      <w:tr w14:paraId="057236D6">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94E063D">
            <w:pPr>
              <w:spacing w:before="0" w:after="0" w:line="276" w:lineRule="auto"/>
              <w:ind w:firstLine="0"/>
              <w:jc w:val="left"/>
            </w:pPr>
            <w:r>
              <w:rPr>
                <w:rFonts w:ascii="Times New Roman" w:hAnsi="Times New Roman" w:eastAsia="宋体"/>
                <w:b w:val="0"/>
                <w:color w:val="000000"/>
                <w:sz w:val="21"/>
              </w:rPr>
              <w:t>一步将死</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07D0085">
            <w:pPr>
              <w:spacing w:before="0" w:after="0" w:line="276" w:lineRule="auto"/>
              <w:ind w:firstLine="0"/>
              <w:jc w:val="left"/>
            </w:pPr>
            <w:r>
              <w:rPr>
                <w:rFonts w:ascii="Times New Roman" w:hAnsi="Times New Roman" w:eastAsia="宋体"/>
                <w:b w:val="0"/>
                <w:color w:val="000000"/>
                <w:sz w:val="21"/>
              </w:rPr>
              <w:t>4:-1、85:1、49:7、3:-5、5:-5、18:5</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B7884A2">
            <w:pPr>
              <w:spacing w:before="0" w:after="0" w:line="276" w:lineRule="auto"/>
              <w:ind w:firstLine="0"/>
              <w:jc w:val="left"/>
            </w:pPr>
            <w:r>
              <w:rPr>
                <w:rFonts w:ascii="Times New Roman" w:hAnsi="Times New Roman" w:eastAsia="宋体"/>
                <w:b w:val="0"/>
                <w:color w:val="000000"/>
                <w:sz w:val="21"/>
              </w:rPr>
              <w:t>返回18→22，后继红方将死获胜</w:t>
            </w:r>
          </w:p>
        </w:tc>
      </w:tr>
      <w:tr w14:paraId="0A95C525">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D64D249">
            <w:pPr>
              <w:spacing w:before="0" w:after="0" w:line="276" w:lineRule="auto"/>
              <w:ind w:firstLine="0"/>
              <w:jc w:val="left"/>
            </w:pPr>
            <w:r>
              <w:rPr>
                <w:rFonts w:ascii="Times New Roman" w:hAnsi="Times New Roman" w:eastAsia="宋体"/>
                <w:b w:val="0"/>
                <w:color w:val="000000"/>
                <w:sz w:val="21"/>
              </w:rPr>
              <w:t>吃子陷阱</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0FC9C5C">
            <w:pPr>
              <w:spacing w:before="0" w:after="0" w:line="276" w:lineRule="auto"/>
              <w:ind w:firstLine="0"/>
              <w:jc w:val="left"/>
            </w:pPr>
            <w:r>
              <w:rPr>
                <w:rFonts w:ascii="Times New Roman" w:hAnsi="Times New Roman" w:eastAsia="宋体"/>
                <w:b w:val="0"/>
                <w:color w:val="000000"/>
                <w:sz w:val="21"/>
              </w:rPr>
              <w:t>4:-1、85:1、49:7、27:5、18:-7、9:-5</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4CBB538">
            <w:pPr>
              <w:spacing w:before="0" w:after="0" w:line="276" w:lineRule="auto"/>
              <w:ind w:firstLine="0"/>
              <w:jc w:val="left"/>
            </w:pPr>
            <w:r>
              <w:rPr>
                <w:rFonts w:ascii="Times New Roman" w:hAnsi="Times New Roman" w:eastAsia="宋体"/>
                <w:b w:val="0"/>
                <w:color w:val="000000"/>
                <w:sz w:val="21"/>
              </w:rPr>
              <w:t>深度1避免27→18后被车吃回</w:t>
            </w:r>
          </w:p>
        </w:tc>
      </w:tr>
      <w:tr w14:paraId="008A7685">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9FDCC63">
            <w:pPr>
              <w:spacing w:before="0" w:after="0" w:line="276" w:lineRule="auto"/>
              <w:ind w:firstLine="0"/>
              <w:jc w:val="left"/>
            </w:pPr>
            <w:r>
              <w:rPr>
                <w:rFonts w:ascii="Times New Roman" w:hAnsi="Times New Roman" w:eastAsia="宋体"/>
                <w:b w:val="0"/>
                <w:color w:val="000000"/>
                <w:sz w:val="21"/>
              </w:rPr>
              <w:t>完整应将</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2A21132">
            <w:pPr>
              <w:spacing w:before="0" w:after="0" w:line="276" w:lineRule="auto"/>
              <w:ind w:firstLine="0"/>
              <w:jc w:val="left"/>
            </w:pPr>
            <w:r>
              <w:rPr>
                <w:rFonts w:ascii="Times New Roman" w:hAnsi="Times New Roman" w:eastAsia="宋体"/>
                <w:b w:val="0"/>
                <w:color w:val="000000"/>
                <w:sz w:val="21"/>
              </w:rPr>
              <w:t>红帅受76号黑车攻击的叶节点</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9123CF4">
            <w:pPr>
              <w:spacing w:before="0" w:after="0" w:line="276" w:lineRule="auto"/>
              <w:ind w:firstLine="0"/>
              <w:jc w:val="left"/>
            </w:pPr>
            <w:r>
              <w:rPr>
                <w:rFonts w:ascii="Times New Roman" w:hAnsi="Times New Roman" w:eastAsia="宋体"/>
                <w:b w:val="0"/>
                <w:color w:val="000000"/>
                <w:sz w:val="21"/>
              </w:rPr>
              <w:t>静态搜索给出合法应将，不能停着</w:t>
            </w:r>
          </w:p>
        </w:tc>
      </w:tr>
      <w:tr w14:paraId="06EE4E17">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CAC0040">
            <w:pPr>
              <w:spacing w:before="0" w:after="0" w:line="276" w:lineRule="auto"/>
              <w:ind w:firstLine="0"/>
              <w:jc w:val="left"/>
            </w:pPr>
            <w:r>
              <w:rPr>
                <w:rFonts w:ascii="Times New Roman" w:hAnsi="Times New Roman" w:eastAsia="宋体"/>
                <w:b w:val="0"/>
                <w:color w:val="000000"/>
                <w:sz w:val="21"/>
              </w:rPr>
              <w:t>历史隔离</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864C38E">
            <w:pPr>
              <w:spacing w:before="0" w:after="0" w:line="276" w:lineRule="auto"/>
              <w:ind w:firstLine="0"/>
              <w:jc w:val="left"/>
            </w:pPr>
            <w:r>
              <w:rPr>
                <w:rFonts w:ascii="Times New Roman" w:hAnsi="Times New Roman" w:eastAsia="宋体"/>
                <w:b w:val="0"/>
                <w:color w:val="000000"/>
                <w:sz w:val="21"/>
              </w:rPr>
              <w:t>同棋盘但重复3次或计数119</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DCEA3EE">
            <w:pPr>
              <w:spacing w:before="0" w:after="0" w:line="276" w:lineRule="auto"/>
              <w:ind w:firstLine="0"/>
              <w:jc w:val="left"/>
            </w:pPr>
            <w:r>
              <w:rPr>
                <w:rFonts w:ascii="Times New Roman" w:hAnsi="Times New Roman" w:eastAsia="宋体"/>
                <w:b w:val="0"/>
                <w:color w:val="000000"/>
                <w:sz w:val="21"/>
              </w:rPr>
              <w:t>置换表上下文不同，不混用和棋分</w:t>
            </w:r>
          </w:p>
        </w:tc>
      </w:tr>
      <w:tr w14:paraId="1F895A8A">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7FEFB05">
            <w:pPr>
              <w:spacing w:before="0" w:after="0" w:line="276" w:lineRule="auto"/>
              <w:ind w:firstLine="0"/>
              <w:jc w:val="left"/>
            </w:pPr>
            <w:r>
              <w:rPr>
                <w:rFonts w:ascii="Times New Roman" w:hAnsi="Times New Roman" w:eastAsia="宋体"/>
                <w:b w:val="0"/>
                <w:color w:val="000000"/>
                <w:sz w:val="21"/>
              </w:rPr>
              <w:t>颜色对称</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9E7D609">
            <w:pPr>
              <w:spacing w:before="0" w:after="0" w:line="276" w:lineRule="auto"/>
              <w:ind w:firstLine="0"/>
              <w:jc w:val="left"/>
            </w:pPr>
            <w:r>
              <w:rPr>
                <w:rFonts w:ascii="Times New Roman" w:hAnsi="Times New Roman" w:eastAsia="宋体"/>
                <w:b w:val="0"/>
                <w:color w:val="000000"/>
                <w:sz w:val="21"/>
              </w:rPr>
              <w:t>初始局面及120个合法局面镜像</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10E9C9D">
            <w:pPr>
              <w:spacing w:before="0" w:after="0" w:line="276" w:lineRule="auto"/>
              <w:ind w:firstLine="0"/>
              <w:jc w:val="left"/>
            </w:pPr>
            <w:r>
              <w:rPr>
                <w:rFonts w:ascii="Times New Roman" w:hAnsi="Times New Roman" w:eastAsia="宋体"/>
                <w:b w:val="0"/>
                <w:color w:val="000000"/>
                <w:sz w:val="21"/>
              </w:rPr>
              <w:t>初始评分0；镜像评分取相反数</w:t>
            </w:r>
          </w:p>
        </w:tc>
      </w:tr>
      <w:tr w14:paraId="077CDCAB">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537AE47">
            <w:pPr>
              <w:spacing w:before="0" w:after="0" w:line="276" w:lineRule="auto"/>
              <w:ind w:firstLine="0"/>
              <w:jc w:val="left"/>
            </w:pPr>
            <w:r>
              <w:rPr>
                <w:rFonts w:ascii="Times New Roman" w:hAnsi="Times New Roman" w:eastAsia="宋体"/>
                <w:b w:val="0"/>
                <w:color w:val="000000"/>
                <w:sz w:val="21"/>
              </w:rPr>
              <w:t>窗口中断</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9C340B7">
            <w:pPr>
              <w:spacing w:before="0" w:after="0" w:line="276" w:lineRule="auto"/>
              <w:ind w:firstLine="0"/>
              <w:jc w:val="left"/>
            </w:pPr>
            <w:r>
              <w:rPr>
                <w:rFonts w:ascii="Times New Roman" w:hAnsi="Times New Roman" w:eastAsia="宋体"/>
                <w:b w:val="0"/>
                <w:color w:val="000000"/>
                <w:sz w:val="21"/>
              </w:rPr>
              <w:t>第三层窗口失败后人为中断重搜</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5292962">
            <w:pPr>
              <w:spacing w:before="0" w:after="0" w:line="276" w:lineRule="auto"/>
              <w:ind w:firstLine="0"/>
              <w:jc w:val="left"/>
            </w:pPr>
            <w:r>
              <w:rPr>
                <w:rFonts w:ascii="Times New Roman" w:hAnsi="Times New Roman" w:eastAsia="宋体"/>
                <w:b w:val="0"/>
                <w:color w:val="000000"/>
                <w:sz w:val="21"/>
              </w:rPr>
              <w:t>completedDepth保留2，未冒充3</w:t>
            </w:r>
          </w:p>
        </w:tc>
      </w:tr>
      <w:tr w14:paraId="10A381CA">
        <w:tblPrEx>
          <w:tblCellMar>
            <w:top w:w="0" w:type="dxa"/>
            <w:left w:w="108" w:type="dxa"/>
            <w:bottom w:w="0" w:type="dxa"/>
            <w:right w:w="108" w:type="dxa"/>
          </w:tblCellMar>
        </w:tblPrEx>
        <w:trPr>
          <w:cantSplit/>
        </w:trPr>
        <w:tc>
          <w:tcPr>
            <w:tcW w:w="15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978F3D3">
            <w:pPr>
              <w:spacing w:before="0" w:after="0" w:line="276" w:lineRule="auto"/>
              <w:ind w:firstLine="0"/>
              <w:jc w:val="left"/>
            </w:pPr>
            <w:r>
              <w:rPr>
                <w:rFonts w:ascii="Times New Roman" w:hAnsi="Times New Roman" w:eastAsia="宋体"/>
                <w:b w:val="0"/>
                <w:color w:val="000000"/>
                <w:sz w:val="21"/>
              </w:rPr>
              <w:t>UCI往返</w:t>
            </w:r>
          </w:p>
        </w:tc>
        <w:tc>
          <w:tcPr>
            <w:tcW w:w="388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C78EFDF">
            <w:pPr>
              <w:spacing w:before="0" w:after="0" w:line="276" w:lineRule="auto"/>
              <w:ind w:firstLine="0"/>
              <w:jc w:val="left"/>
            </w:pPr>
            <w:r>
              <w:rPr>
                <w:rFonts w:ascii="Times New Roman" w:hAnsi="Times New Roman" w:eastAsia="宋体"/>
                <w:b w:val="0"/>
                <w:color w:val="000000"/>
                <w:sz w:val="21"/>
              </w:rPr>
              <w:t>90格中所有起终点不同的坐标对</w:t>
            </w:r>
          </w:p>
        </w:tc>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E9B802A">
            <w:pPr>
              <w:spacing w:before="0" w:after="0" w:line="276" w:lineRule="auto"/>
              <w:ind w:firstLine="0"/>
              <w:jc w:val="left"/>
            </w:pPr>
            <w:r>
              <w:rPr>
                <w:rFonts w:ascii="Times New Roman" w:hAnsi="Times New Roman" w:eastAsia="宋体"/>
                <w:b w:val="0"/>
                <w:color w:val="000000"/>
                <w:sz w:val="21"/>
              </w:rPr>
              <w:t>8010对转换一致，64→67为b2e2</w:t>
            </w:r>
          </w:p>
        </w:tc>
      </w:tr>
    </w:tbl>
    <w:p w14:paraId="6B493544">
      <w:pPr>
        <w:pageBreakBefore w:val="0"/>
        <w:widowControl/>
        <w:snapToGrid w:val="0"/>
        <w:spacing w:before="0" w:after="0" w:line="72" w:lineRule="auto"/>
        <w:ind w:left="0" w:right="0" w:firstLine="0"/>
        <w:jc w:val="center"/>
      </w:pPr>
    </w:p>
    <w:p w14:paraId="2B65161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固定战术集共有10个明确一步将死样例，程序逐一验证唯一解并搜索命中，但这些样例集中覆盖车的杀法，独立人工复核仍待完成。不能把10题全对扩大成已经掌握所有复杂战术。用户实际败局还选取若干历史节点，检查返回走法、主变合法性、预算和输入不变。</w:t>
      </w:r>
    </w:p>
    <w:p w14:paraId="42D4D01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2026年10月22日的完整回归记录为56项通过，用时238.272秒，其中自研和混合引擎真实WebSocket分别累计100个合法半回合。这次运行验证模块与接口协作，不构成40局棋力实验的重新评测。</w:t>
      </w:r>
    </w:p>
    <w:p w14:paraId="30E772F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系统测试由组长统筹；我在本报告解释规则和搜索断言的预期，以及初始化延迟、终局空结果和取消等接口约定。通过数量用于说明覆盖范围，不能直接证明教师实战胜率。</w:t>
      </w:r>
    </w:p>
    <w:p w14:paraId="3BEA584F">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5.3 冻结版本的棋力实验分析</w:t>
      </w:r>
    </w:p>
    <w:p w14:paraId="5AD3810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棋力实验使用保存的正式结果，而非中途被作废的调度数据。自研v4冻结版本哈希为486787a46d7a5596ae73830584b02ad3c346ef382a4682b99a11f1c8ae67cd04。双方换色、记录全部胜和负与错误，并独立重放棋谱，防止仅保留胜局产生偏差。</w:t>
      </w:r>
    </w:p>
    <w:tbl>
      <w:tblPr>
        <w:tblStyle w:val="11"/>
        <w:tblW w:w="0" w:type="auto"/>
        <w:tblInd w:w="0" w:type="dxa"/>
        <w:tblLayout w:type="fixed"/>
        <w:tblCellMar>
          <w:top w:w="0" w:type="dxa"/>
          <w:left w:w="108" w:type="dxa"/>
          <w:bottom w:w="0" w:type="dxa"/>
          <w:right w:w="108" w:type="dxa"/>
        </w:tblCellMar>
      </w:tblPr>
      <w:tblGrid>
        <w:gridCol w:w="1872"/>
        <w:gridCol w:w="3312"/>
        <w:gridCol w:w="3456"/>
      </w:tblGrid>
      <w:tr w14:paraId="420FC383">
        <w:tblPrEx>
          <w:tblCellMar>
            <w:top w:w="0" w:type="dxa"/>
            <w:left w:w="108" w:type="dxa"/>
            <w:bottom w:w="0" w:type="dxa"/>
            <w:right w:w="108" w:type="dxa"/>
          </w:tblCellMar>
        </w:tblPrEx>
        <w:trPr>
          <w:cantSplit/>
          <w:tblHeader/>
        </w:trPr>
        <w:tc>
          <w:tcPr>
            <w:tcW w:w="18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4A3C550">
            <w:pPr>
              <w:spacing w:before="0" w:after="0" w:line="276" w:lineRule="auto"/>
              <w:ind w:firstLine="0"/>
              <w:jc w:val="left"/>
            </w:pPr>
            <w:r>
              <w:rPr>
                <w:rFonts w:ascii="Times New Roman" w:hAnsi="Times New Roman" w:eastAsia="宋体"/>
                <w:b/>
                <w:color w:val="000000"/>
                <w:sz w:val="21"/>
              </w:rPr>
              <w:t>正式实验</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B73584C">
            <w:pPr>
              <w:spacing w:before="0" w:after="0" w:line="276" w:lineRule="auto"/>
              <w:ind w:firstLine="0"/>
              <w:jc w:val="left"/>
            </w:pPr>
            <w:r>
              <w:rPr>
                <w:rFonts w:ascii="Times New Roman" w:hAnsi="Times New Roman" w:eastAsia="宋体"/>
                <w:b/>
                <w:color w:val="000000"/>
                <w:sz w:val="21"/>
              </w:rPr>
              <w:t>配置与规模</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1F7C7E1">
            <w:pPr>
              <w:spacing w:before="0" w:after="0" w:line="276" w:lineRule="auto"/>
              <w:ind w:firstLine="0"/>
              <w:jc w:val="left"/>
            </w:pPr>
            <w:r>
              <w:rPr>
                <w:rFonts w:ascii="Times New Roman" w:hAnsi="Times New Roman" w:eastAsia="宋体"/>
                <w:b/>
                <w:color w:val="000000"/>
                <w:sz w:val="21"/>
              </w:rPr>
              <w:t>结果</w:t>
            </w:r>
          </w:p>
        </w:tc>
      </w:tr>
      <w:tr w14:paraId="6294CEBC">
        <w:tblPrEx>
          <w:tblCellMar>
            <w:top w:w="0" w:type="dxa"/>
            <w:left w:w="108" w:type="dxa"/>
            <w:bottom w:w="0" w:type="dxa"/>
            <w:right w:w="108" w:type="dxa"/>
          </w:tblCellMar>
        </w:tblPrEx>
        <w:trPr>
          <w:cantSplit/>
        </w:trPr>
        <w:tc>
          <w:tcPr>
            <w:tcW w:w="18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C469A6C">
            <w:pPr>
              <w:spacing w:before="0" w:after="0" w:line="276" w:lineRule="auto"/>
              <w:ind w:firstLine="0"/>
              <w:jc w:val="left"/>
            </w:pPr>
            <w:r>
              <w:rPr>
                <w:rFonts w:ascii="Times New Roman" w:hAnsi="Times New Roman" w:eastAsia="宋体"/>
                <w:b w:val="0"/>
                <w:color w:val="000000"/>
                <w:sz w:val="21"/>
              </w:rPr>
              <w:t>v4对v3</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24FA21B">
            <w:pPr>
              <w:spacing w:before="0" w:after="0" w:line="276" w:lineRule="auto"/>
              <w:ind w:firstLine="0"/>
              <w:jc w:val="left"/>
            </w:pPr>
            <w:r>
              <w:rPr>
                <w:rFonts w:ascii="Times New Roman" w:hAnsi="Times New Roman" w:eastAsia="宋体"/>
                <w:b w:val="0"/>
                <w:color w:val="000000"/>
                <w:sz w:val="21"/>
              </w:rPr>
              <w:t>均8层上限、1500ms；40局</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64C436D">
            <w:pPr>
              <w:spacing w:before="0" w:after="0" w:line="276" w:lineRule="auto"/>
              <w:ind w:firstLine="0"/>
              <w:jc w:val="left"/>
            </w:pPr>
            <w:r>
              <w:rPr>
                <w:rFonts w:ascii="Times New Roman" w:hAnsi="Times New Roman" w:eastAsia="宋体"/>
                <w:b w:val="0"/>
                <w:color w:val="000000"/>
                <w:sz w:val="21"/>
              </w:rPr>
              <w:t>17胜15和8负；得分率61.25%</w:t>
            </w:r>
          </w:p>
        </w:tc>
      </w:tr>
      <w:tr w14:paraId="0413591A">
        <w:tblPrEx>
          <w:tblCellMar>
            <w:top w:w="0" w:type="dxa"/>
            <w:left w:w="108" w:type="dxa"/>
            <w:bottom w:w="0" w:type="dxa"/>
            <w:right w:w="108" w:type="dxa"/>
          </w:tblCellMar>
        </w:tblPrEx>
        <w:trPr>
          <w:cantSplit/>
        </w:trPr>
        <w:tc>
          <w:tcPr>
            <w:tcW w:w="18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5B34E60">
            <w:pPr>
              <w:spacing w:before="0" w:after="0" w:line="276" w:lineRule="auto"/>
              <w:ind w:firstLine="0"/>
              <w:jc w:val="left"/>
            </w:pPr>
            <w:r>
              <w:rPr>
                <w:rFonts w:ascii="Times New Roman" w:hAnsi="Times New Roman" w:eastAsia="宋体"/>
                <w:b w:val="0"/>
                <w:color w:val="000000"/>
                <w:sz w:val="21"/>
              </w:rPr>
              <w:t>v4标准对基础</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1993A46">
            <w:pPr>
              <w:spacing w:before="0" w:after="0" w:line="276" w:lineRule="auto"/>
              <w:ind w:firstLine="0"/>
              <w:jc w:val="left"/>
            </w:pPr>
            <w:r>
              <w:rPr>
                <w:rFonts w:ascii="Times New Roman" w:hAnsi="Times New Roman" w:eastAsia="宋体"/>
                <w:b w:val="0"/>
                <w:color w:val="000000"/>
                <w:sz w:val="21"/>
              </w:rPr>
              <w:t>标准8/1500、基础2/500；40局</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D6FC29A">
            <w:pPr>
              <w:spacing w:before="0" w:after="0" w:line="276" w:lineRule="auto"/>
              <w:ind w:firstLine="0"/>
              <w:jc w:val="left"/>
            </w:pPr>
            <w:r>
              <w:rPr>
                <w:rFonts w:ascii="Times New Roman" w:hAnsi="Times New Roman" w:eastAsia="宋体"/>
                <w:b w:val="0"/>
                <w:color w:val="000000"/>
                <w:sz w:val="21"/>
              </w:rPr>
              <w:t>34胜6和0负；得分率92.5%</w:t>
            </w:r>
          </w:p>
        </w:tc>
      </w:tr>
      <w:tr w14:paraId="28AA1809">
        <w:tblPrEx>
          <w:tblCellMar>
            <w:top w:w="0" w:type="dxa"/>
            <w:left w:w="108" w:type="dxa"/>
            <w:bottom w:w="0" w:type="dxa"/>
            <w:right w:w="108" w:type="dxa"/>
          </w:tblCellMar>
        </w:tblPrEx>
        <w:trPr>
          <w:cantSplit/>
        </w:trPr>
        <w:tc>
          <w:tcPr>
            <w:tcW w:w="18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3C3D384">
            <w:pPr>
              <w:spacing w:before="0" w:after="0" w:line="276" w:lineRule="auto"/>
              <w:ind w:firstLine="0"/>
              <w:jc w:val="left"/>
            </w:pPr>
            <w:r>
              <w:rPr>
                <w:rFonts w:ascii="Times New Roman" w:hAnsi="Times New Roman" w:eastAsia="宋体"/>
                <w:b w:val="0"/>
                <w:color w:val="000000"/>
                <w:sz w:val="21"/>
              </w:rPr>
              <w:t>皮卡鱼对自研v4</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5B6DC3C">
            <w:pPr>
              <w:spacing w:before="0" w:after="0" w:line="276" w:lineRule="auto"/>
              <w:ind w:firstLine="0"/>
              <w:jc w:val="left"/>
            </w:pPr>
            <w:r>
              <w:rPr>
                <w:rFonts w:ascii="Times New Roman" w:hAnsi="Times New Roman" w:eastAsia="宋体"/>
                <w:b w:val="0"/>
                <w:color w:val="000000"/>
                <w:sz w:val="21"/>
              </w:rPr>
              <w:t>500ms对1500ms；4局换色</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8DAF452">
            <w:pPr>
              <w:spacing w:before="0" w:after="0" w:line="276" w:lineRule="auto"/>
              <w:ind w:firstLine="0"/>
              <w:jc w:val="left"/>
            </w:pPr>
            <w:r>
              <w:rPr>
                <w:rFonts w:ascii="Times New Roman" w:hAnsi="Times New Roman" w:eastAsia="宋体"/>
                <w:b w:val="0"/>
                <w:color w:val="000000"/>
                <w:sz w:val="21"/>
              </w:rPr>
              <w:t>皮卡鱼4胜；样本较少</w:t>
            </w:r>
          </w:p>
        </w:tc>
      </w:tr>
      <w:tr w14:paraId="2400F3CE">
        <w:tblPrEx>
          <w:tblCellMar>
            <w:top w:w="0" w:type="dxa"/>
            <w:left w:w="108" w:type="dxa"/>
            <w:bottom w:w="0" w:type="dxa"/>
            <w:right w:w="108" w:type="dxa"/>
          </w:tblCellMar>
        </w:tblPrEx>
        <w:trPr>
          <w:cantSplit/>
        </w:trPr>
        <w:tc>
          <w:tcPr>
            <w:tcW w:w="18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DECE206">
            <w:pPr>
              <w:spacing w:before="0" w:after="0" w:line="276" w:lineRule="auto"/>
              <w:ind w:firstLine="0"/>
              <w:jc w:val="left"/>
            </w:pPr>
            <w:r>
              <w:rPr>
                <w:rFonts w:ascii="Times New Roman" w:hAnsi="Times New Roman" w:eastAsia="宋体"/>
                <w:b w:val="0"/>
                <w:color w:val="000000"/>
                <w:sz w:val="21"/>
              </w:rPr>
              <w:t>棋谱重放</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7CFE479">
            <w:pPr>
              <w:spacing w:before="0" w:after="0" w:line="276" w:lineRule="auto"/>
              <w:ind w:firstLine="0"/>
              <w:jc w:val="left"/>
            </w:pPr>
            <w:r>
              <w:rPr>
                <w:rFonts w:ascii="Times New Roman" w:hAnsi="Times New Roman" w:eastAsia="宋体"/>
                <w:b w:val="0"/>
                <w:color w:val="000000"/>
                <w:sz w:val="21"/>
              </w:rPr>
              <w:t>上述3组完整记录</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6F70DFF">
            <w:pPr>
              <w:spacing w:before="0" w:after="0" w:line="276" w:lineRule="auto"/>
              <w:ind w:firstLine="0"/>
              <w:jc w:val="left"/>
            </w:pPr>
            <w:r>
              <w:rPr>
                <w:rFonts w:ascii="Times New Roman" w:hAnsi="Times New Roman" w:eastAsia="宋体"/>
                <w:b w:val="0"/>
                <w:color w:val="000000"/>
                <w:sz w:val="21"/>
              </w:rPr>
              <w:t>40局4815步；40局4221步；4局178步</w:t>
            </w:r>
          </w:p>
        </w:tc>
      </w:tr>
    </w:tbl>
    <w:p w14:paraId="38284F41">
      <w:pPr>
        <w:pageBreakBefore w:val="0"/>
        <w:widowControl/>
        <w:snapToGrid w:val="0"/>
        <w:spacing w:before="0" w:after="0" w:line="72" w:lineRule="auto"/>
        <w:ind w:left="0" w:right="0" w:firstLine="0"/>
        <w:jc w:val="center"/>
      </w:pPr>
    </w:p>
    <w:p w14:paraId="59E0739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得分率为（胜局数加0.5乘和局数）除总局数，不等于纯胜率。v4对v3双方使用相同预算，更适合分析算法改动；标准对基础同时改变搜索预算与深度限制，只能说明配置间表现，不能把全部差异归因于某个评估项。</w:t>
      </w:r>
    </w:p>
    <w:p w14:paraId="0323512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正式文件分别位于upgrade-v4-final-vs-v3、upgrade-v4-final-standard-basic及pikafish-vs-self-v4-final。没有final的早期调度有作废或诊断标记，不能拿其不完整汇总充当正式结果。原生4局也不能用于推断对人类的等级和稳定胜率。</w:t>
      </w:r>
    </w:p>
    <w:p w14:paraId="5B65EB5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局部性能记录显示，同机固定样本下规则生成中位耗时由90.06ms降至45.96ms，而评估由5.53ms增至20.02ms。前者加速，后者更昂贵，所以不能宣称整体搜索翻倍。实际完成深度和整局得分更接近最终目标。</w:t>
      </w:r>
    </w:p>
    <w:p w14:paraId="0FFD300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这些数据是2026年10月12日的历史实验，本次未重跑40局。A14仍缺少实际战胜教师的记录；第三方方案能否参与正式验收，需按教师认可范围执行。</w:t>
      </w:r>
    </w:p>
    <w:p w14:paraId="5E8FE4B7">
      <w:pPr>
        <w:keepNext/>
        <w:pageBreakBefore/>
        <w:widowControl/>
        <w:snapToGrid w:val="0"/>
        <w:spacing w:before="0" w:after="0" w:line="360" w:lineRule="auto"/>
        <w:ind w:left="0" w:right="0" w:firstLine="0"/>
        <w:jc w:val="both"/>
      </w:pPr>
      <w:r>
        <w:rPr>
          <w:rFonts w:ascii="Times New Roman" w:hAnsi="Times New Roman" w:eastAsia="宋体"/>
          <w:b/>
          <w:color w:val="000000"/>
          <w:sz w:val="28"/>
        </w:rPr>
        <w:t>六、课题完成过程中遇到的问题及解决方法</w:t>
      </w:r>
    </w:p>
    <w:p w14:paraId="60E30D47">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6.1 规则优化与正确性之间的冲突</w:t>
      </w:r>
    </w:p>
    <w:p w14:paraId="035E17C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搜索频繁生成走法，直观优化容易为了减少计算而省去安全检查，或在新旧顺序不同的情况下引入隐蔽行为变化。解决方法是把几何预计算与占位判定分开，只缓存不依赖局面的几何，再用旧实现对候选、攻击和完整合法列表逐项对照。</w:t>
      </w:r>
    </w:p>
    <w:p w14:paraId="3DCB124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预计算加速的是重复坐标计算，不是另建一套宽松规则。captures_only先过滤不需要的非吃子，再做正常模拟；存在性查询找到第一个合法走法才返回，不能把第一个几何候选直接当作“仍有棋可走”。</w:t>
      </w:r>
    </w:p>
    <w:p w14:paraId="30D05039">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6.2 地平线效应与应将遗漏</w:t>
      </w:r>
    </w:p>
    <w:p w14:paraId="0CFD4EE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旧式深度边界可能在红车吃兵后立即估值，看不到黑车下一步吃回，导致选择表面获利的坏交换。静态搜索延伸吃子后，能看到这个明确反例。进一步发现，被将军时只搜吃子仍会漏掉移将或垫子，因此受将军节点必须搜索全部合法应将。</w:t>
      </w:r>
    </w:p>
    <w:p w14:paraId="143D26A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对应回归同时覆盖红黑镜像、陷阱避免、应将主变和终局优先级。改进解决了已知局部缺陷，但并不能消除所有长线战略问题；仍需要完整实战暴露新的弱点。</w:t>
      </w:r>
    </w:p>
    <w:p w14:paraId="632BA4FE">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6.3 缓存上下文与窗口边界</w:t>
      </w:r>
    </w:p>
    <w:p w14:paraId="61F802F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局面相同并不表示搜索价值相同，重复历史和无吃子计数会改变后继终局。把这些条件加入评分缓存键，避免历史不同的节点共享和棋分。预期窗口失败后则重新使用完整窗口，超时不提交本轮，解决将边界分误写成精确结果的问题。</w:t>
      </w:r>
    </w:p>
    <w:p w14:paraId="785EEB4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工程上先保证键和边界语义正确，再讨论命中率与速度。缓存容量限制、排序权重和窗口大小都是可调策略；修改前应保存版本和相同预算的基线，避免优化过程中的源码变化污染实验。</w:t>
      </w:r>
    </w:p>
    <w:p w14:paraId="2C2DC0D0">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6.4 原生启动开销与协议差异</w:t>
      </w:r>
    </w:p>
    <w:p w14:paraId="5051B86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原生引擎首次请求要创建进程并加载权重，早期把这些开销计入短搜索预算，可能导致程序尚未就绪就超时。修复将初始化与搜索分阶段限时，并分别记录用时。故意延迟readyok约1.6秒的测试确认初始化完成后仍有完整搜索预算；初始化挂起则应清理并返回阶段性错误。</w:t>
      </w:r>
    </w:p>
    <w:p w14:paraId="152DCE5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另一风险是只传当前FEN而丢弃历史，导致第三方无法正确考虑重复。适配器逐步核对历史转换和当前计数，再把完整移动序列交给引擎。收到主变后按course-v1重放，防止原生内部裁决与课程规则不一致时继续展示已经终结后的着法。</w:t>
      </w:r>
    </w:p>
    <w:p w14:paraId="7716C7A8">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6.5 取消期间创建进程的竞争</w:t>
      </w:r>
    </w:p>
    <w:p w14:paraId="5169D79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任务可能恰好在创建子进程时被取消。若协程直接退出而没有取得进程对象，后续就无法回收计算程序。实现对创建操作作保护，取消时先等待创建结果，再进入统一清理；对已经运行的进程终止并等待退出。</w:t>
      </w:r>
    </w:p>
    <w:p w14:paraId="5CE6C8C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独立服务的cancel、客户端断连和启动器关闭分别从不同路径触发清理。它们共同覆盖用户暂停与结束演示的实际情境，但任何单条取消测试都不能替代全部进程生命周期验证。系统侧的整机交付核对由组长负责说明。</w:t>
      </w:r>
    </w:p>
    <w:p w14:paraId="2B289997">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6.6 实验可追溯性</w:t>
      </w:r>
    </w:p>
    <w:p w14:paraId="376F64F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早期v4对照调度后修改了缓存实现，造成同一实验期间源码不再固定。项目保留作废标记并在新目录重跑，而不是删除失败文件或把部分汇总拼接为40局。正式结论只引用最终目录，历史诊断资料单独保留。</w:t>
      </w:r>
    </w:p>
    <w:p w14:paraId="261CAC0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这个过程说明结果解释必须绑定源码、参数、起始前缀和样本总数。升级后走法与旧棋谱不同也不能直接证明更优；用户败局节点复查用于发现差异和检查合法性，是否改善整局仍须重新对弈。</w:t>
      </w:r>
    </w:p>
    <w:p w14:paraId="3538D9C8">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七、总结</w:t>
      </w:r>
    </w:p>
    <w:p w14:paraId="25750323">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7.1 计算机基础知识的实际应用</w:t>
      </w:r>
    </w:p>
    <w:p w14:paraId="611C07B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模块把博弈搜索、数据结构、异步通信和软件分层放到同一个可验证问题中。规则给出可行解集合，搜索决定如何比较解，评估决定有限深度下的判断依据，服务则约束计算如何被系统调用。任何一层含义不清，都可能表现为非法行棋、错误终局或无法取消的请求。</w:t>
      </w:r>
    </w:p>
    <w:p w14:paraId="64AAD93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对我负责的内容，最有价值的设计原则是区分职责与证据。候选移动不等于合法着法，静态分不等于真实胜率，计算深度不等于人类等级，内部实验也不等于教师实战。把这些区别落实到类型、返回字段和测试断言，才能让算法解释与运行行为对应。</w:t>
      </w:r>
    </w:p>
    <w:p w14:paraId="5F72C4E4">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7.2 查阅资料与自主学习方法</w:t>
      </w:r>
    </w:p>
    <w:p w14:paraId="6C79FCC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学习规则生成时，需要把象棋知识转换为可执行条件；学习搜索时，需要能够追踪一个小型博弈树中的符号、窗口和回溯。面对UCI和FEN，应先用已知坐标和初始局面做往返检查，再处理完整历史，避免只记命令名称却不了解坐标方向。</w:t>
      </w:r>
    </w:p>
    <w:p w14:paraId="26D457D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遇到新优化时，我更重视其成立条件。例如PVS要求必要时重搜，预期窗口要求失败时扩窗，置换表要求上下文完整，静态搜索要求被将军时不能停着。这些条件比算法名称更决定实现是否可靠，也提供了继续自学的具体问题。</w:t>
      </w:r>
    </w:p>
    <w:p w14:paraId="7CF166C1">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7.3 团队接口与工程管理</w:t>
      </w:r>
    </w:p>
    <w:p w14:paraId="2184F8A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组长孙榕鸿负责界面、对局管理和系统测试，我负责总体设计、规则与AI核心。协作交接应说明字段含义、错误处理和可重复输入，而不只交付一份函数代码。规则修改需要通知对局端和测试端；协议修改需要检查前后端兼容；棋力改动则应冻结版本后再评测。</w:t>
      </w:r>
    </w:p>
    <w:p w14:paraId="281C396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项目按阶段门禁推进，在规则正确、接口可用后再做更复杂搜索。分工减少重复实现，但不能阻止双方理解整体数据流。现场讲解时，我应能说明一次search如何产生结果，以及为什么某个已返回着法仍可能被最新对局版本拒绝。</w:t>
      </w:r>
    </w:p>
    <w:p w14:paraId="5309FA94">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7.4 经济决策和可持续发展</w:t>
      </w:r>
    </w:p>
    <w:p w14:paraId="6928BAD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有限课程周期内，原生Python规则便于阅读、测试和现场修改，代价是深层搜索速度有限。自研与本地成熟引擎并存，使算法教学与高强度实战有不同入口；同时增加权重体积、许可材料和进程适配成本。因此应根据验收目标明确取舍，而不是承诺仅靠继续加深就能达到高水平棋力。</w:t>
      </w:r>
    </w:p>
    <w:p w14:paraId="6C78D0C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没有采用云端推理或付费API，减少了联网、账号和调用费用依赖。合理配置线程、缓存与思考预算，取消无效搜索并释放进程，能降低持续资源占用。保存失败实验和完整棋谱有助于减少盲目重复计算，也让后续维护者知道哪些结论已经验证。</w:t>
      </w:r>
    </w:p>
    <w:p w14:paraId="0EC283F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对外分发时保留第三方来源与对应材料，不把NNUE权重许可与代码许可混为一谈。个人报告和姓名信息保持本地交付，公开仓库只承载确有必要公开的代码与项目资料。安全和资源约束应服务于当前单机应用，不应把本机验证夸大为公网部署保证。</w:t>
      </w:r>
    </w:p>
    <w:p w14:paraId="07AFCFC6">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7.5 AI辅助编程的感想与收获</w:t>
      </w:r>
    </w:p>
    <w:p w14:paraId="31C5330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AI辅助适合整理规则清单、解释搜索结构、提出反例、生成测试骨架和帮助阅读异常日志。它缩短了理解陌生模块和形成候选实现的时间，但给出的算法组合仍需要检查前提，尤其是颜色方向、和棋上下文、搜索边界和进程取消等容易遗漏的细节。</w:t>
      </w:r>
    </w:p>
    <w:p w14:paraId="6B05DF8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项目的辅助过程提醒我，能够生成看似完整的递归并不代表算法已正确。应先列出可检验的不变量，再用手工局面和真实服务证明行为；若出现偶发超时，要保存失败证据并分阶段定位，不能只挑一次正常结果说明完成。报告中也应区分责任范围、协作工具和第三方成果。</w:t>
      </w:r>
    </w:p>
    <w:p w14:paraId="007BDE0A">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7.6 后续需要完成的检验</w:t>
      </w:r>
    </w:p>
    <w:p w14:paraId="25E84F1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下一步应由本人演练评估项修改与相关回归，复核战术样本预期，与组长核对最终程序和演示版本，并保存教师真实对局。现有内部数据支持有限测试条件下的改进，尚不支持单局必胜承诺。</w:t>
      </w:r>
    </w:p>
    <w:p w14:paraId="7EC5EC1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技术核对入口为engine/rules.py、engine/evaluation.py、ai/search.py、ai/server.py和backend/pikafish.py；实验配置、汇总与重放结果存于对应final目录。持续改进应以这些可追溯资料为起点，而不是将未经重跑的新版本继续套用旧成绩。</w:t>
      </w:r>
    </w:p>
    <w:sectPr>
      <w:footerReference r:id="rId3" w:type="default"/>
      <w:pgSz w:w="11906" w:h="16838"/>
      <w:pgMar w:top="1418" w:right="1134"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6270">
    <w:pPr>
      <w:pStyle w:val="8"/>
      <w:jc w:val="center"/>
    </w:pPr>
    <w:r>
      <w:rPr>
        <w:kern w:val="0"/>
        <w:szCs w:val="21"/>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EDA"/>
    <w:rsid w:val="00001145"/>
    <w:rsid w:val="000012C5"/>
    <w:rsid w:val="000111B1"/>
    <w:rsid w:val="00015F0A"/>
    <w:rsid w:val="00016D54"/>
    <w:rsid w:val="00022EF6"/>
    <w:rsid w:val="00035D80"/>
    <w:rsid w:val="000428BC"/>
    <w:rsid w:val="000515C9"/>
    <w:rsid w:val="00055E2A"/>
    <w:rsid w:val="00060EA9"/>
    <w:rsid w:val="000647CB"/>
    <w:rsid w:val="0007682E"/>
    <w:rsid w:val="00091A56"/>
    <w:rsid w:val="00094C74"/>
    <w:rsid w:val="000C452C"/>
    <w:rsid w:val="000C61FE"/>
    <w:rsid w:val="000D2703"/>
    <w:rsid w:val="000D3691"/>
    <w:rsid w:val="000D5128"/>
    <w:rsid w:val="000D58E1"/>
    <w:rsid w:val="000F1F10"/>
    <w:rsid w:val="001271A5"/>
    <w:rsid w:val="00130DB3"/>
    <w:rsid w:val="001454FD"/>
    <w:rsid w:val="00147349"/>
    <w:rsid w:val="001513C2"/>
    <w:rsid w:val="00173AB9"/>
    <w:rsid w:val="001858EA"/>
    <w:rsid w:val="00186316"/>
    <w:rsid w:val="001915DA"/>
    <w:rsid w:val="001A3163"/>
    <w:rsid w:val="001A38D4"/>
    <w:rsid w:val="001A4666"/>
    <w:rsid w:val="001A5B5F"/>
    <w:rsid w:val="001A703E"/>
    <w:rsid w:val="001A7BEC"/>
    <w:rsid w:val="001C554F"/>
    <w:rsid w:val="001C74EC"/>
    <w:rsid w:val="001C77AB"/>
    <w:rsid w:val="001D41DC"/>
    <w:rsid w:val="001D5117"/>
    <w:rsid w:val="001D59FB"/>
    <w:rsid w:val="001E0887"/>
    <w:rsid w:val="001E1022"/>
    <w:rsid w:val="001E560E"/>
    <w:rsid w:val="001E613B"/>
    <w:rsid w:val="00203AE8"/>
    <w:rsid w:val="00214C6E"/>
    <w:rsid w:val="00221345"/>
    <w:rsid w:val="0023176C"/>
    <w:rsid w:val="002325CC"/>
    <w:rsid w:val="00236021"/>
    <w:rsid w:val="0025593A"/>
    <w:rsid w:val="002600FB"/>
    <w:rsid w:val="002736C7"/>
    <w:rsid w:val="002771EA"/>
    <w:rsid w:val="00282906"/>
    <w:rsid w:val="00285955"/>
    <w:rsid w:val="00292F11"/>
    <w:rsid w:val="002C0BFF"/>
    <w:rsid w:val="002D2DD9"/>
    <w:rsid w:val="002E4431"/>
    <w:rsid w:val="002E6FF6"/>
    <w:rsid w:val="002F0678"/>
    <w:rsid w:val="002F1BA6"/>
    <w:rsid w:val="002F384C"/>
    <w:rsid w:val="002F7F26"/>
    <w:rsid w:val="00305805"/>
    <w:rsid w:val="00312A04"/>
    <w:rsid w:val="0031322C"/>
    <w:rsid w:val="00317AC6"/>
    <w:rsid w:val="0032697C"/>
    <w:rsid w:val="003366A1"/>
    <w:rsid w:val="003468F8"/>
    <w:rsid w:val="00353F64"/>
    <w:rsid w:val="00354B4E"/>
    <w:rsid w:val="00360CEC"/>
    <w:rsid w:val="00361DD3"/>
    <w:rsid w:val="00361E15"/>
    <w:rsid w:val="003702E7"/>
    <w:rsid w:val="00380EE9"/>
    <w:rsid w:val="00385AF8"/>
    <w:rsid w:val="00387948"/>
    <w:rsid w:val="00390815"/>
    <w:rsid w:val="003B200E"/>
    <w:rsid w:val="003B4461"/>
    <w:rsid w:val="003C3BB5"/>
    <w:rsid w:val="003C5F2F"/>
    <w:rsid w:val="003D0034"/>
    <w:rsid w:val="003E643E"/>
    <w:rsid w:val="003F652A"/>
    <w:rsid w:val="0040000F"/>
    <w:rsid w:val="004056DB"/>
    <w:rsid w:val="00413988"/>
    <w:rsid w:val="00437DD8"/>
    <w:rsid w:val="004634D7"/>
    <w:rsid w:val="00477E5B"/>
    <w:rsid w:val="00482938"/>
    <w:rsid w:val="004A320E"/>
    <w:rsid w:val="004B127B"/>
    <w:rsid w:val="004B2EB3"/>
    <w:rsid w:val="004B5D6A"/>
    <w:rsid w:val="004D7DEC"/>
    <w:rsid w:val="004E24BB"/>
    <w:rsid w:val="004E69F8"/>
    <w:rsid w:val="004F1D15"/>
    <w:rsid w:val="00501547"/>
    <w:rsid w:val="0050796A"/>
    <w:rsid w:val="005254FB"/>
    <w:rsid w:val="00525B09"/>
    <w:rsid w:val="00530465"/>
    <w:rsid w:val="00540F66"/>
    <w:rsid w:val="00543144"/>
    <w:rsid w:val="0054436A"/>
    <w:rsid w:val="0054470C"/>
    <w:rsid w:val="00544AF3"/>
    <w:rsid w:val="005535FF"/>
    <w:rsid w:val="00555869"/>
    <w:rsid w:val="005558F6"/>
    <w:rsid w:val="0057212C"/>
    <w:rsid w:val="00572518"/>
    <w:rsid w:val="00572C59"/>
    <w:rsid w:val="00572C74"/>
    <w:rsid w:val="005762D0"/>
    <w:rsid w:val="00582130"/>
    <w:rsid w:val="0058560B"/>
    <w:rsid w:val="00585BC0"/>
    <w:rsid w:val="00587F05"/>
    <w:rsid w:val="00597247"/>
    <w:rsid w:val="005A40FF"/>
    <w:rsid w:val="005A6514"/>
    <w:rsid w:val="005A7052"/>
    <w:rsid w:val="005B370B"/>
    <w:rsid w:val="005C1386"/>
    <w:rsid w:val="005C1814"/>
    <w:rsid w:val="005C4162"/>
    <w:rsid w:val="005C44FB"/>
    <w:rsid w:val="005C6A4B"/>
    <w:rsid w:val="005C6C72"/>
    <w:rsid w:val="005F329F"/>
    <w:rsid w:val="00600141"/>
    <w:rsid w:val="00601ABA"/>
    <w:rsid w:val="00615FDC"/>
    <w:rsid w:val="00627E68"/>
    <w:rsid w:val="0064160B"/>
    <w:rsid w:val="006447DD"/>
    <w:rsid w:val="006466A1"/>
    <w:rsid w:val="00651047"/>
    <w:rsid w:val="00652222"/>
    <w:rsid w:val="00664A7C"/>
    <w:rsid w:val="0068603B"/>
    <w:rsid w:val="00691F97"/>
    <w:rsid w:val="006966E1"/>
    <w:rsid w:val="006B25C0"/>
    <w:rsid w:val="006B60C8"/>
    <w:rsid w:val="006B72DC"/>
    <w:rsid w:val="006C3632"/>
    <w:rsid w:val="006C382F"/>
    <w:rsid w:val="006E6893"/>
    <w:rsid w:val="006F6AC0"/>
    <w:rsid w:val="00711091"/>
    <w:rsid w:val="0071249C"/>
    <w:rsid w:val="00714026"/>
    <w:rsid w:val="007217C5"/>
    <w:rsid w:val="0072393F"/>
    <w:rsid w:val="007273A5"/>
    <w:rsid w:val="0073000E"/>
    <w:rsid w:val="00730A71"/>
    <w:rsid w:val="0073615F"/>
    <w:rsid w:val="00737C9C"/>
    <w:rsid w:val="00757ED5"/>
    <w:rsid w:val="00761A96"/>
    <w:rsid w:val="00783E06"/>
    <w:rsid w:val="00791919"/>
    <w:rsid w:val="00793E7B"/>
    <w:rsid w:val="007A6475"/>
    <w:rsid w:val="007B1F5A"/>
    <w:rsid w:val="007D348A"/>
    <w:rsid w:val="007E461B"/>
    <w:rsid w:val="007E7911"/>
    <w:rsid w:val="00815533"/>
    <w:rsid w:val="00815DEC"/>
    <w:rsid w:val="0082400B"/>
    <w:rsid w:val="00824BC5"/>
    <w:rsid w:val="00830015"/>
    <w:rsid w:val="008402E0"/>
    <w:rsid w:val="00842AA1"/>
    <w:rsid w:val="0084372F"/>
    <w:rsid w:val="008545C3"/>
    <w:rsid w:val="0085545E"/>
    <w:rsid w:val="00863740"/>
    <w:rsid w:val="00864F9C"/>
    <w:rsid w:val="008A2A9A"/>
    <w:rsid w:val="008A3757"/>
    <w:rsid w:val="008A7EE1"/>
    <w:rsid w:val="008B1A7E"/>
    <w:rsid w:val="008C4B2F"/>
    <w:rsid w:val="008C4F76"/>
    <w:rsid w:val="008D6766"/>
    <w:rsid w:val="008F5E55"/>
    <w:rsid w:val="008F66FC"/>
    <w:rsid w:val="009102BA"/>
    <w:rsid w:val="009175D6"/>
    <w:rsid w:val="009202C6"/>
    <w:rsid w:val="00926387"/>
    <w:rsid w:val="00927EA7"/>
    <w:rsid w:val="00953C11"/>
    <w:rsid w:val="00967ED6"/>
    <w:rsid w:val="00973234"/>
    <w:rsid w:val="009946A5"/>
    <w:rsid w:val="009966AE"/>
    <w:rsid w:val="009B1AFB"/>
    <w:rsid w:val="009B7114"/>
    <w:rsid w:val="009C14C8"/>
    <w:rsid w:val="009C2D9E"/>
    <w:rsid w:val="009D2A11"/>
    <w:rsid w:val="009E3C8A"/>
    <w:rsid w:val="009E644B"/>
    <w:rsid w:val="009F7BC9"/>
    <w:rsid w:val="00A15EA1"/>
    <w:rsid w:val="00A26567"/>
    <w:rsid w:val="00A51DF8"/>
    <w:rsid w:val="00A61F7A"/>
    <w:rsid w:val="00A72299"/>
    <w:rsid w:val="00A91015"/>
    <w:rsid w:val="00A939E7"/>
    <w:rsid w:val="00AA6A4F"/>
    <w:rsid w:val="00AB1BC0"/>
    <w:rsid w:val="00AB2A16"/>
    <w:rsid w:val="00AB5F56"/>
    <w:rsid w:val="00AB66DC"/>
    <w:rsid w:val="00AB6FF4"/>
    <w:rsid w:val="00AB7839"/>
    <w:rsid w:val="00AB78BB"/>
    <w:rsid w:val="00AC0CC1"/>
    <w:rsid w:val="00AD1689"/>
    <w:rsid w:val="00B0071F"/>
    <w:rsid w:val="00B35C74"/>
    <w:rsid w:val="00B41FAA"/>
    <w:rsid w:val="00B447EB"/>
    <w:rsid w:val="00B44A4B"/>
    <w:rsid w:val="00B471A0"/>
    <w:rsid w:val="00B60E78"/>
    <w:rsid w:val="00B62E35"/>
    <w:rsid w:val="00B72D95"/>
    <w:rsid w:val="00B746B7"/>
    <w:rsid w:val="00B758D9"/>
    <w:rsid w:val="00B7603B"/>
    <w:rsid w:val="00B77838"/>
    <w:rsid w:val="00B87234"/>
    <w:rsid w:val="00B91130"/>
    <w:rsid w:val="00BA0563"/>
    <w:rsid w:val="00BA7AD9"/>
    <w:rsid w:val="00BC5B68"/>
    <w:rsid w:val="00BD1809"/>
    <w:rsid w:val="00BD257C"/>
    <w:rsid w:val="00BD64FA"/>
    <w:rsid w:val="00BE078E"/>
    <w:rsid w:val="00C160F1"/>
    <w:rsid w:val="00C24C1B"/>
    <w:rsid w:val="00C25AF5"/>
    <w:rsid w:val="00C33A55"/>
    <w:rsid w:val="00C36470"/>
    <w:rsid w:val="00C366D8"/>
    <w:rsid w:val="00C5556F"/>
    <w:rsid w:val="00C5673C"/>
    <w:rsid w:val="00C57D9C"/>
    <w:rsid w:val="00C6144F"/>
    <w:rsid w:val="00C6235C"/>
    <w:rsid w:val="00C64DCC"/>
    <w:rsid w:val="00C73110"/>
    <w:rsid w:val="00C90159"/>
    <w:rsid w:val="00C93ADB"/>
    <w:rsid w:val="00CC1AEF"/>
    <w:rsid w:val="00CD1E5B"/>
    <w:rsid w:val="00CD1F0B"/>
    <w:rsid w:val="00CE4437"/>
    <w:rsid w:val="00CF00DD"/>
    <w:rsid w:val="00D00726"/>
    <w:rsid w:val="00D047C1"/>
    <w:rsid w:val="00D06181"/>
    <w:rsid w:val="00D25A32"/>
    <w:rsid w:val="00D26C11"/>
    <w:rsid w:val="00D4193F"/>
    <w:rsid w:val="00D455AD"/>
    <w:rsid w:val="00D46041"/>
    <w:rsid w:val="00D5525A"/>
    <w:rsid w:val="00D55C4C"/>
    <w:rsid w:val="00D61928"/>
    <w:rsid w:val="00D677E4"/>
    <w:rsid w:val="00D7665F"/>
    <w:rsid w:val="00D84FA3"/>
    <w:rsid w:val="00D91547"/>
    <w:rsid w:val="00DA22D5"/>
    <w:rsid w:val="00DA5C62"/>
    <w:rsid w:val="00DB271C"/>
    <w:rsid w:val="00DC0585"/>
    <w:rsid w:val="00DD2C1D"/>
    <w:rsid w:val="00DD6A7A"/>
    <w:rsid w:val="00DE73CD"/>
    <w:rsid w:val="00DF654E"/>
    <w:rsid w:val="00E05EDA"/>
    <w:rsid w:val="00E103CA"/>
    <w:rsid w:val="00E11178"/>
    <w:rsid w:val="00E27203"/>
    <w:rsid w:val="00E33E2F"/>
    <w:rsid w:val="00E55E16"/>
    <w:rsid w:val="00E564CA"/>
    <w:rsid w:val="00E60ED0"/>
    <w:rsid w:val="00E6388C"/>
    <w:rsid w:val="00E6393D"/>
    <w:rsid w:val="00E710C7"/>
    <w:rsid w:val="00E75EED"/>
    <w:rsid w:val="00E976BD"/>
    <w:rsid w:val="00EA0F1C"/>
    <w:rsid w:val="00EA183F"/>
    <w:rsid w:val="00EA478A"/>
    <w:rsid w:val="00EA6DF4"/>
    <w:rsid w:val="00EB4DA5"/>
    <w:rsid w:val="00EC6839"/>
    <w:rsid w:val="00EC68B1"/>
    <w:rsid w:val="00ED1DD1"/>
    <w:rsid w:val="00F03BB7"/>
    <w:rsid w:val="00F0427E"/>
    <w:rsid w:val="00F12714"/>
    <w:rsid w:val="00F14017"/>
    <w:rsid w:val="00F167BF"/>
    <w:rsid w:val="00F22D2F"/>
    <w:rsid w:val="00F32965"/>
    <w:rsid w:val="00F35C57"/>
    <w:rsid w:val="00F36543"/>
    <w:rsid w:val="00F437B9"/>
    <w:rsid w:val="00F54DDD"/>
    <w:rsid w:val="00F55619"/>
    <w:rsid w:val="00F562EA"/>
    <w:rsid w:val="00F600FF"/>
    <w:rsid w:val="00F63EC1"/>
    <w:rsid w:val="00F67469"/>
    <w:rsid w:val="00F76CFC"/>
    <w:rsid w:val="00F76E39"/>
    <w:rsid w:val="00F830E2"/>
    <w:rsid w:val="00F85589"/>
    <w:rsid w:val="00F86044"/>
    <w:rsid w:val="00FC00B4"/>
    <w:rsid w:val="00FC1102"/>
    <w:rsid w:val="00FC7256"/>
    <w:rsid w:val="00FD209C"/>
    <w:rsid w:val="00FD57E5"/>
    <w:rsid w:val="00FE0F8B"/>
    <w:rsid w:val="00FE1E59"/>
    <w:rsid w:val="00FE31D0"/>
    <w:rsid w:val="00FE6CD7"/>
    <w:rsid w:val="00FF23C5"/>
    <w:rsid w:val="00FF41A3"/>
    <w:rsid w:val="031F4ED0"/>
    <w:rsid w:val="04727B0B"/>
    <w:rsid w:val="06491CCA"/>
    <w:rsid w:val="097A35C5"/>
    <w:rsid w:val="10E656C0"/>
    <w:rsid w:val="12844928"/>
    <w:rsid w:val="12D97684"/>
    <w:rsid w:val="184D6A75"/>
    <w:rsid w:val="1B3C6908"/>
    <w:rsid w:val="1B7B3712"/>
    <w:rsid w:val="261A5CB1"/>
    <w:rsid w:val="2E332A37"/>
    <w:rsid w:val="2E8957F9"/>
    <w:rsid w:val="3BCE1597"/>
    <w:rsid w:val="3D6514BF"/>
    <w:rsid w:val="3F231986"/>
    <w:rsid w:val="3F783786"/>
    <w:rsid w:val="42612193"/>
    <w:rsid w:val="42AD6003"/>
    <w:rsid w:val="44715C23"/>
    <w:rsid w:val="4F96715E"/>
    <w:rsid w:val="56244A5C"/>
    <w:rsid w:val="56A003B7"/>
    <w:rsid w:val="579E5041"/>
    <w:rsid w:val="597E190C"/>
    <w:rsid w:val="64C019D5"/>
    <w:rsid w:val="67DC46A2"/>
    <w:rsid w:val="6F5F7B6D"/>
    <w:rsid w:val="6FDF554A"/>
    <w:rsid w:val="73DC40A1"/>
    <w:rsid w:val="74B731AC"/>
    <w:rsid w:val="7B6F3DFB"/>
    <w:rsid w:val="A3FFCADD"/>
    <w:rsid w:val="D1FB8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1"/>
    <w:basedOn w:val="1"/>
    <w:next w:val="1"/>
    <w:qFormat/>
    <w:uiPriority w:val="0"/>
    <w:pPr>
      <w:keepNext/>
      <w:spacing w:line="300" w:lineRule="auto"/>
      <w:jc w:val="center"/>
      <w:outlineLvl w:val="0"/>
    </w:pPr>
    <w:rPr>
      <w:rFonts w:ascii="Times New Roman" w:hAnsi="Times New Roman" w:cs="Times New Roman"/>
      <w:b/>
      <w:bCs/>
      <w:sz w:val="32"/>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annotation text"/>
    <w:basedOn w:val="1"/>
    <w:semiHidden/>
    <w:qFormat/>
    <w:uiPriority w:val="0"/>
    <w:pPr>
      <w:jc w:val="left"/>
    </w:pPr>
  </w:style>
  <w:style w:type="paragraph" w:styleId="5">
    <w:name w:val="Body Text"/>
    <w:basedOn w:val="1"/>
    <w:qFormat/>
    <w:uiPriority w:val="0"/>
    <w:pPr>
      <w:spacing w:line="360" w:lineRule="auto"/>
    </w:pPr>
    <w:rPr>
      <w:sz w:val="28"/>
    </w:rPr>
  </w:style>
  <w:style w:type="paragraph" w:styleId="6">
    <w:name w:val="Body Text Indent"/>
    <w:basedOn w:val="1"/>
    <w:qFormat/>
    <w:uiPriority w:val="0"/>
    <w:pPr>
      <w:ind w:firstLine="2325"/>
      <w:jc w:val="center"/>
    </w:pPr>
    <w:rPr>
      <w:rFonts w:ascii="Times New Roman" w:hAnsi="Times New Roman" w:cs="Times New Roman"/>
      <w:sz w:val="21"/>
    </w:rPr>
  </w:style>
  <w:style w:type="paragraph" w:styleId="7">
    <w:name w:val="Balloon Text"/>
    <w:basedOn w:val="1"/>
    <w:semiHidden/>
    <w:qFormat/>
    <w:uiPriority w:val="0"/>
    <w:rPr>
      <w:sz w:val="18"/>
      <w:szCs w:val="18"/>
    </w:rPr>
  </w:style>
  <w:style w:type="paragraph" w:styleId="8">
    <w:name w:val="footer"/>
    <w:basedOn w:val="1"/>
    <w:qFormat/>
    <w:uiPriority w:val="0"/>
    <w:pPr>
      <w:tabs>
        <w:tab w:val="center" w:pos="4153"/>
        <w:tab w:val="right" w:pos="8306"/>
      </w:tabs>
      <w:snapToGrid w:val="0"/>
      <w:jc w:val="left"/>
    </w:pPr>
    <w:rPr>
      <w:rFonts w:ascii="Times New Roman" w:hAnsi="Times New Roman" w:cs="Times New Roman"/>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10">
    <w:name w:val="annotation subject"/>
    <w:basedOn w:val="4"/>
    <w:next w:val="4"/>
    <w:semiHidden/>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qFormat/>
    <w:uiPriority w:val="0"/>
    <w:rPr>
      <w:sz w:val="21"/>
      <w:szCs w:val="21"/>
    </w:rPr>
  </w:style>
  <w:style w:type="character" w:customStyle="1" w:styleId="15">
    <w:name w:val="dbluetext1"/>
    <w:basedOn w:val="13"/>
    <w:qFormat/>
    <w:uiPriority w:val="0"/>
    <w:rPr>
      <w:rFonts w:hint="default" w:ascii="Arial" w:hAnsi="Arial" w:cs="Arial"/>
      <w:color w:val="003FB2"/>
      <w:sz w:val="13"/>
      <w:szCs w:val="13"/>
    </w:rPr>
  </w:style>
  <w:style w:type="paragraph" w:styleId="1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jwc</Company>
  <Pages>25</Pages>
  <Words>192</Words>
  <Characters>230</Characters>
  <Lines>20</Lines>
  <Paragraphs>5</Paragraphs>
  <TotalTime>0</TotalTime>
  <ScaleCrop>false</ScaleCrop>
  <LinksUpToDate>false</LinksUpToDate>
  <CharactersWithSpaces>315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2026-10-19T09:06:00Z</dcterms:created>
  <dc:creator>朱立华</dc:creator>
  <cp:lastModifiedBy>孙榕鸿</cp:lastModifiedBy>
  <dcterms:modified xsi:type="dcterms:W3CDTF">2026-10-22T03:48:15Z</dcterms:modified>
  <dc:title>程序设计报告封面_06new</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6DEABDA0845A20155E0F4467A4FEED57_43</vt:lpwstr>
  </property>
  <property fmtid="{D5CDD505-2E9C-101B-9397-08002B2CF9AE}" pid="4" name="KSOTemplateDocerSaveRecord">
    <vt:lpwstr>eyJoZGlkIjoiMWFjZDUxNDYyOWRlODU0OTIxODRhYjI2MmQ2YjlkYWUiLCJ1c2VySWQiOiIxNTU2NTIzNTQ3In0=</vt:lpwstr>
  </property>
</Properties>
</file>