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CAB9B">
      <w:pPr>
        <w:tabs>
          <w:tab w:val="left" w:pos="6870"/>
        </w:tabs>
      </w:pPr>
    </w:p>
    <w:p w14:paraId="2B904821">
      <w:pPr>
        <w:tabs>
          <w:tab w:val="left" w:pos="6870"/>
        </w:tabs>
      </w:pPr>
    </w:p>
    <w:p w14:paraId="592BE644">
      <w:pPr>
        <w:tabs>
          <w:tab w:val="left" w:pos="6870"/>
        </w:tabs>
      </w:pPr>
    </w:p>
    <w:p w14:paraId="042D9519">
      <w:pPr>
        <w:tabs>
          <w:tab w:val="left" w:pos="6870"/>
        </w:tabs>
      </w:pPr>
    </w:p>
    <w:p w14:paraId="63BDA41D">
      <w:pPr>
        <w:tabs>
          <w:tab w:val="left" w:pos="6870"/>
        </w:tabs>
      </w:pPr>
    </w:p>
    <w:p w14:paraId="7D4DEA09">
      <w:pPr>
        <w:tabs>
          <w:tab w:val="left" w:pos="6870"/>
        </w:tabs>
      </w:pPr>
    </w:p>
    <w:p w14:paraId="311864FD">
      <w:pPr>
        <w:tabs>
          <w:tab w:val="left" w:pos="6870"/>
        </w:tabs>
      </w:pPr>
    </w:p>
    <w:p w14:paraId="0FE7125C">
      <w:pPr>
        <w:tabs>
          <w:tab w:val="left" w:pos="6870"/>
        </w:tabs>
        <w:jc w:val="center"/>
      </w:pPr>
      <w:r>
        <w:object>
          <v:shape id="_x0000_i1025" o:spt="75" type="#_x0000_t75" style="height:58pt;width:235.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14:paraId="2EB7FBBC">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63412A7F">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26</w:t>
      </w:r>
      <w:r>
        <w:rPr>
          <w:rFonts w:hint="eastAsia" w:ascii="黑体" w:eastAsia="黑体"/>
          <w:sz w:val="30"/>
        </w:rPr>
        <w:t xml:space="preserve"> / 202</w:t>
      </w:r>
      <w:r>
        <w:rPr>
          <w:rFonts w:ascii="黑体" w:eastAsia="黑体"/>
          <w:sz w:val="30"/>
        </w:rPr>
        <w:t>7</w:t>
      </w:r>
      <w:r>
        <w:rPr>
          <w:rFonts w:hint="eastAsia" w:ascii="黑体" w:eastAsia="黑体"/>
          <w:sz w:val="30"/>
        </w:rPr>
        <w:t>学年 第 一 学期）</w:t>
      </w:r>
    </w:p>
    <w:p w14:paraId="560823C0">
      <w:pPr>
        <w:tabs>
          <w:tab w:val="left" w:pos="6870"/>
        </w:tabs>
        <w:ind w:firstLine="2160"/>
        <w:rPr>
          <w:rFonts w:ascii="黑体" w:eastAsia="黑体"/>
          <w:sz w:val="44"/>
        </w:rPr>
      </w:pPr>
    </w:p>
    <w:p w14:paraId="11505FE2">
      <w:pPr>
        <w:tabs>
          <w:tab w:val="left" w:pos="6870"/>
        </w:tabs>
        <w:ind w:firstLine="2160"/>
        <w:rPr>
          <w:rFonts w:ascii="黑体" w:eastAsia="黑体"/>
          <w:sz w:val="44"/>
        </w:rPr>
      </w:pPr>
    </w:p>
    <w:p w14:paraId="359A4EE0">
      <w:pPr>
        <w:tabs>
          <w:tab w:val="left" w:pos="6870"/>
        </w:tabs>
        <w:ind w:firstLine="1078" w:firstLineChars="245"/>
        <w:rPr>
          <w:rFonts w:hint="eastAsia"/>
          <w:sz w:val="44"/>
          <w:szCs w:val="44"/>
          <w:u w:val="single"/>
          <w:lang w:val="en-US" w:eastAsia="zh-CN"/>
        </w:rPr>
      </w:pPr>
      <w:r>
        <w:rPr>
          <w:rFonts w:hint="eastAsia" w:ascii="黑体" w:eastAsia="黑体"/>
          <w:sz w:val="44"/>
        </w:rPr>
        <w:t>题   目：</w:t>
      </w:r>
      <w:r>
        <w:rPr>
          <w:rFonts w:hint="eastAsia" w:eastAsia="宋体"/>
          <w:sz w:val="44"/>
          <w:szCs w:val="44"/>
          <w:u w:val="single"/>
        </w:rPr>
        <w:t>中国象棋游戏及其</w:t>
      </w:r>
      <w:r>
        <w:rPr>
          <w:rFonts w:hint="eastAsia"/>
          <w:sz w:val="44"/>
          <w:szCs w:val="44"/>
          <w:u w:val="single"/>
          <w:lang w:val="en-US" w:eastAsia="zh-CN"/>
        </w:rPr>
        <w:t>AI算法</w:t>
      </w:r>
    </w:p>
    <w:p w14:paraId="3F541A80">
      <w:pPr>
        <w:tabs>
          <w:tab w:val="left" w:pos="6870"/>
        </w:tabs>
        <w:ind w:firstLine="1078" w:firstLineChars="245"/>
        <w:rPr>
          <w:rFonts w:hint="eastAsia"/>
          <w:sz w:val="44"/>
          <w:szCs w:val="44"/>
          <w:u w:val="single"/>
          <w:lang w:val="en-US" w:eastAsia="zh-CN"/>
        </w:rPr>
      </w:pPr>
    </w:p>
    <w:p w14:paraId="7BD0BDB0">
      <w:pPr>
        <w:spacing w:line="360" w:lineRule="auto"/>
        <w:jc w:val="center"/>
        <w:rPr>
          <w:b/>
          <w:bCs/>
          <w:sz w:val="32"/>
          <w:u w:val="single"/>
        </w:rPr>
      </w:pPr>
    </w:p>
    <w:p w14:paraId="120A12BC">
      <w:pPr>
        <w:tabs>
          <w:tab w:val="left" w:pos="6870"/>
        </w:tabs>
        <w:rPr>
          <w:rFonts w:ascii="黑体" w:eastAsia="黑体"/>
          <w:sz w:val="44"/>
        </w:rPr>
      </w:pPr>
    </w:p>
    <w:tbl>
      <w:tblPr>
        <w:tblStyle w:val="12"/>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549E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77D6B46">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11892005">
            <w:pPr>
              <w:tabs>
                <w:tab w:val="left" w:pos="6870"/>
              </w:tabs>
              <w:jc w:val="center"/>
              <w:rPr>
                <w:b/>
                <w:sz w:val="30"/>
                <w:szCs w:val="30"/>
              </w:rPr>
            </w:pPr>
            <w:r>
              <w:rPr>
                <w:rFonts w:ascii="Times New Roman" w:hAnsi="Times New Roman" w:eastAsia="宋体"/>
                <w:color w:val="000000"/>
                <w:sz w:val="32"/>
              </w:rPr>
              <w:t>计算机科学与技术</w:t>
            </w:r>
          </w:p>
        </w:tc>
      </w:tr>
      <w:tr w14:paraId="58B5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E6B4086">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039726BB">
            <w:pPr>
              <w:tabs>
                <w:tab w:val="left" w:pos="6870"/>
              </w:tabs>
              <w:jc w:val="center"/>
              <w:rPr>
                <w:b/>
                <w:sz w:val="30"/>
                <w:szCs w:val="30"/>
              </w:rPr>
            </w:pPr>
            <w:r>
              <w:rPr>
                <w:rFonts w:ascii="Times New Roman" w:hAnsi="Times New Roman" w:eastAsia="宋体"/>
                <w:color w:val="000000"/>
                <w:sz w:val="32"/>
              </w:rPr>
              <w:t>孙榕鸿</w:t>
            </w:r>
          </w:p>
        </w:tc>
      </w:tr>
      <w:tr w14:paraId="3C41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6803FAC">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4117771C">
            <w:pPr>
              <w:tabs>
                <w:tab w:val="left" w:pos="6870"/>
              </w:tabs>
              <w:jc w:val="center"/>
              <w:rPr>
                <w:b/>
                <w:sz w:val="30"/>
                <w:szCs w:val="30"/>
              </w:rPr>
            </w:pPr>
            <w:r>
              <w:rPr>
                <w:rFonts w:ascii="Times New Roman" w:hAnsi="Times New Roman" w:eastAsia="宋体"/>
                <w:color w:val="000000"/>
                <w:sz w:val="32"/>
              </w:rPr>
              <w:t>B23040515</w:t>
            </w:r>
          </w:p>
        </w:tc>
      </w:tr>
      <w:tr w14:paraId="5DD3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05683DD">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20D932D">
            <w:pPr>
              <w:tabs>
                <w:tab w:val="left" w:pos="6870"/>
              </w:tabs>
              <w:jc w:val="center"/>
              <w:rPr>
                <w:b/>
                <w:sz w:val="30"/>
                <w:szCs w:val="30"/>
              </w:rPr>
            </w:pPr>
            <w:r>
              <w:rPr>
                <w:rFonts w:hint="eastAsia"/>
                <w:b/>
                <w:sz w:val="30"/>
                <w:szCs w:val="30"/>
              </w:rPr>
              <w:t>陈兴国</w:t>
            </w:r>
          </w:p>
        </w:tc>
      </w:tr>
      <w:tr w14:paraId="1F5B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0DEE319">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21BB092E">
            <w:pPr>
              <w:tabs>
                <w:tab w:val="left" w:pos="6870"/>
              </w:tabs>
              <w:spacing w:line="240" w:lineRule="atLeast"/>
              <w:jc w:val="center"/>
              <w:rPr>
                <w:b/>
                <w:sz w:val="30"/>
                <w:szCs w:val="30"/>
              </w:rPr>
            </w:pPr>
            <w:r>
              <w:rPr>
                <w:rFonts w:hint="eastAsia"/>
                <w:b/>
                <w:sz w:val="28"/>
                <w:szCs w:val="28"/>
              </w:rPr>
              <w:t>计算机科学与技术系</w:t>
            </w:r>
          </w:p>
        </w:tc>
      </w:tr>
      <w:tr w14:paraId="2C68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4C80F03">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29F4B8F6">
            <w:pPr>
              <w:tabs>
                <w:tab w:val="left" w:pos="6870"/>
              </w:tabs>
              <w:jc w:val="center"/>
              <w:rPr>
                <w:b/>
                <w:sz w:val="30"/>
                <w:szCs w:val="30"/>
              </w:rPr>
            </w:pPr>
            <w:r>
              <w:rPr>
                <w:rFonts w:ascii="Times New Roman" w:hAnsi="Times New Roman" w:cs="Times New Roman"/>
                <w:b/>
                <w:sz w:val="30"/>
                <w:szCs w:val="30"/>
              </w:rPr>
              <w:t>2026.</w:t>
            </w:r>
            <w:r>
              <w:rPr>
                <w:rFonts w:hint="eastAsia" w:ascii="Times New Roman" w:hAnsi="Times New Roman" w:cs="Times New Roman"/>
                <w:b/>
                <w:sz w:val="30"/>
                <w:szCs w:val="30"/>
              </w:rPr>
              <w:t>1</w:t>
            </w:r>
            <w:r>
              <w:rPr>
                <w:rFonts w:ascii="Times New Roman" w:hAnsi="Times New Roman" w:cs="Times New Roman"/>
                <w:b/>
                <w:sz w:val="30"/>
                <w:szCs w:val="30"/>
              </w:rPr>
              <w:t>0.12-20</w:t>
            </w:r>
            <w:r>
              <w:rPr>
                <w:rFonts w:hint="eastAsia" w:ascii="Times New Roman" w:hAnsi="Times New Roman" w:cs="Times New Roman"/>
                <w:b/>
                <w:sz w:val="30"/>
                <w:szCs w:val="30"/>
              </w:rPr>
              <w:t>2</w:t>
            </w:r>
            <w:r>
              <w:rPr>
                <w:rFonts w:ascii="Times New Roman" w:hAnsi="Times New Roman" w:cs="Times New Roman"/>
                <w:b/>
                <w:sz w:val="30"/>
                <w:szCs w:val="30"/>
              </w:rPr>
              <w:t>6.10.25</w:t>
            </w:r>
          </w:p>
        </w:tc>
      </w:tr>
    </w:tbl>
    <w:p w14:paraId="41AF7CE9">
      <w:pPr>
        <w:tabs>
          <w:tab w:val="left" w:pos="6870"/>
        </w:tabs>
        <w:rPr>
          <w:rFonts w:ascii="黑体" w:eastAsia="黑体"/>
          <w:sz w:val="21"/>
          <w:szCs w:val="21"/>
        </w:rPr>
      </w:pPr>
    </w:p>
    <w:p w14:paraId="0457C865">
      <w:pPr>
        <w:tabs>
          <w:tab w:val="left" w:pos="6870"/>
        </w:tabs>
        <w:rPr>
          <w:rFonts w:ascii="黑体" w:eastAsia="黑体"/>
          <w:sz w:val="21"/>
          <w:szCs w:val="21"/>
        </w:rPr>
      </w:pPr>
    </w:p>
    <w:p w14:paraId="36AF84B0">
      <w:pPr>
        <w:tabs>
          <w:tab w:val="left" w:pos="6870"/>
        </w:tabs>
        <w:rPr>
          <w:rFonts w:ascii="黑体" w:eastAsia="黑体"/>
          <w:sz w:val="21"/>
          <w:szCs w:val="21"/>
        </w:rPr>
      </w:pPr>
    </w:p>
    <w:tbl>
      <w:tblPr>
        <w:tblStyle w:val="11"/>
        <w:tblW w:w="9808"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418"/>
        <w:gridCol w:w="5514"/>
        <w:gridCol w:w="1316"/>
      </w:tblGrid>
      <w:tr w14:paraId="04E6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2978" w:type="dxa"/>
            <w:gridSpan w:val="2"/>
            <w:tcBorders>
              <w:top w:val="single" w:color="auto" w:sz="4" w:space="0"/>
            </w:tcBorders>
            <w:vAlign w:val="center"/>
          </w:tcPr>
          <w:p w14:paraId="06821E0C">
            <w:pPr>
              <w:jc w:val="center"/>
              <w:rPr>
                <w:b/>
                <w:bCs/>
              </w:rPr>
            </w:pPr>
            <w:r>
              <w:rPr>
                <w:rFonts w:hint="eastAsia"/>
                <w:b/>
                <w:bCs/>
              </w:rPr>
              <w:t>课程目标</w:t>
            </w:r>
          </w:p>
        </w:tc>
        <w:tc>
          <w:tcPr>
            <w:tcW w:w="5514" w:type="dxa"/>
            <w:tcBorders>
              <w:top w:val="single" w:color="auto" w:sz="4" w:space="0"/>
            </w:tcBorders>
            <w:vAlign w:val="center"/>
          </w:tcPr>
          <w:p w14:paraId="48C7581F">
            <w:pPr>
              <w:jc w:val="center"/>
              <w:rPr>
                <w:b/>
                <w:bCs/>
              </w:rPr>
            </w:pPr>
            <w:r>
              <w:rPr>
                <w:rFonts w:hint="eastAsia"/>
                <w:b/>
                <w:bCs/>
              </w:rPr>
              <w:t>评价准则</w:t>
            </w:r>
          </w:p>
        </w:tc>
        <w:tc>
          <w:tcPr>
            <w:tcW w:w="1316" w:type="dxa"/>
            <w:tcBorders>
              <w:top w:val="single" w:color="auto" w:sz="4" w:space="0"/>
            </w:tcBorders>
            <w:vAlign w:val="center"/>
          </w:tcPr>
          <w:p w14:paraId="228C8C15">
            <w:pPr>
              <w:jc w:val="center"/>
            </w:pPr>
            <w:r>
              <w:rPr>
                <w:rFonts w:ascii="Times New Roman" w:hAnsi="Times New Roman" w:cs="Times New Roman"/>
                <w:b/>
              </w:rPr>
              <w:t>计分（每项10分）</w:t>
            </w:r>
          </w:p>
        </w:tc>
      </w:tr>
      <w:tr w14:paraId="3E62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3" w:hRule="atLeast"/>
        </w:trPr>
        <w:tc>
          <w:tcPr>
            <w:tcW w:w="2978" w:type="dxa"/>
            <w:gridSpan w:val="2"/>
            <w:vMerge w:val="restart"/>
            <w:vAlign w:val="center"/>
          </w:tcPr>
          <w:p w14:paraId="257613AD">
            <w:pPr>
              <w:spacing w:before="93" w:beforeLines="30" w:after="93" w:afterLines="30"/>
              <w:jc w:val="left"/>
              <w:rPr>
                <w:rFonts w:ascii="Times New Roman" w:hAnsi="Times New Roman" w:cs="Times New Roman"/>
                <w:sz w:val="21"/>
                <w:szCs w:val="21"/>
              </w:rPr>
            </w:pPr>
            <w:r>
              <w:rPr>
                <w:rFonts w:ascii="Times New Roman" w:hAnsi="Times New Roman" w:cs="Times New Roman"/>
                <w:color w:val="000000"/>
              </w:rPr>
              <w:t>课程目标1：</w:t>
            </w:r>
            <w:r>
              <w:rPr>
                <w:rFonts w:ascii="Times New Roman" w:hAnsi="Times New Roman" w:cs="Times New Roman"/>
                <w:color w:val="000000"/>
                <w:sz w:val="18"/>
                <w:szCs w:val="18"/>
              </w:rPr>
              <w:t>通过课程设计提高学生的理论联系实际、查阅资料、自学和独立分析与解决复杂工程问题的能力</w:t>
            </w:r>
            <w:r>
              <w:rPr>
                <w:rFonts w:hint="eastAsia" w:ascii="Times New Roman" w:hAnsi="Times New Roman" w:cs="Times New Roman"/>
                <w:sz w:val="21"/>
                <w:szCs w:val="21"/>
              </w:rPr>
              <w:t>（</w:t>
            </w:r>
            <w:r>
              <w:rPr>
                <w:rFonts w:ascii="Times New Roman" w:hAnsi="Times New Roman" w:cs="Times New Roman"/>
                <w:sz w:val="21"/>
                <w:szCs w:val="21"/>
              </w:rPr>
              <w:t>3</w:t>
            </w:r>
            <w:r>
              <w:rPr>
                <w:rFonts w:hint="eastAsia" w:ascii="Times New Roman" w:hAnsi="Times New Roman" w:cs="Times New Roman"/>
                <w:sz w:val="21"/>
                <w:szCs w:val="21"/>
              </w:rPr>
              <w:t>0分）</w:t>
            </w:r>
          </w:p>
        </w:tc>
        <w:tc>
          <w:tcPr>
            <w:tcW w:w="5514" w:type="dxa"/>
            <w:vAlign w:val="center"/>
          </w:tcPr>
          <w:p w14:paraId="3DDD97E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r>
              <w:rPr>
                <w:rFonts w:hint="eastAsia" w:ascii="Times New Roman" w:hAnsi="Times New Roman" w:cs="Times New Roman"/>
                <w:sz w:val="21"/>
                <w:szCs w:val="21"/>
              </w:rPr>
              <w:t>。</w:t>
            </w:r>
          </w:p>
        </w:tc>
        <w:tc>
          <w:tcPr>
            <w:tcW w:w="1316" w:type="dxa"/>
            <w:vMerge w:val="restart"/>
            <w:vAlign w:val="center"/>
          </w:tcPr>
          <w:p w14:paraId="7918903D">
            <w:pPr>
              <w:spacing w:before="62" w:beforeLines="20" w:after="62" w:afterLines="20"/>
              <w:jc w:val="center"/>
              <w:rPr>
                <w:b/>
                <w:bCs/>
              </w:rPr>
            </w:pPr>
          </w:p>
        </w:tc>
      </w:tr>
      <w:tr w14:paraId="6E0A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6383F52E">
            <w:pPr>
              <w:spacing w:before="93" w:beforeLines="30" w:after="93" w:afterLines="30"/>
              <w:jc w:val="left"/>
              <w:rPr>
                <w:rFonts w:ascii="Times New Roman" w:hAnsi="Times New Roman" w:cs="Times New Roman"/>
                <w:sz w:val="21"/>
                <w:szCs w:val="21"/>
              </w:rPr>
            </w:pPr>
          </w:p>
        </w:tc>
        <w:tc>
          <w:tcPr>
            <w:tcW w:w="5514" w:type="dxa"/>
            <w:vAlign w:val="center"/>
          </w:tcPr>
          <w:p w14:paraId="5861DABF">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2、能够给出数据结构和算法的设计描述，给出关键算法的流程图或伪代码，并给出各算法之间的结构关系描述</w:t>
            </w:r>
            <w:r>
              <w:rPr>
                <w:rFonts w:hint="eastAsia" w:ascii="Times New Roman" w:hAnsi="Times New Roman" w:cs="Times New Roman"/>
                <w:sz w:val="21"/>
                <w:szCs w:val="21"/>
              </w:rPr>
              <w:t>。</w:t>
            </w:r>
            <w:r>
              <w:rPr>
                <w:rFonts w:ascii="Times New Roman" w:hAnsi="Times New Roman" w:cs="Times New Roman"/>
                <w:sz w:val="21"/>
                <w:szCs w:val="21"/>
              </w:rPr>
              <w:t xml:space="preserve"> </w:t>
            </w:r>
          </w:p>
        </w:tc>
        <w:tc>
          <w:tcPr>
            <w:tcW w:w="1316" w:type="dxa"/>
            <w:vMerge w:val="continue"/>
            <w:vAlign w:val="center"/>
          </w:tcPr>
          <w:p w14:paraId="3D11C6F3">
            <w:pPr>
              <w:spacing w:before="62" w:beforeLines="20" w:after="62" w:afterLines="20"/>
              <w:jc w:val="center"/>
              <w:rPr>
                <w:b/>
                <w:bCs/>
              </w:rPr>
            </w:pPr>
          </w:p>
        </w:tc>
      </w:tr>
      <w:tr w14:paraId="0DF5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trPr>
        <w:tc>
          <w:tcPr>
            <w:tcW w:w="2978" w:type="dxa"/>
            <w:gridSpan w:val="2"/>
            <w:vMerge w:val="continue"/>
            <w:vAlign w:val="center"/>
          </w:tcPr>
          <w:p w14:paraId="1828DAF6">
            <w:pPr>
              <w:spacing w:before="93" w:beforeLines="30" w:after="93" w:afterLines="30"/>
              <w:jc w:val="left"/>
              <w:rPr>
                <w:rFonts w:ascii="Times New Roman" w:hAnsi="Times New Roman" w:cs="Times New Roman"/>
                <w:sz w:val="21"/>
                <w:szCs w:val="21"/>
              </w:rPr>
            </w:pPr>
          </w:p>
        </w:tc>
        <w:tc>
          <w:tcPr>
            <w:tcW w:w="5514" w:type="dxa"/>
            <w:vAlign w:val="center"/>
          </w:tcPr>
          <w:p w14:paraId="7264CED4">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3、具备一定的人机交互设计意识，人机交互设计</w:t>
            </w:r>
            <w:r>
              <w:rPr>
                <w:rFonts w:ascii="Times New Roman" w:hAnsi="Times New Roman" w:cs="Times New Roman"/>
                <w:bCs/>
                <w:sz w:val="21"/>
                <w:szCs w:val="21"/>
              </w:rPr>
              <w:t>合理、友好，操作简便</w:t>
            </w:r>
            <w:r>
              <w:rPr>
                <w:rFonts w:hint="eastAsia" w:ascii="Times New Roman" w:hAnsi="Times New Roman" w:cs="Times New Roman"/>
                <w:bCs/>
                <w:sz w:val="21"/>
                <w:szCs w:val="21"/>
              </w:rPr>
              <w:t>。</w:t>
            </w:r>
          </w:p>
        </w:tc>
        <w:tc>
          <w:tcPr>
            <w:tcW w:w="1316" w:type="dxa"/>
            <w:vMerge w:val="continue"/>
            <w:vAlign w:val="center"/>
          </w:tcPr>
          <w:p w14:paraId="205F9573">
            <w:pPr>
              <w:spacing w:before="62" w:beforeLines="20" w:after="62" w:afterLines="20"/>
              <w:jc w:val="center"/>
              <w:rPr>
                <w:b/>
                <w:bCs/>
              </w:rPr>
            </w:pPr>
          </w:p>
        </w:tc>
      </w:tr>
      <w:tr w14:paraId="0A6B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restart"/>
            <w:vAlign w:val="center"/>
          </w:tcPr>
          <w:p w14:paraId="121DAA02">
            <w:pPr>
              <w:spacing w:before="93" w:beforeLines="30" w:after="93" w:afterLines="30"/>
              <w:rPr>
                <w:rFonts w:ascii="Times New Roman" w:hAnsi="Times New Roman" w:cs="Times New Roman"/>
              </w:rPr>
            </w:pPr>
            <w:r>
              <w:rPr>
                <w:rFonts w:ascii="Times New Roman" w:hAnsi="Times New Roman" w:cs="Times New Roman"/>
                <w:color w:val="000000"/>
                <w:szCs w:val="21"/>
              </w:rPr>
              <w:t>课程目标2：</w:t>
            </w:r>
            <w:r>
              <w:rPr>
                <w:rFonts w:hint="eastAsia"/>
                <w:color w:val="000000"/>
                <w:spacing w:val="-4"/>
                <w:sz w:val="18"/>
                <w:szCs w:val="18"/>
              </w:rPr>
              <w:t>要求</w:t>
            </w:r>
            <w:r>
              <w:rPr>
                <w:color w:val="000000"/>
                <w:spacing w:val="-4"/>
                <w:sz w:val="18"/>
                <w:szCs w:val="18"/>
              </w:rPr>
              <w:t>学生</w:t>
            </w:r>
            <w:r>
              <w:rPr>
                <w:rFonts w:hint="eastAsia"/>
                <w:color w:val="000000"/>
                <w:spacing w:val="-4"/>
                <w:sz w:val="18"/>
                <w:szCs w:val="18"/>
              </w:rPr>
              <w:t>在</w:t>
            </w:r>
            <w:r>
              <w:rPr>
                <w:rFonts w:hint="eastAsia" w:hAnsi="等线"/>
                <w:color w:val="000000"/>
                <w:spacing w:val="-4"/>
                <w:sz w:val="18"/>
                <w:szCs w:val="18"/>
              </w:rPr>
              <w:t>深入理解</w:t>
            </w:r>
            <w:r>
              <w:rPr>
                <w:rFonts w:hint="eastAsia"/>
                <w:color w:val="000000"/>
                <w:spacing w:val="-4"/>
                <w:sz w:val="18"/>
                <w:szCs w:val="18"/>
              </w:rPr>
              <w:t>软件系统</w:t>
            </w:r>
            <w:r>
              <w:rPr>
                <w:rFonts w:hint="eastAsia" w:hAnsi="等线"/>
                <w:color w:val="000000"/>
                <w:spacing w:val="-4"/>
                <w:sz w:val="18"/>
                <w:szCs w:val="18"/>
              </w:rPr>
              <w:t>的相关知识</w:t>
            </w:r>
            <w:r>
              <w:rPr>
                <w:color w:val="000000"/>
                <w:spacing w:val="-4"/>
                <w:sz w:val="18"/>
                <w:szCs w:val="18"/>
              </w:rPr>
              <w:t>基础上，综合运用所学的方法和理论自主地完成课程设计。</w:t>
            </w:r>
            <w:r>
              <w:rPr>
                <w:rFonts w:hint="eastAsia"/>
                <w:spacing w:val="-4"/>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spacing w:val="-4"/>
              </w:rPr>
              <w:t>（</w:t>
            </w:r>
            <w:r>
              <w:rPr>
                <w:rFonts w:ascii="Times New Roman" w:hAnsi="Times New Roman" w:cs="Times New Roman"/>
                <w:spacing w:val="-4"/>
              </w:rPr>
              <w:t>3</w:t>
            </w:r>
            <w:r>
              <w:rPr>
                <w:rFonts w:hint="eastAsia" w:ascii="Times New Roman" w:hAnsi="Times New Roman" w:cs="Times New Roman"/>
                <w:spacing w:val="-4"/>
              </w:rPr>
              <w:t>0分）</w:t>
            </w:r>
          </w:p>
        </w:tc>
        <w:tc>
          <w:tcPr>
            <w:tcW w:w="5514" w:type="dxa"/>
            <w:vAlign w:val="center"/>
          </w:tcPr>
          <w:p w14:paraId="170FB7DD">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4、能够结合计算机软硬件资源，合理选用算法、数据结构、数据存储方式等技术手段，对求解的工程问题进行有效建模和求解</w:t>
            </w:r>
            <w:r>
              <w:rPr>
                <w:rFonts w:hint="eastAsia" w:ascii="Times New Roman" w:hAnsi="Times New Roman" w:cs="Times New Roman"/>
                <w:sz w:val="21"/>
                <w:szCs w:val="21"/>
              </w:rPr>
              <w:t>。</w:t>
            </w:r>
          </w:p>
        </w:tc>
        <w:tc>
          <w:tcPr>
            <w:tcW w:w="1316" w:type="dxa"/>
            <w:vMerge w:val="restart"/>
            <w:vAlign w:val="center"/>
          </w:tcPr>
          <w:p w14:paraId="510D6869">
            <w:pPr>
              <w:spacing w:before="62" w:beforeLines="20" w:after="62" w:afterLines="20"/>
              <w:jc w:val="center"/>
              <w:rPr>
                <w:b/>
                <w:bCs/>
              </w:rPr>
            </w:pPr>
          </w:p>
        </w:tc>
      </w:tr>
      <w:tr w14:paraId="35FB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52ED6AA2">
            <w:pPr>
              <w:spacing w:before="93" w:beforeLines="30" w:after="93" w:afterLines="30"/>
              <w:jc w:val="left"/>
              <w:rPr>
                <w:rFonts w:ascii="Times New Roman" w:hAnsi="Times New Roman" w:cs="Times New Roman"/>
              </w:rPr>
            </w:pPr>
          </w:p>
        </w:tc>
        <w:tc>
          <w:tcPr>
            <w:tcW w:w="5514" w:type="dxa"/>
            <w:vAlign w:val="center"/>
          </w:tcPr>
          <w:p w14:paraId="7920AE3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r>
              <w:rPr>
                <w:rFonts w:hint="eastAsia" w:ascii="Times New Roman" w:hAnsi="Times New Roman" w:cs="Times New Roman"/>
                <w:sz w:val="21"/>
                <w:szCs w:val="21"/>
              </w:rPr>
              <w:t>。</w:t>
            </w:r>
            <w:r>
              <w:rPr>
                <w:rFonts w:ascii="Times New Roman" w:hAnsi="Times New Roman" w:cs="Times New Roman"/>
                <w:sz w:val="21"/>
                <w:szCs w:val="21"/>
              </w:rPr>
              <w:t>掌握调试方法与工具，对程序开发过程中出现的问题进行分析、跟踪与调试，并能够进行充分测试</w:t>
            </w:r>
            <w:r>
              <w:rPr>
                <w:rFonts w:hint="eastAsia" w:ascii="Times New Roman" w:hAnsi="Times New Roman" w:cs="Times New Roman"/>
                <w:sz w:val="21"/>
                <w:szCs w:val="21"/>
              </w:rPr>
              <w:t>。</w:t>
            </w:r>
          </w:p>
        </w:tc>
        <w:tc>
          <w:tcPr>
            <w:tcW w:w="1316" w:type="dxa"/>
            <w:vMerge w:val="continue"/>
            <w:vAlign w:val="center"/>
          </w:tcPr>
          <w:p w14:paraId="75C8DE0E">
            <w:pPr>
              <w:spacing w:before="62" w:beforeLines="20" w:after="62" w:afterLines="20"/>
              <w:jc w:val="center"/>
              <w:rPr>
                <w:b/>
                <w:bCs/>
              </w:rPr>
            </w:pPr>
          </w:p>
        </w:tc>
      </w:tr>
      <w:tr w14:paraId="23EF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2" w:hRule="atLeast"/>
        </w:trPr>
        <w:tc>
          <w:tcPr>
            <w:tcW w:w="2978" w:type="dxa"/>
            <w:gridSpan w:val="2"/>
            <w:vMerge w:val="continue"/>
            <w:vAlign w:val="center"/>
          </w:tcPr>
          <w:p w14:paraId="12B5F05C">
            <w:pPr>
              <w:spacing w:before="93" w:beforeLines="30" w:after="93" w:afterLines="30"/>
              <w:jc w:val="left"/>
              <w:rPr>
                <w:rFonts w:ascii="Times New Roman" w:hAnsi="Times New Roman" w:cs="Times New Roman"/>
              </w:rPr>
            </w:pPr>
          </w:p>
        </w:tc>
        <w:tc>
          <w:tcPr>
            <w:tcW w:w="5514" w:type="dxa"/>
            <w:vAlign w:val="center"/>
          </w:tcPr>
          <w:p w14:paraId="68D2C6E5">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79253859">
            <w:pPr>
              <w:spacing w:before="62" w:beforeLines="20" w:after="62" w:afterLines="20"/>
              <w:jc w:val="center"/>
              <w:rPr>
                <w:b/>
                <w:bCs/>
              </w:rPr>
            </w:pPr>
          </w:p>
        </w:tc>
      </w:tr>
      <w:tr w14:paraId="057F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1" w:hRule="atLeast"/>
        </w:trPr>
        <w:tc>
          <w:tcPr>
            <w:tcW w:w="2978" w:type="dxa"/>
            <w:gridSpan w:val="2"/>
            <w:vMerge w:val="restart"/>
            <w:vAlign w:val="center"/>
          </w:tcPr>
          <w:p w14:paraId="3B610274">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r>
              <w:rPr>
                <w:rFonts w:hint="eastAsia" w:hAnsi="等线"/>
                <w:spacing w:val="-4"/>
                <w:kern w:val="0"/>
                <w:sz w:val="18"/>
                <w:szCs w:val="18"/>
              </w:rPr>
              <w:t>要求</w:t>
            </w:r>
            <w:r>
              <w:rPr>
                <w:rFonts w:hAnsi="等线"/>
                <w:spacing w:val="-4"/>
                <w:kern w:val="0"/>
                <w:sz w:val="18"/>
                <w:szCs w:val="18"/>
              </w:rPr>
              <w:t>学生</w:t>
            </w:r>
            <w:r>
              <w:rPr>
                <w:rFonts w:hint="eastAsia" w:hAnsi="等线"/>
                <w:spacing w:val="-4"/>
                <w:kern w:val="0"/>
                <w:sz w:val="18"/>
                <w:szCs w:val="18"/>
              </w:rPr>
              <w:t>完成一次项目设计与开发的全过程，</w:t>
            </w:r>
            <w:r>
              <w:rPr>
                <w:rFonts w:hint="eastAsia"/>
                <w:spacing w:val="-4"/>
                <w:sz w:val="18"/>
                <w:szCs w:val="18"/>
              </w:rPr>
              <w:t>掌握软件需求分析、软件设计、软件测试和团队</w:t>
            </w:r>
            <w:r>
              <w:rPr>
                <w:spacing w:val="-4"/>
                <w:sz w:val="18"/>
                <w:szCs w:val="18"/>
              </w:rPr>
              <w:t>协同开发</w:t>
            </w:r>
            <w:r>
              <w:rPr>
                <w:rFonts w:hint="eastAsia"/>
                <w:spacing w:val="-4"/>
                <w:sz w:val="18"/>
                <w:szCs w:val="18"/>
              </w:rPr>
              <w:t>的基本理论和技术实践。</w:t>
            </w:r>
            <w:r>
              <w:rPr>
                <w:rFonts w:hint="eastAsia" w:hAnsi="等线"/>
                <w:spacing w:val="-4"/>
                <w:kern w:val="0"/>
                <w:sz w:val="18"/>
                <w:szCs w:val="18"/>
              </w:rPr>
              <w:t>应用工程项目管理原理和经济决策方法划分和管理课题任务，</w:t>
            </w:r>
            <w:r>
              <w:rPr>
                <w:rFonts w:hint="eastAsia"/>
                <w:spacing w:val="-4"/>
                <w:sz w:val="18"/>
                <w:szCs w:val="18"/>
              </w:rPr>
              <w:t>培养项目组织管理能力</w:t>
            </w:r>
            <w:r>
              <w:rPr>
                <w:rFonts w:hint="eastAsia"/>
                <w:sz w:val="18"/>
                <w:szCs w:val="18"/>
              </w:rPr>
              <w:t>。</w:t>
            </w:r>
            <w:r>
              <w:rPr>
                <w:rFonts w:hint="eastAsia" w:ascii="Times New Roman" w:hAnsi="Times New Roman" w:cs="Times New Roman"/>
              </w:rPr>
              <w:t>（20分）</w:t>
            </w:r>
          </w:p>
        </w:tc>
        <w:tc>
          <w:tcPr>
            <w:tcW w:w="5514" w:type="dxa"/>
            <w:vAlign w:val="center"/>
          </w:tcPr>
          <w:p w14:paraId="13A7ED84">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w:t>
            </w:r>
            <w:r>
              <w:rPr>
                <w:rFonts w:hint="eastAsia" w:ascii="Times New Roman" w:hAnsi="Times New Roman" w:cs="Times New Roman"/>
                <w:sz w:val="21"/>
                <w:szCs w:val="21"/>
              </w:rPr>
              <w:t>、能够正确理解课题目标任务，并做好需求分析、软件设计、软件测试等关键环节的实践工作，具备团队协调、协作和组织管理能力。</w:t>
            </w:r>
          </w:p>
        </w:tc>
        <w:tc>
          <w:tcPr>
            <w:tcW w:w="1316" w:type="dxa"/>
            <w:vMerge w:val="restart"/>
            <w:vAlign w:val="center"/>
          </w:tcPr>
          <w:p w14:paraId="2C4F9E79">
            <w:pPr>
              <w:spacing w:before="62" w:beforeLines="20" w:after="62" w:afterLines="20"/>
              <w:jc w:val="center"/>
              <w:rPr>
                <w:b/>
                <w:bCs/>
              </w:rPr>
            </w:pPr>
          </w:p>
        </w:tc>
      </w:tr>
      <w:tr w14:paraId="0A59E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7DD2BA96">
            <w:pPr>
              <w:spacing w:before="93" w:beforeLines="30" w:after="93" w:afterLines="30"/>
              <w:jc w:val="left"/>
              <w:rPr>
                <w:rFonts w:ascii="Times New Roman" w:hAnsi="Times New Roman" w:cs="Times New Roman"/>
              </w:rPr>
            </w:pPr>
          </w:p>
        </w:tc>
        <w:tc>
          <w:tcPr>
            <w:tcW w:w="5514" w:type="dxa"/>
            <w:vAlign w:val="center"/>
          </w:tcPr>
          <w:p w14:paraId="184D0CEC">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r>
              <w:rPr>
                <w:rFonts w:hint="eastAsia" w:ascii="Times New Roman" w:hAnsi="Times New Roman" w:cs="Times New Roman"/>
                <w:sz w:val="21"/>
                <w:szCs w:val="21"/>
              </w:rPr>
              <w:t>。</w:t>
            </w:r>
          </w:p>
        </w:tc>
        <w:tc>
          <w:tcPr>
            <w:tcW w:w="1316" w:type="dxa"/>
            <w:vMerge w:val="continue"/>
            <w:vAlign w:val="center"/>
          </w:tcPr>
          <w:p w14:paraId="5EF57A19">
            <w:pPr>
              <w:spacing w:before="62" w:beforeLines="20" w:after="62" w:afterLines="20"/>
              <w:jc w:val="center"/>
              <w:rPr>
                <w:b/>
                <w:bCs/>
              </w:rPr>
            </w:pPr>
          </w:p>
        </w:tc>
      </w:tr>
      <w:tr w14:paraId="182E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restart"/>
            <w:vAlign w:val="center"/>
          </w:tcPr>
          <w:p w14:paraId="36C14F78">
            <w:pPr>
              <w:spacing w:before="93" w:beforeLines="30" w:after="93" w:afterLines="30"/>
              <w:jc w:val="left"/>
              <w:rPr>
                <w:rFonts w:ascii="Times New Roman" w:hAnsi="Times New Roman" w:cs="Times New Roman"/>
              </w:rPr>
            </w:pPr>
            <w:r>
              <w:rPr>
                <w:rFonts w:hint="eastAsia" w:ascii="Times New Roman" w:hAnsi="Times New Roman" w:cs="Times New Roman"/>
              </w:rPr>
              <w:t>课程目标4：</w:t>
            </w:r>
            <w:r>
              <w:rPr>
                <w:rFonts w:hint="eastAsia"/>
                <w:sz w:val="18"/>
                <w:szCs w:val="18"/>
              </w:rPr>
              <w:t>要求学生能够通过参与项目设计与开发的全过程，建立解决实际问题需要不断</w:t>
            </w:r>
            <w:r>
              <w:rPr>
                <w:sz w:val="18"/>
                <w:szCs w:val="18"/>
              </w:rPr>
              <w:t>探索和学习</w:t>
            </w:r>
            <w:r>
              <w:rPr>
                <w:rFonts w:hint="eastAsia"/>
                <w:sz w:val="18"/>
                <w:szCs w:val="18"/>
              </w:rPr>
              <w:t>的主动性意识</w:t>
            </w:r>
            <w:r>
              <w:rPr>
                <w:sz w:val="18"/>
                <w:szCs w:val="18"/>
              </w:rPr>
              <w:t>，</w:t>
            </w:r>
            <w:r>
              <w:rPr>
                <w:rFonts w:hint="eastAsia"/>
                <w:sz w:val="18"/>
                <w:szCs w:val="18"/>
              </w:rPr>
              <w:t>能够结合实际问题的特征需求，通过自主学习、终生学习，</w:t>
            </w:r>
            <w:r>
              <w:rPr>
                <w:sz w:val="18"/>
                <w:szCs w:val="18"/>
              </w:rPr>
              <w:t>拓展</w:t>
            </w:r>
            <w:r>
              <w:rPr>
                <w:rFonts w:hint="eastAsia"/>
                <w:sz w:val="18"/>
                <w:szCs w:val="18"/>
              </w:rPr>
              <w:t>自身的</w:t>
            </w:r>
            <w:r>
              <w:rPr>
                <w:sz w:val="18"/>
                <w:szCs w:val="18"/>
              </w:rPr>
              <w:t>知识和能力。</w:t>
            </w:r>
            <w:r>
              <w:rPr>
                <w:rFonts w:hint="eastAsia" w:ascii="Times New Roman" w:hAnsi="Times New Roman" w:cs="Times New Roman"/>
              </w:rPr>
              <w:t>（20分）</w:t>
            </w:r>
          </w:p>
        </w:tc>
        <w:tc>
          <w:tcPr>
            <w:tcW w:w="5514" w:type="dxa"/>
            <w:vAlign w:val="center"/>
          </w:tcPr>
          <w:p w14:paraId="31127088">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9、具备一定自学能力与探索创新意识，能够充分利用教科书及其资源（如网络等）自学新知识与新技能</w:t>
            </w:r>
            <w:r>
              <w:rPr>
                <w:rFonts w:hint="eastAsia" w:ascii="Times New Roman" w:hAnsi="Times New Roman" w:cs="Times New Roman"/>
                <w:sz w:val="21"/>
                <w:szCs w:val="21"/>
              </w:rPr>
              <w:t>，以解决实际问题。</w:t>
            </w:r>
          </w:p>
        </w:tc>
        <w:tc>
          <w:tcPr>
            <w:tcW w:w="1316" w:type="dxa"/>
            <w:vMerge w:val="restart"/>
            <w:vAlign w:val="center"/>
          </w:tcPr>
          <w:p w14:paraId="2B73E541">
            <w:pPr>
              <w:spacing w:before="62" w:beforeLines="20" w:after="62" w:afterLines="20"/>
              <w:jc w:val="center"/>
              <w:rPr>
                <w:b/>
                <w:bCs/>
              </w:rPr>
            </w:pPr>
          </w:p>
        </w:tc>
      </w:tr>
      <w:tr w14:paraId="7C4C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5185AD16">
            <w:pPr>
              <w:spacing w:before="93" w:beforeLines="30" w:after="93" w:afterLines="30"/>
              <w:jc w:val="left"/>
              <w:rPr>
                <w:rFonts w:ascii="Times New Roman" w:hAnsi="Times New Roman" w:cs="Times New Roman"/>
              </w:rPr>
            </w:pPr>
          </w:p>
        </w:tc>
        <w:tc>
          <w:tcPr>
            <w:tcW w:w="5514" w:type="dxa"/>
            <w:vAlign w:val="center"/>
          </w:tcPr>
          <w:p w14:paraId="104DFB9D">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10、能够正确、完整地回答指导教师关于课题</w:t>
            </w:r>
            <w:r>
              <w:rPr>
                <w:rFonts w:hint="eastAsia" w:ascii="Times New Roman" w:hAnsi="Times New Roman" w:cs="Times New Roman"/>
                <w:sz w:val="21"/>
                <w:szCs w:val="21"/>
              </w:rPr>
              <w:t>开发全过程</w:t>
            </w:r>
            <w:r>
              <w:rPr>
                <w:rFonts w:ascii="Times New Roman" w:hAnsi="Times New Roman" w:cs="Times New Roman"/>
                <w:sz w:val="21"/>
                <w:szCs w:val="21"/>
              </w:rPr>
              <w:t>的问询，</w:t>
            </w:r>
            <w:r>
              <w:rPr>
                <w:rFonts w:hint="eastAsia" w:ascii="Times New Roman" w:hAnsi="Times New Roman" w:cs="Times New Roman"/>
                <w:sz w:val="21"/>
                <w:szCs w:val="21"/>
              </w:rPr>
              <w:t>能够掌握解决具体问题的一般性规律和方法</w:t>
            </w:r>
            <w:r>
              <w:rPr>
                <w:rFonts w:ascii="Times New Roman" w:hAnsi="Times New Roman" w:cs="Times New Roman"/>
                <w:sz w:val="21"/>
                <w:szCs w:val="21"/>
              </w:rPr>
              <w:t>，</w:t>
            </w:r>
            <w:r>
              <w:rPr>
                <w:rFonts w:hint="eastAsia" w:ascii="Times New Roman" w:hAnsi="Times New Roman" w:cs="Times New Roman"/>
                <w:sz w:val="21"/>
                <w:szCs w:val="21"/>
              </w:rPr>
              <w:t>具备自主学习、终生学习的意识。</w:t>
            </w:r>
          </w:p>
        </w:tc>
        <w:tc>
          <w:tcPr>
            <w:tcW w:w="1316" w:type="dxa"/>
            <w:vMerge w:val="continue"/>
            <w:vAlign w:val="center"/>
          </w:tcPr>
          <w:p w14:paraId="1ABA689D">
            <w:pPr>
              <w:spacing w:before="62" w:beforeLines="20" w:after="62" w:afterLines="20"/>
              <w:jc w:val="center"/>
              <w:rPr>
                <w:b/>
                <w:bCs/>
              </w:rPr>
            </w:pPr>
          </w:p>
        </w:tc>
      </w:tr>
      <w:tr w14:paraId="5D50E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8" w:hRule="atLeast"/>
        </w:trPr>
        <w:tc>
          <w:tcPr>
            <w:tcW w:w="8492" w:type="dxa"/>
            <w:gridSpan w:val="3"/>
            <w:vAlign w:val="center"/>
          </w:tcPr>
          <w:p w14:paraId="0E87250B">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71A4E0CC">
            <w:pPr>
              <w:spacing w:before="62" w:beforeLines="20" w:after="62" w:afterLines="20"/>
              <w:jc w:val="center"/>
              <w:rPr>
                <w:b/>
                <w:bCs/>
              </w:rPr>
            </w:pPr>
          </w:p>
        </w:tc>
      </w:tr>
      <w:tr w14:paraId="502E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19" w:hRule="atLeast"/>
        </w:trPr>
        <w:tc>
          <w:tcPr>
            <w:tcW w:w="9808" w:type="dxa"/>
            <w:gridSpan w:val="4"/>
            <w:vAlign w:val="center"/>
          </w:tcPr>
          <w:p w14:paraId="04F11E4D">
            <w:pPr>
              <w:jc w:val="center"/>
              <w:rPr>
                <w:b/>
                <w:bCs/>
              </w:rPr>
            </w:pPr>
            <w:r>
              <w:rPr>
                <w:rFonts w:hint="eastAsia"/>
                <w:b/>
                <w:bCs/>
              </w:rPr>
              <w:t xml:space="preserve"> </w:t>
            </w:r>
            <w:r>
              <w:rPr>
                <w:b/>
                <w:bCs/>
              </w:rPr>
              <w:t xml:space="preserve">       </w:t>
            </w:r>
          </w:p>
          <w:p w14:paraId="31241464">
            <w:pPr>
              <w:jc w:val="center"/>
              <w:rPr>
                <w:b/>
                <w:bCs/>
              </w:rPr>
            </w:pPr>
            <w:r>
              <w:rPr>
                <w:rFonts w:hint="eastAsia"/>
                <w:b/>
                <w:bCs/>
              </w:rPr>
              <w:t>指导教师：</w:t>
            </w:r>
            <w:r>
              <w:rPr>
                <w:rFonts w:hint="eastAsia"/>
                <w:b/>
                <w:bCs/>
                <w:u w:val="single"/>
              </w:rPr>
              <w:t xml:space="preserve">   陈兴国      </w:t>
            </w:r>
            <w:r>
              <w:rPr>
                <w:rFonts w:hint="eastAsia"/>
                <w:b/>
                <w:bCs/>
              </w:rPr>
              <w:t xml:space="preserve">                </w:t>
            </w:r>
            <w:r>
              <w:rPr>
                <w:b/>
                <w:bCs/>
              </w:rPr>
              <w:t xml:space="preserve">      </w:t>
            </w:r>
            <w:r>
              <w:rPr>
                <w:rFonts w:hint="eastAsia"/>
                <w:b/>
                <w:bCs/>
                <w:u w:val="single"/>
              </w:rPr>
              <w:t xml:space="preserve">  </w:t>
            </w:r>
            <w:r>
              <w:rPr>
                <w:b/>
                <w:bCs/>
                <w:u w:val="single"/>
              </w:rPr>
              <w:t>2026</w:t>
            </w:r>
            <w:r>
              <w:rPr>
                <w:rFonts w:hint="eastAsia"/>
                <w:b/>
                <w:bCs/>
                <w:u w:val="single"/>
              </w:rPr>
              <w:t xml:space="preserve">    </w:t>
            </w:r>
            <w:r>
              <w:rPr>
                <w:rFonts w:hint="eastAsia"/>
                <w:b/>
                <w:bCs/>
              </w:rPr>
              <w:t>年</w:t>
            </w:r>
            <w:r>
              <w:rPr>
                <w:rFonts w:hint="eastAsia"/>
                <w:b/>
                <w:bCs/>
                <w:u w:val="single"/>
              </w:rPr>
              <w:t xml:space="preserve"> </w:t>
            </w:r>
            <w:r>
              <w:rPr>
                <w:b/>
                <w:bCs/>
                <w:u w:val="single"/>
              </w:rPr>
              <w:t>10</w:t>
            </w:r>
            <w:r>
              <w:rPr>
                <w:rFonts w:hint="eastAsia"/>
                <w:b/>
                <w:bCs/>
                <w:u w:val="single"/>
              </w:rPr>
              <w:t xml:space="preserve">   </w:t>
            </w:r>
            <w:r>
              <w:rPr>
                <w:rFonts w:hint="eastAsia"/>
                <w:b/>
                <w:bCs/>
              </w:rPr>
              <w:t>月</w:t>
            </w:r>
            <w:r>
              <w:rPr>
                <w:rFonts w:hint="eastAsia"/>
                <w:b/>
                <w:bCs/>
                <w:u w:val="single"/>
              </w:rPr>
              <w:t xml:space="preserve">  </w:t>
            </w:r>
            <w:r>
              <w:rPr>
                <w:b/>
                <w:bCs/>
                <w:u w:val="single"/>
              </w:rPr>
              <w:t>25</w:t>
            </w:r>
            <w:r>
              <w:rPr>
                <w:rFonts w:hint="eastAsia"/>
                <w:b/>
                <w:bCs/>
                <w:u w:val="single"/>
              </w:rPr>
              <w:t xml:space="preserve">  </w:t>
            </w:r>
            <w:r>
              <w:rPr>
                <w:rFonts w:hint="eastAsia"/>
                <w:b/>
                <w:bCs/>
              </w:rPr>
              <w:t>日</w:t>
            </w:r>
          </w:p>
        </w:tc>
      </w:tr>
      <w:tr w14:paraId="04AF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60" w:type="dxa"/>
            <w:vAlign w:val="center"/>
          </w:tcPr>
          <w:p w14:paraId="35E42525">
            <w:pPr>
              <w:jc w:val="center"/>
              <w:rPr>
                <w:b/>
                <w:bCs/>
              </w:rPr>
            </w:pPr>
            <w:r>
              <w:rPr>
                <w:rFonts w:hint="eastAsia"/>
                <w:b/>
                <w:bCs/>
              </w:rPr>
              <w:t>备注</w:t>
            </w:r>
          </w:p>
        </w:tc>
        <w:tc>
          <w:tcPr>
            <w:tcW w:w="8248" w:type="dxa"/>
            <w:gridSpan w:val="3"/>
            <w:vAlign w:val="center"/>
          </w:tcPr>
          <w:p w14:paraId="0C71CC18">
            <w:pPr>
              <w:spacing w:before="156" w:beforeLines="50"/>
              <w:jc w:val="left"/>
              <w:rPr>
                <w:b/>
                <w:bCs/>
              </w:rPr>
            </w:pPr>
          </w:p>
        </w:tc>
      </w:tr>
    </w:tbl>
    <w:p w14:paraId="20DEDD2D">
      <w:pPr>
        <w:keepNext/>
        <w:pageBreakBefore w:val="0"/>
        <w:widowControl/>
        <w:snapToGrid w:val="0"/>
        <w:spacing w:before="0" w:after="0" w:line="360" w:lineRule="auto"/>
        <w:ind w:left="0" w:right="0" w:firstLine="0"/>
        <w:jc w:val="center"/>
      </w:pPr>
      <w:r>
        <w:rPr>
          <w:rFonts w:ascii="Times New Roman" w:hAnsi="Times New Roman" w:eastAsia="宋体"/>
          <w:b/>
          <w:color w:val="000000"/>
          <w:sz w:val="32"/>
        </w:rPr>
        <w:t>中国象棋游戏及其AI算法</w:t>
      </w:r>
    </w:p>
    <w:p w14:paraId="40A69FB5">
      <w:pPr>
        <w:keepNext/>
        <w:pageBreakBefore w:val="0"/>
        <w:widowControl/>
        <w:snapToGrid w:val="0"/>
        <w:spacing w:before="0" w:after="0" w:line="360" w:lineRule="auto"/>
        <w:ind w:left="0" w:right="0" w:firstLine="0"/>
        <w:jc w:val="both"/>
      </w:pPr>
      <w:r>
        <w:rPr>
          <w:rFonts w:ascii="Times New Roman" w:hAnsi="Times New Roman" w:eastAsia="宋体"/>
          <w:b/>
          <w:color w:val="000000"/>
          <w:sz w:val="28"/>
        </w:rPr>
        <w:t>一、课题内容和要求</w:t>
      </w:r>
    </w:p>
    <w:p w14:paraId="68F87F3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课题面向中国象棋对局和课程现场演示，建设一个在本机浏览器中运行的象棋系统。系统应显示完整棋盘、红黑棋子、合法落点和推荐走法，支持鼠标点击落子、人人对战、人机对战及AI对战，并能判断终局、累计结果、保存棋谱、回放和悔棋。AI通过独立WebSocket服务接收JSON局面并返回走法，对局服务核验后才执行。课程另要求AI能够战胜指导教师，这一项必须以真实对局结果验收。</w:t>
      </w:r>
    </w:p>
    <w:p w14:paraId="3D9CAD43">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1.1 个人责任范围与协作边界</w:t>
      </w:r>
    </w:p>
    <w:p w14:paraId="5587E0B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根据最新分工，我担任组长，负责界面交互、对局管理与系统测试。报告围绕前端渲染和操作反馈、对局状态、历史恢复、棋谱文件、结果统计及系统验证展开。组员孙鸣远负责总体设计、象棋规则与AI核心；本报告涉及这些模块时，只说明调用关系、输入输出和联调约束，不把第三方引擎或组员模块列为我的独立算法成果。</w:t>
      </w:r>
    </w:p>
    <w:p w14:paraId="6B4927E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我的责任范围对应前端board.ts、main.ts与style.css，以及后端game.py中的对局控制和server.py中的命令处理与任务调度。测试覆盖对局状态、接口联动和Windows交付。具体规则与搜索实现分别由engine和ai模块提供，皮卡鱼适配器属于组员的AI责任范围。</w:t>
      </w:r>
    </w:p>
    <w:p w14:paraId="4BD0EACC">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1.2 约束与验收依据</w:t>
      </w:r>
    </w:p>
    <w:p w14:paraId="5B0EA66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执行依据包括课程题目、当前SPEC.md及本次报告模板。系统采用单浏览器控制单对局，不增加登录、数据库或公网房间；会话保存在内存，长期保存依靠JSON棋谱。课程版和棋采用同局面同执方第三次出现以及连续120个半回合无吃子，不宣称实现完整长将长捉竞赛裁决。</w:t>
      </w:r>
    </w:p>
    <w:p w14:paraId="5E78CA9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报告采用真实源码、测试与已保存的界面验证记录。软件测试通过不等于已经战胜教师；第三方引擎能否用于课程实战还需教师认可。个人现场修改、独立讲解与教师实战属于最终验收环节，不能用自动化日志代替。</w:t>
      </w:r>
    </w:p>
    <w:p w14:paraId="56ED7807">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二、需求分析和总体设计</w:t>
      </w:r>
    </w:p>
    <w:p w14:paraId="161EC9CA">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2.1 本课题的主要功能</w:t>
      </w:r>
    </w:p>
    <w:p w14:paraId="6662CFD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从我的模块看，用户操作可归纳为建立对局、执行与辅助行棋、控制进程、管理历史、保存恢复及查看结果。交互设计的核心是让用户知道当前由谁行棋、哪些操作有效、操作完成后发生了什么。按钮和棋盘必须使用同一份权威状态，防止界面可点而服务端拒绝的情况被误认为软件卡顿。</w:t>
      </w:r>
    </w:p>
    <w:tbl>
      <w:tblPr>
        <w:tblStyle w:val="11"/>
        <w:tblW w:w="0" w:type="auto"/>
        <w:tblInd w:w="0" w:type="dxa"/>
        <w:tblLayout w:type="fixed"/>
        <w:tblCellMar>
          <w:top w:w="0" w:type="dxa"/>
          <w:left w:w="108" w:type="dxa"/>
          <w:bottom w:w="0" w:type="dxa"/>
          <w:right w:w="108" w:type="dxa"/>
        </w:tblCellMar>
      </w:tblPr>
      <w:tblGrid>
        <w:gridCol w:w="1440"/>
        <w:gridCol w:w="2880"/>
        <w:gridCol w:w="4320"/>
      </w:tblGrid>
      <w:tr w14:paraId="2FD6623A">
        <w:tblPrEx>
          <w:tblCellMar>
            <w:top w:w="0" w:type="dxa"/>
            <w:left w:w="108" w:type="dxa"/>
            <w:bottom w:w="0" w:type="dxa"/>
            <w:right w:w="108" w:type="dxa"/>
          </w:tblCellMar>
        </w:tblPrEx>
        <w:trPr>
          <w:cantSplit/>
          <w:tblHeader/>
        </w:trPr>
        <w:tc>
          <w:tcPr>
            <w:tcW w:w="14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D22AB2D">
            <w:pPr>
              <w:spacing w:before="0" w:after="0" w:line="276" w:lineRule="auto"/>
              <w:ind w:firstLine="0"/>
              <w:jc w:val="left"/>
            </w:pPr>
            <w:r>
              <w:rPr>
                <w:rFonts w:ascii="Times New Roman" w:hAnsi="Times New Roman" w:eastAsia="宋体"/>
                <w:b/>
                <w:color w:val="000000"/>
                <w:sz w:val="21"/>
              </w:rPr>
              <w:t>功能</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C7D4F7F">
            <w:pPr>
              <w:spacing w:before="0" w:after="0" w:line="276" w:lineRule="auto"/>
              <w:ind w:firstLine="0"/>
              <w:jc w:val="left"/>
            </w:pPr>
            <w:r>
              <w:rPr>
                <w:rFonts w:ascii="Times New Roman" w:hAnsi="Times New Roman" w:eastAsia="宋体"/>
                <w:b/>
                <w:color w:val="000000"/>
                <w:sz w:val="21"/>
              </w:rPr>
              <w:t>主要输入</w:t>
            </w:r>
          </w:p>
        </w:tc>
        <w:tc>
          <w:tcPr>
            <w:tcW w:w="432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66D464E">
            <w:pPr>
              <w:spacing w:before="0" w:after="0" w:line="276" w:lineRule="auto"/>
              <w:ind w:firstLine="0"/>
              <w:jc w:val="left"/>
            </w:pPr>
            <w:r>
              <w:rPr>
                <w:rFonts w:ascii="Times New Roman" w:hAnsi="Times New Roman" w:eastAsia="宋体"/>
                <w:b/>
                <w:color w:val="000000"/>
                <w:sz w:val="21"/>
              </w:rPr>
              <w:t>可验证输出</w:t>
            </w:r>
          </w:p>
        </w:tc>
      </w:tr>
      <w:tr w14:paraId="76FBD654">
        <w:tblPrEx>
          <w:tblCellMar>
            <w:top w:w="0" w:type="dxa"/>
            <w:left w:w="108" w:type="dxa"/>
            <w:bottom w:w="0" w:type="dxa"/>
            <w:right w:w="108" w:type="dxa"/>
          </w:tblCellMar>
        </w:tblPrEx>
        <w:trPr>
          <w:cantSplit/>
        </w:trPr>
        <w:tc>
          <w:tcPr>
            <w:tcW w:w="14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1D9CFCA">
            <w:pPr>
              <w:spacing w:before="0" w:after="0" w:line="276" w:lineRule="auto"/>
              <w:ind w:firstLine="0"/>
              <w:jc w:val="left"/>
            </w:pPr>
            <w:r>
              <w:rPr>
                <w:rFonts w:ascii="Times New Roman" w:hAnsi="Times New Roman" w:eastAsia="宋体"/>
                <w:b w:val="0"/>
                <w:color w:val="000000"/>
                <w:sz w:val="21"/>
              </w:rPr>
              <w:t>建立对局</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A3A97A4">
            <w:pPr>
              <w:spacing w:before="0" w:after="0" w:line="276" w:lineRule="auto"/>
              <w:ind w:firstLine="0"/>
              <w:jc w:val="left"/>
            </w:pPr>
            <w:r>
              <w:rPr>
                <w:rFonts w:ascii="Times New Roman" w:hAnsi="Times New Roman" w:eastAsia="宋体"/>
                <w:b w:val="0"/>
                <w:color w:val="000000"/>
                <w:sz w:val="21"/>
              </w:rPr>
              <w:t>模式、执方、双方AI配置</w:t>
            </w:r>
          </w:p>
        </w:tc>
        <w:tc>
          <w:tcPr>
            <w:tcW w:w="432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C20FD30">
            <w:pPr>
              <w:spacing w:before="0" w:after="0" w:line="276" w:lineRule="auto"/>
              <w:ind w:firstLine="0"/>
              <w:jc w:val="left"/>
            </w:pPr>
            <w:r>
              <w:rPr>
                <w:rFonts w:ascii="Times New Roman" w:hAnsi="Times New Roman" w:eastAsia="宋体"/>
                <w:b w:val="0"/>
                <w:color w:val="000000"/>
                <w:sz w:val="21"/>
              </w:rPr>
              <w:t>初始32子布局及当前控制方</w:t>
            </w:r>
          </w:p>
        </w:tc>
      </w:tr>
      <w:tr w14:paraId="29FB47F9">
        <w:tblPrEx>
          <w:tblCellMar>
            <w:top w:w="0" w:type="dxa"/>
            <w:left w:w="108" w:type="dxa"/>
            <w:bottom w:w="0" w:type="dxa"/>
            <w:right w:w="108" w:type="dxa"/>
          </w:tblCellMar>
        </w:tblPrEx>
        <w:trPr>
          <w:cantSplit/>
        </w:trPr>
        <w:tc>
          <w:tcPr>
            <w:tcW w:w="14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512EE87">
            <w:pPr>
              <w:spacing w:before="0" w:after="0" w:line="276" w:lineRule="auto"/>
              <w:ind w:firstLine="0"/>
              <w:jc w:val="left"/>
            </w:pPr>
            <w:r>
              <w:rPr>
                <w:rFonts w:ascii="Times New Roman" w:hAnsi="Times New Roman" w:eastAsia="宋体"/>
                <w:b w:val="0"/>
                <w:color w:val="000000"/>
                <w:sz w:val="21"/>
              </w:rPr>
              <w:t>选子与落子</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D5D88EF">
            <w:pPr>
              <w:spacing w:before="0" w:after="0" w:line="276" w:lineRule="auto"/>
              <w:ind w:firstLine="0"/>
              <w:jc w:val="left"/>
            </w:pPr>
            <w:r>
              <w:rPr>
                <w:rFonts w:ascii="Times New Roman" w:hAnsi="Times New Roman" w:eastAsia="宋体"/>
                <w:b w:val="0"/>
                <w:color w:val="000000"/>
                <w:sz w:val="21"/>
              </w:rPr>
              <w:t>己方起点、合法目标索引</w:t>
            </w:r>
          </w:p>
        </w:tc>
        <w:tc>
          <w:tcPr>
            <w:tcW w:w="432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73B4729">
            <w:pPr>
              <w:spacing w:before="0" w:after="0" w:line="276" w:lineRule="auto"/>
              <w:ind w:firstLine="0"/>
              <w:jc w:val="left"/>
            </w:pPr>
            <w:r>
              <w:rPr>
                <w:rFonts w:ascii="Times New Roman" w:hAnsi="Times New Roman" w:eastAsia="宋体"/>
                <w:b w:val="0"/>
                <w:color w:val="000000"/>
                <w:sz w:val="21"/>
              </w:rPr>
              <w:t>目标点提示；服务确认后换方</w:t>
            </w:r>
          </w:p>
        </w:tc>
      </w:tr>
      <w:tr w14:paraId="67550FB3">
        <w:tblPrEx>
          <w:tblCellMar>
            <w:top w:w="0" w:type="dxa"/>
            <w:left w:w="108" w:type="dxa"/>
            <w:bottom w:w="0" w:type="dxa"/>
            <w:right w:w="108" w:type="dxa"/>
          </w:tblCellMar>
        </w:tblPrEx>
        <w:trPr>
          <w:cantSplit/>
        </w:trPr>
        <w:tc>
          <w:tcPr>
            <w:tcW w:w="14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4A33645">
            <w:pPr>
              <w:spacing w:before="0" w:after="0" w:line="276" w:lineRule="auto"/>
              <w:ind w:firstLine="0"/>
              <w:jc w:val="left"/>
            </w:pPr>
            <w:r>
              <w:rPr>
                <w:rFonts w:ascii="Times New Roman" w:hAnsi="Times New Roman" w:eastAsia="宋体"/>
                <w:b w:val="0"/>
                <w:color w:val="000000"/>
                <w:sz w:val="21"/>
              </w:rPr>
              <w:t>推荐走法</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BF6E300">
            <w:pPr>
              <w:spacing w:before="0" w:after="0" w:line="276" w:lineRule="auto"/>
              <w:ind w:firstLine="0"/>
              <w:jc w:val="left"/>
            </w:pPr>
            <w:r>
              <w:rPr>
                <w:rFonts w:ascii="Times New Roman" w:hAnsi="Times New Roman" w:eastAsia="宋体"/>
                <w:b w:val="0"/>
                <w:color w:val="000000"/>
                <w:sz w:val="21"/>
              </w:rPr>
              <w:t>当前显示节点</w:t>
            </w:r>
          </w:p>
        </w:tc>
        <w:tc>
          <w:tcPr>
            <w:tcW w:w="432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1B1BECE">
            <w:pPr>
              <w:spacing w:before="0" w:after="0" w:line="276" w:lineRule="auto"/>
              <w:ind w:firstLine="0"/>
              <w:jc w:val="left"/>
            </w:pPr>
            <w:r>
              <w:rPr>
                <w:rFonts w:ascii="Times New Roman" w:hAnsi="Times New Roman" w:eastAsia="宋体"/>
                <w:b w:val="0"/>
                <w:color w:val="000000"/>
                <w:sz w:val="21"/>
              </w:rPr>
              <w:t>绿色起终点；棋盘不发生落子</w:t>
            </w:r>
          </w:p>
        </w:tc>
      </w:tr>
      <w:tr w14:paraId="6636212A">
        <w:tblPrEx>
          <w:tblCellMar>
            <w:top w:w="0" w:type="dxa"/>
            <w:left w:w="108" w:type="dxa"/>
            <w:bottom w:w="0" w:type="dxa"/>
            <w:right w:w="108" w:type="dxa"/>
          </w:tblCellMar>
        </w:tblPrEx>
        <w:trPr>
          <w:cantSplit/>
        </w:trPr>
        <w:tc>
          <w:tcPr>
            <w:tcW w:w="14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031585D">
            <w:pPr>
              <w:spacing w:before="0" w:after="0" w:line="276" w:lineRule="auto"/>
              <w:ind w:firstLine="0"/>
              <w:jc w:val="left"/>
            </w:pPr>
            <w:r>
              <w:rPr>
                <w:rFonts w:ascii="Times New Roman" w:hAnsi="Times New Roman" w:eastAsia="宋体"/>
                <w:b w:val="0"/>
                <w:color w:val="000000"/>
                <w:sz w:val="21"/>
              </w:rPr>
              <w:t>暂停与悔棋</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69A583C">
            <w:pPr>
              <w:spacing w:before="0" w:after="0" w:line="276" w:lineRule="auto"/>
              <w:ind w:firstLine="0"/>
              <w:jc w:val="left"/>
            </w:pPr>
            <w:r>
              <w:rPr>
                <w:rFonts w:ascii="Times New Roman" w:hAnsi="Times New Roman" w:eastAsia="宋体"/>
                <w:b w:val="0"/>
                <w:color w:val="000000"/>
                <w:sz w:val="21"/>
              </w:rPr>
              <w:t>控制命令、撤销范围</w:t>
            </w:r>
          </w:p>
        </w:tc>
        <w:tc>
          <w:tcPr>
            <w:tcW w:w="432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1E30AE4">
            <w:pPr>
              <w:spacing w:before="0" w:after="0" w:line="276" w:lineRule="auto"/>
              <w:ind w:firstLine="0"/>
              <w:jc w:val="left"/>
            </w:pPr>
            <w:r>
              <w:rPr>
                <w:rFonts w:ascii="Times New Roman" w:hAnsi="Times New Roman" w:eastAsia="宋体"/>
                <w:b w:val="0"/>
                <w:color w:val="000000"/>
                <w:sz w:val="21"/>
              </w:rPr>
              <w:t>停止推进；历史和计数一致恢复</w:t>
            </w:r>
          </w:p>
        </w:tc>
      </w:tr>
      <w:tr w14:paraId="15644901">
        <w:tblPrEx>
          <w:tblCellMar>
            <w:top w:w="0" w:type="dxa"/>
            <w:left w:w="108" w:type="dxa"/>
            <w:bottom w:w="0" w:type="dxa"/>
            <w:right w:w="108" w:type="dxa"/>
          </w:tblCellMar>
        </w:tblPrEx>
        <w:trPr>
          <w:cantSplit/>
        </w:trPr>
        <w:tc>
          <w:tcPr>
            <w:tcW w:w="14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A050381">
            <w:pPr>
              <w:spacing w:before="0" w:after="0" w:line="276" w:lineRule="auto"/>
              <w:ind w:firstLine="0"/>
              <w:jc w:val="left"/>
            </w:pPr>
            <w:r>
              <w:rPr>
                <w:rFonts w:ascii="Times New Roman" w:hAnsi="Times New Roman" w:eastAsia="宋体"/>
                <w:b w:val="0"/>
                <w:color w:val="000000"/>
                <w:sz w:val="21"/>
              </w:rPr>
              <w:t>回放与分支</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B87C23D">
            <w:pPr>
              <w:spacing w:before="0" w:after="0" w:line="276" w:lineRule="auto"/>
              <w:ind w:firstLine="0"/>
              <w:jc w:val="left"/>
            </w:pPr>
            <w:r>
              <w:rPr>
                <w:rFonts w:ascii="Times New Roman" w:hAnsi="Times New Roman" w:eastAsia="宋体"/>
                <w:b w:val="0"/>
                <w:color w:val="000000"/>
                <w:sz w:val="21"/>
              </w:rPr>
              <w:t>节点半回合数、截断确认</w:t>
            </w:r>
          </w:p>
        </w:tc>
        <w:tc>
          <w:tcPr>
            <w:tcW w:w="432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07EE2C7">
            <w:pPr>
              <w:spacing w:before="0" w:after="0" w:line="276" w:lineRule="auto"/>
              <w:ind w:firstLine="0"/>
              <w:jc w:val="left"/>
            </w:pPr>
            <w:r>
              <w:rPr>
                <w:rFonts w:ascii="Times New Roman" w:hAnsi="Times New Roman" w:eastAsia="宋体"/>
                <w:b w:val="0"/>
                <w:color w:val="000000"/>
                <w:sz w:val="21"/>
              </w:rPr>
              <w:t>显示历史节点；继续后删除后续分支</w:t>
            </w:r>
          </w:p>
        </w:tc>
      </w:tr>
      <w:tr w14:paraId="56D5DC53">
        <w:tblPrEx>
          <w:tblCellMar>
            <w:top w:w="0" w:type="dxa"/>
            <w:left w:w="108" w:type="dxa"/>
            <w:bottom w:w="0" w:type="dxa"/>
            <w:right w:w="108" w:type="dxa"/>
          </w:tblCellMar>
        </w:tblPrEx>
        <w:trPr>
          <w:cantSplit/>
        </w:trPr>
        <w:tc>
          <w:tcPr>
            <w:tcW w:w="14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AD2438B">
            <w:pPr>
              <w:spacing w:before="0" w:after="0" w:line="276" w:lineRule="auto"/>
              <w:ind w:firstLine="0"/>
              <w:jc w:val="left"/>
            </w:pPr>
            <w:r>
              <w:rPr>
                <w:rFonts w:ascii="Times New Roman" w:hAnsi="Times New Roman" w:eastAsia="宋体"/>
                <w:b w:val="0"/>
                <w:color w:val="000000"/>
                <w:sz w:val="21"/>
              </w:rPr>
              <w:t>棋谱与统计</w:t>
            </w:r>
          </w:p>
        </w:tc>
        <w:tc>
          <w:tcPr>
            <w:tcW w:w="288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C816351">
            <w:pPr>
              <w:spacing w:before="0" w:after="0" w:line="276" w:lineRule="auto"/>
              <w:ind w:firstLine="0"/>
              <w:jc w:val="left"/>
            </w:pPr>
            <w:r>
              <w:rPr>
                <w:rFonts w:ascii="Times New Roman" w:hAnsi="Times New Roman" w:eastAsia="宋体"/>
                <w:b w:val="0"/>
                <w:color w:val="000000"/>
                <w:sz w:val="21"/>
              </w:rPr>
              <w:t>JSON文件、终局结果</w:t>
            </w:r>
          </w:p>
        </w:tc>
        <w:tc>
          <w:tcPr>
            <w:tcW w:w="432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6D684E5">
            <w:pPr>
              <w:spacing w:before="0" w:after="0" w:line="276" w:lineRule="auto"/>
              <w:ind w:firstLine="0"/>
              <w:jc w:val="left"/>
            </w:pPr>
            <w:r>
              <w:rPr>
                <w:rFonts w:ascii="Times New Roman" w:hAnsi="Times New Roman" w:eastAsia="宋体"/>
                <w:b w:val="0"/>
                <w:color w:val="000000"/>
                <w:sz w:val="21"/>
              </w:rPr>
              <w:t>校验后导入；有效终局仅统计一次</w:t>
            </w:r>
          </w:p>
        </w:tc>
      </w:tr>
    </w:tbl>
    <w:p w14:paraId="5E5F7E5A">
      <w:pPr>
        <w:pageBreakBefore w:val="0"/>
        <w:widowControl/>
        <w:snapToGrid w:val="0"/>
        <w:spacing w:before="0" w:after="0" w:line="72" w:lineRule="auto"/>
        <w:ind w:left="0" w:right="0" w:firstLine="0"/>
        <w:jc w:val="center"/>
      </w:pPr>
    </w:p>
    <w:p w14:paraId="0DC14DA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人人模式在同一浏览器交替操作双方；人机模式允许执红或执黑，执黑时红方AI先行；AI对战允许双方配置不同引擎与预算。下拉框用于下一局，当前对局双方身份从服务端配置读取，避免选择框变化造成实际引擎身份误解。</w:t>
      </w:r>
    </w:p>
    <w:p w14:paraId="0A747922">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2.1.1 交互质量与异常要求</w:t>
      </w:r>
    </w:p>
    <w:p w14:paraId="22B07A1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运行中、暂停、回放和结束具有不同操作集合。断连后禁用控制，重连先恢复完整状态，再由用户决定继续。新局、导入和从回放节点继续涉及丢弃数据，必须在前端确认；取消确认不发送对应破坏性命令。错误提示应给出原因，非法棋谱不得覆盖原局。</w:t>
      </w:r>
    </w:p>
    <w:p w14:paraId="3C197BA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在AI思考期间，界面仍应接收暂停等命令。该需求同时约束前端和任务调度：浏览器不执行搜索，对局服务不等待阻塞计算，状态变更后取消旧搜索并拒绝旧版本结果。</w:t>
      </w:r>
    </w:p>
    <w:p w14:paraId="756BC694">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2.2 本课题的数据表单设计</w:t>
      </w:r>
    </w:p>
    <w:p w14:paraId="0B39DC4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项目不需要关系数据库，模板所称数据表单在这里对应会话对象、状态消息和版本化棋谱。对局只有一个当前控制连接，采用内存对象可以减少安装和运维成本；JSON用于导出与交换。数据关系图表达对象关系，并不表示系统已经建立SQL数据表。</w:t>
      </w:r>
    </w:p>
    <w:p w14:paraId="32C73BC0">
      <w:pPr>
        <w:keepNext/>
        <w:pageBreakBefore w:val="0"/>
        <w:widowControl/>
        <w:snapToGrid w:val="0"/>
        <w:spacing w:before="0" w:after="0" w:line="240" w:lineRule="auto"/>
        <w:ind w:left="0" w:right="0" w:firstLine="0"/>
        <w:jc w:val="center"/>
      </w:pPr>
      <w:r>
        <w:drawing>
          <wp:inline distT="0" distB="0" distL="114300" distR="114300">
            <wp:extent cx="5490845" cy="1764665"/>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90882" cy="1764926"/>
                    </a:xfrm>
                    <a:prstGeom prst="rect">
                      <a:avLst/>
                    </a:prstGeom>
                  </pic:spPr>
                </pic:pic>
              </a:graphicData>
            </a:graphic>
          </wp:inline>
        </w:drawing>
      </w:r>
    </w:p>
    <w:p w14:paraId="28E2FC73">
      <w:pPr>
        <w:pageBreakBefore w:val="0"/>
        <w:widowControl/>
        <w:snapToGrid w:val="0"/>
        <w:spacing w:before="0" w:after="0" w:line="240" w:lineRule="auto"/>
        <w:ind w:left="0" w:right="0" w:firstLine="0"/>
        <w:jc w:val="center"/>
        <w:rPr>
          <w:rFonts w:ascii="Times New Roman" w:hAnsi="Times New Roman" w:eastAsia="宋体"/>
          <w:b w:val="0"/>
          <w:color w:val="000000"/>
          <w:sz w:val="21"/>
        </w:rPr>
      </w:pPr>
      <w:r>
        <w:rPr>
          <w:rFonts w:ascii="Times New Roman" w:hAnsi="Times New Roman" w:eastAsia="宋体"/>
          <w:b w:val="0"/>
          <w:color w:val="000000"/>
          <w:sz w:val="21"/>
        </w:rPr>
        <w:t>图1 对局数据对象关系</w:t>
      </w:r>
    </w:p>
    <w:p w14:paraId="71E56AE6">
      <w:pPr>
        <w:pageBreakBefore w:val="0"/>
        <w:widowControl/>
        <w:snapToGrid w:val="0"/>
        <w:spacing w:before="0" w:after="0" w:line="240" w:lineRule="auto"/>
        <w:ind w:left="0" w:right="0" w:firstLine="0"/>
        <w:jc w:val="center"/>
        <w:rPr>
          <w:rFonts w:ascii="Times New Roman" w:hAnsi="Times New Roman" w:eastAsia="宋体"/>
          <w:b w:val="0"/>
          <w:color w:val="000000"/>
          <w:sz w:val="21"/>
        </w:rPr>
      </w:pPr>
      <w:bookmarkStart w:id="0" w:name="_GoBack"/>
      <w:bookmarkEnd w:id="0"/>
    </w:p>
    <w:tbl>
      <w:tblPr>
        <w:tblStyle w:val="11"/>
        <w:tblW w:w="0" w:type="auto"/>
        <w:tblInd w:w="0" w:type="dxa"/>
        <w:tblLayout w:type="fixed"/>
        <w:tblCellMar>
          <w:top w:w="0" w:type="dxa"/>
          <w:left w:w="108" w:type="dxa"/>
          <w:bottom w:w="0" w:type="dxa"/>
          <w:right w:w="108" w:type="dxa"/>
        </w:tblCellMar>
      </w:tblPr>
      <w:tblGrid>
        <w:gridCol w:w="1584"/>
        <w:gridCol w:w="3312"/>
        <w:gridCol w:w="3744"/>
      </w:tblGrid>
      <w:tr w14:paraId="1E6BF7F5">
        <w:tblPrEx>
          <w:tblCellMar>
            <w:top w:w="0" w:type="dxa"/>
            <w:left w:w="108" w:type="dxa"/>
            <w:bottom w:w="0" w:type="dxa"/>
            <w:right w:w="108" w:type="dxa"/>
          </w:tblCellMar>
        </w:tblPrEx>
        <w:trPr>
          <w:cantSplit/>
          <w:tblHeader/>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F69D147">
            <w:pPr>
              <w:spacing w:before="0" w:after="0" w:line="276" w:lineRule="auto"/>
              <w:ind w:firstLine="0"/>
              <w:jc w:val="left"/>
            </w:pPr>
            <w:r>
              <w:rPr>
                <w:rFonts w:ascii="Times New Roman" w:hAnsi="Times New Roman" w:eastAsia="宋体"/>
                <w:b/>
                <w:color w:val="000000"/>
                <w:sz w:val="21"/>
              </w:rPr>
              <w:t>对象</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32C192D">
            <w:pPr>
              <w:spacing w:before="0" w:after="0" w:line="276" w:lineRule="auto"/>
              <w:ind w:firstLine="0"/>
              <w:jc w:val="left"/>
            </w:pPr>
            <w:r>
              <w:rPr>
                <w:rFonts w:ascii="Times New Roman" w:hAnsi="Times New Roman" w:eastAsia="宋体"/>
                <w:b/>
                <w:color w:val="000000"/>
                <w:sz w:val="21"/>
              </w:rPr>
              <w:t>关键数据</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FE19944">
            <w:pPr>
              <w:spacing w:before="0" w:after="0" w:line="276" w:lineRule="auto"/>
              <w:ind w:firstLine="0"/>
              <w:jc w:val="left"/>
            </w:pPr>
            <w:r>
              <w:rPr>
                <w:rFonts w:ascii="Times New Roman" w:hAnsi="Times New Roman" w:eastAsia="宋体"/>
                <w:b/>
                <w:color w:val="000000"/>
                <w:sz w:val="21"/>
              </w:rPr>
              <w:t>约束</w:t>
            </w:r>
          </w:p>
        </w:tc>
      </w:tr>
      <w:tr w14:paraId="5CF0010A">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4D57DA9">
            <w:pPr>
              <w:spacing w:before="0" w:after="0" w:line="276" w:lineRule="auto"/>
              <w:ind w:firstLine="0"/>
              <w:jc w:val="left"/>
            </w:pPr>
            <w:r>
              <w:rPr>
                <w:rFonts w:ascii="Times New Roman" w:hAnsi="Times New Roman" w:eastAsia="宋体"/>
                <w:b w:val="0"/>
                <w:color w:val="000000"/>
                <w:sz w:val="21"/>
              </w:rPr>
              <w:t>Game</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0E92C20">
            <w:pPr>
              <w:spacing w:before="0" w:after="0" w:line="276" w:lineRule="auto"/>
              <w:ind w:firstLine="0"/>
              <w:jc w:val="left"/>
            </w:pPr>
            <w:r>
              <w:rPr>
                <w:rFonts w:ascii="Times New Roman" w:hAnsi="Times New Roman" w:eastAsia="宋体"/>
                <w:b w:val="0"/>
                <w:color w:val="000000"/>
                <w:sz w:val="21"/>
              </w:rPr>
              <w:t>id、revision、config、positions、moves</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B80404E">
            <w:pPr>
              <w:spacing w:before="0" w:after="0" w:line="276" w:lineRule="auto"/>
              <w:ind w:firstLine="0"/>
              <w:jc w:val="left"/>
            </w:pPr>
            <w:r>
              <w:rPr>
                <w:rFonts w:ascii="Times New Roman" w:hAnsi="Times New Roman" w:eastAsia="宋体"/>
                <w:b w:val="0"/>
                <w:color w:val="000000"/>
                <w:sz w:val="21"/>
              </w:rPr>
              <w:t>历史局面数等于走法数加1</w:t>
            </w:r>
          </w:p>
        </w:tc>
      </w:tr>
      <w:tr w14:paraId="08914099">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4BC8992">
            <w:pPr>
              <w:spacing w:before="0" w:after="0" w:line="276" w:lineRule="auto"/>
              <w:ind w:firstLine="0"/>
              <w:jc w:val="left"/>
            </w:pPr>
            <w:r>
              <w:rPr>
                <w:rFonts w:ascii="Times New Roman" w:hAnsi="Times New Roman" w:eastAsia="宋体"/>
                <w:b w:val="0"/>
                <w:color w:val="000000"/>
                <w:sz w:val="21"/>
              </w:rPr>
              <w:t>Position</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0538527">
            <w:pPr>
              <w:spacing w:before="0" w:after="0" w:line="276" w:lineRule="auto"/>
              <w:ind w:firstLine="0"/>
              <w:jc w:val="left"/>
            </w:pPr>
            <w:r>
              <w:rPr>
                <w:rFonts w:ascii="Times New Roman" w:hAnsi="Times New Roman" w:eastAsia="宋体"/>
                <w:b w:val="0"/>
                <w:color w:val="000000"/>
                <w:sz w:val="21"/>
              </w:rPr>
              <w:t>board、side、noCapture、keys</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C4F1717">
            <w:pPr>
              <w:spacing w:before="0" w:after="0" w:line="276" w:lineRule="auto"/>
              <w:ind w:firstLine="0"/>
              <w:jc w:val="left"/>
            </w:pPr>
            <w:r>
              <w:rPr>
                <w:rFonts w:ascii="Times New Roman" w:hAnsi="Times New Roman" w:eastAsia="宋体"/>
                <w:b w:val="0"/>
                <w:color w:val="000000"/>
                <w:sz w:val="21"/>
              </w:rPr>
              <w:t>90格；局面快照用于恢复</w:t>
            </w:r>
          </w:p>
        </w:tc>
      </w:tr>
      <w:tr w14:paraId="2430D0A3">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CB4B146">
            <w:pPr>
              <w:spacing w:before="0" w:after="0" w:line="276" w:lineRule="auto"/>
              <w:ind w:firstLine="0"/>
              <w:jc w:val="left"/>
            </w:pPr>
            <w:r>
              <w:rPr>
                <w:rFonts w:ascii="Times New Roman" w:hAnsi="Times New Roman" w:eastAsia="宋体"/>
                <w:b w:val="0"/>
                <w:color w:val="000000"/>
                <w:sz w:val="21"/>
              </w:rPr>
              <w:t>显示状态</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ACD9B36">
            <w:pPr>
              <w:spacing w:before="0" w:after="0" w:line="276" w:lineRule="auto"/>
              <w:ind w:firstLine="0"/>
              <w:jc w:val="left"/>
            </w:pPr>
            <w:r>
              <w:rPr>
                <w:rFonts w:ascii="Times New Roman" w:hAnsi="Times New Roman" w:eastAsia="宋体"/>
                <w:b w:val="0"/>
                <w:color w:val="000000"/>
                <w:sz w:val="21"/>
              </w:rPr>
              <w:t>control、displayPly、displayResult</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1C870E4">
            <w:pPr>
              <w:spacing w:before="0" w:after="0" w:line="276" w:lineRule="auto"/>
              <w:ind w:firstLine="0"/>
              <w:jc w:val="left"/>
            </w:pPr>
            <w:r>
              <w:rPr>
                <w:rFonts w:ascii="Times New Roman" w:hAnsi="Times New Roman" w:eastAsia="宋体"/>
                <w:b w:val="0"/>
                <w:color w:val="000000"/>
                <w:sz w:val="21"/>
              </w:rPr>
              <w:t>回放节点可不同于实际终点</w:t>
            </w:r>
          </w:p>
        </w:tc>
      </w:tr>
      <w:tr w14:paraId="7132D7F1">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5A99972">
            <w:pPr>
              <w:spacing w:before="0" w:after="0" w:line="276" w:lineRule="auto"/>
              <w:ind w:firstLine="0"/>
              <w:jc w:val="left"/>
            </w:pPr>
            <w:r>
              <w:rPr>
                <w:rFonts w:ascii="Times New Roman" w:hAnsi="Times New Roman" w:eastAsia="宋体"/>
                <w:b w:val="0"/>
                <w:color w:val="000000"/>
                <w:sz w:val="21"/>
              </w:rPr>
              <w:t>Controller</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5D07A39">
            <w:pPr>
              <w:spacing w:before="0" w:after="0" w:line="276" w:lineRule="auto"/>
              <w:ind w:firstLine="0"/>
              <w:jc w:val="left"/>
            </w:pPr>
            <w:r>
              <w:rPr>
                <w:rFonts w:ascii="Times New Roman" w:hAnsi="Times New Roman" w:eastAsia="宋体"/>
                <w:b w:val="0"/>
                <w:color w:val="000000"/>
                <w:sz w:val="21"/>
              </w:rPr>
              <w:t>game、results</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C42F2F7">
            <w:pPr>
              <w:spacing w:before="0" w:after="0" w:line="276" w:lineRule="auto"/>
              <w:ind w:firstLine="0"/>
              <w:jc w:val="left"/>
            </w:pPr>
            <w:r>
              <w:rPr>
                <w:rFonts w:ascii="Times New Roman" w:hAnsi="Times New Roman" w:eastAsia="宋体"/>
                <w:b w:val="0"/>
                <w:color w:val="000000"/>
                <w:sz w:val="21"/>
              </w:rPr>
              <w:t>按gameId维护当前有效终局</w:t>
            </w:r>
          </w:p>
        </w:tc>
      </w:tr>
      <w:tr w14:paraId="44E74DA1">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E9B777A">
            <w:pPr>
              <w:spacing w:before="0" w:after="0" w:line="276" w:lineRule="auto"/>
              <w:ind w:firstLine="0"/>
              <w:jc w:val="left"/>
            </w:pPr>
            <w:r>
              <w:rPr>
                <w:rFonts w:ascii="Times New Roman" w:hAnsi="Times New Roman" w:eastAsia="宋体"/>
                <w:b w:val="0"/>
                <w:color w:val="000000"/>
                <w:sz w:val="21"/>
              </w:rPr>
              <w:t>Record</w:t>
            </w:r>
          </w:p>
        </w:tc>
        <w:tc>
          <w:tcPr>
            <w:tcW w:w="331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7B9D582">
            <w:pPr>
              <w:spacing w:before="0" w:after="0" w:line="276" w:lineRule="auto"/>
              <w:ind w:firstLine="0"/>
              <w:jc w:val="left"/>
            </w:pPr>
            <w:r>
              <w:rPr>
                <w:rFonts w:ascii="Times New Roman" w:hAnsi="Times New Roman" w:eastAsia="宋体"/>
                <w:b w:val="0"/>
                <w:color w:val="000000"/>
                <w:sz w:val="21"/>
              </w:rPr>
              <w:t>format、version、ruleset、moves、result</w:t>
            </w:r>
          </w:p>
        </w:tc>
        <w:tc>
          <w:tcPr>
            <w:tcW w:w="374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99290B5">
            <w:pPr>
              <w:spacing w:before="0" w:after="0" w:line="276" w:lineRule="auto"/>
              <w:ind w:firstLine="0"/>
              <w:jc w:val="left"/>
            </w:pPr>
            <w:r>
              <w:rPr>
                <w:rFonts w:ascii="Times New Roman" w:hAnsi="Times New Roman" w:eastAsia="宋体"/>
                <w:b w:val="0"/>
                <w:color w:val="000000"/>
                <w:sz w:val="21"/>
              </w:rPr>
              <w:t>从标准初始局面逐步合法重放</w:t>
            </w:r>
          </w:p>
        </w:tc>
      </w:tr>
    </w:tbl>
    <w:p w14:paraId="05D22792">
      <w:pPr>
        <w:pageBreakBefore w:val="0"/>
        <w:widowControl/>
        <w:snapToGrid w:val="0"/>
        <w:spacing w:before="0" w:after="0" w:line="72" w:lineRule="auto"/>
        <w:ind w:left="0" w:right="0" w:firstLine="0"/>
        <w:jc w:val="center"/>
      </w:pPr>
    </w:p>
    <w:p w14:paraId="3F7E083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棋盘由长度90的数组表示，索引为9乘行号加列号。0表示空位，正数为红方、负数为黑方，绝对值表示棋子类别。Move只保存from与to两个索引；显示坐标由前端换算，不进入规则协议。</w:t>
      </w:r>
    </w:p>
    <w:p w14:paraId="4782FC8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导出的version为棋谱格式版本，revision是当前会话状态版本，两者含义不同。带原生引擎配置的记录使用v2，纯自研记录使用v1。导入后仍保留记录中的规则集和引擎身份，不能把第三方棋谱显示为自研棋谱。</w:t>
      </w:r>
    </w:p>
    <w:p w14:paraId="5ADA74CC">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2.3 本课题的体系结构设计</w:t>
      </w:r>
    </w:p>
    <w:p w14:paraId="2CF7A79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总体方案由组员负责，我从界面与对局管理角度落实边界。浏览器承担显示和采集输入，对局服务维护唯一可修改的对局状态，独立AI服务承担计算。规则引擎向对局服务和AI提供一致的合法性判断。此结构使界面错误、协议错误和搜索错误能够分别定位，也允许单独替换AI实现。</w:t>
      </w:r>
    </w:p>
    <w:p w14:paraId="08E12222">
      <w:pPr>
        <w:keepNext/>
        <w:pageBreakBefore w:val="0"/>
        <w:widowControl/>
        <w:snapToGrid w:val="0"/>
        <w:spacing w:before="0" w:after="0" w:line="240" w:lineRule="auto"/>
        <w:ind w:left="0" w:right="0" w:firstLine="0"/>
        <w:jc w:val="center"/>
      </w:pPr>
      <w:r>
        <w:drawing>
          <wp:inline distT="0" distB="0" distL="114300" distR="114300">
            <wp:extent cx="5490845" cy="1882140"/>
            <wp:effectExtent l="0" t="0" r="825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90882" cy="1882588"/>
                    </a:xfrm>
                    <a:prstGeom prst="rect">
                      <a:avLst/>
                    </a:prstGeom>
                  </pic:spPr>
                </pic:pic>
              </a:graphicData>
            </a:graphic>
          </wp:inline>
        </w:drawing>
      </w:r>
    </w:p>
    <w:p w14:paraId="7CDD875D">
      <w:pPr>
        <w:pageBreakBefore w:val="0"/>
        <w:widowControl/>
        <w:snapToGrid w:val="0"/>
        <w:spacing w:before="0" w:after="0" w:line="240" w:lineRule="auto"/>
        <w:ind w:left="0" w:right="0" w:firstLine="0"/>
        <w:jc w:val="center"/>
        <w:rPr>
          <w:rFonts w:ascii="Times New Roman" w:hAnsi="Times New Roman" w:eastAsia="宋体"/>
          <w:b w:val="0"/>
          <w:color w:val="000000"/>
          <w:sz w:val="21"/>
        </w:rPr>
      </w:pPr>
      <w:r>
        <w:rPr>
          <w:rFonts w:ascii="Times New Roman" w:hAnsi="Times New Roman" w:eastAsia="宋体"/>
          <w:b w:val="0"/>
          <w:color w:val="000000"/>
          <w:sz w:val="21"/>
        </w:rPr>
        <w:t>图2 界面与对局服务的结构关系</w:t>
      </w:r>
    </w:p>
    <w:p w14:paraId="67054150">
      <w:pPr>
        <w:pageBreakBefore w:val="0"/>
        <w:widowControl/>
        <w:snapToGrid w:val="0"/>
        <w:spacing w:before="0" w:after="0" w:line="240" w:lineRule="auto"/>
        <w:ind w:left="0" w:right="0" w:firstLine="0"/>
        <w:jc w:val="center"/>
        <w:rPr>
          <w:rFonts w:ascii="Times New Roman" w:hAnsi="Times New Roman" w:eastAsia="宋体"/>
          <w:b w:val="0"/>
          <w:color w:val="000000"/>
          <w:sz w:val="21"/>
        </w:rPr>
      </w:pPr>
    </w:p>
    <w:p w14:paraId="0B6585A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浏览器默认访问本机5173端口，对局服务默认位于8765，独立AI服务默认位于8766。地址可由项目配置修改，报告中的端口是默认部署安排。对局服务只接受受控命令，不允许浏览器提交任意远程AI地址。</w:t>
      </w:r>
    </w:p>
    <w:p w14:paraId="0FF8202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一次正常落子的顺序为：界面点选目标，发送含requestId、gameId和revision的命令；对局服务检查版本、控制状态、执方与合法性；成功后更新历史及统计，发送确认和完整状态；前端收到状态再重画。确认消息本身不携带足够棋盘信息，前端不能据此自行移动棋子。</w:t>
      </w:r>
    </w:p>
    <w:p w14:paraId="17404F3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独立AI返回的是建议。对局服务核对消息关联、搜索信息及走法，再提交给统一规则引擎。过期或非法响应不能修改权威局面。这样即使AI发生故障，用户仍能保存、回放并分析已完成的历史。</w:t>
      </w:r>
    </w:p>
    <w:p w14:paraId="6CB29E8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主要工程折中是采用完整状态推送而非增量同步。90格数组和有限状态字段对本机课程规模足够小，完整快照能降低遗漏更新的风险；其收益在于重连恢复和回放切换容易验证，而非追求大规模并发吞吐。</w:t>
      </w:r>
    </w:p>
    <w:p w14:paraId="17D147AA">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2.4 本课题的主要功能界面设计</w:t>
      </w:r>
    </w:p>
    <w:p w14:paraId="09910CA4">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界面以棋盘为主区域，控制区依次呈现模式设置、双方AI配置、对局操作、历史导航和累计结果。桌面端并排布局，窄屏按纵向排列。下面是根据当前实现整理的功能布局示意，不是运行截图；图中保留主要入口，强调信息层级和操作位置。</w:t>
      </w:r>
    </w:p>
    <w:p w14:paraId="0CA8EDAF">
      <w:pPr>
        <w:keepNext/>
        <w:pageBreakBefore w:val="0"/>
        <w:widowControl/>
        <w:snapToGrid w:val="0"/>
        <w:spacing w:before="0" w:after="0" w:line="240" w:lineRule="auto"/>
        <w:ind w:left="0" w:right="0" w:firstLine="0"/>
        <w:jc w:val="center"/>
      </w:pPr>
      <w:r>
        <w:drawing>
          <wp:inline distT="0" distB="0" distL="114300" distR="114300">
            <wp:extent cx="5490845" cy="2431415"/>
            <wp:effectExtent l="0" t="0" r="825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90882" cy="2431676"/>
                    </a:xfrm>
                    <a:prstGeom prst="rect">
                      <a:avLst/>
                    </a:prstGeom>
                  </pic:spPr>
                </pic:pic>
              </a:graphicData>
            </a:graphic>
          </wp:inline>
        </w:drawing>
      </w:r>
    </w:p>
    <w:p w14:paraId="61070B82">
      <w:pPr>
        <w:pageBreakBefore w:val="0"/>
        <w:widowControl/>
        <w:snapToGrid w:val="0"/>
        <w:spacing w:before="0" w:after="0" w:line="240" w:lineRule="auto"/>
        <w:ind w:left="0" w:right="0" w:firstLine="0"/>
        <w:jc w:val="center"/>
        <w:rPr>
          <w:rFonts w:ascii="Times New Roman" w:hAnsi="Times New Roman" w:eastAsia="宋体"/>
          <w:b w:val="0"/>
          <w:color w:val="000000"/>
          <w:sz w:val="21"/>
        </w:rPr>
      </w:pPr>
      <w:r>
        <w:rPr>
          <w:rFonts w:ascii="Times New Roman" w:hAnsi="Times New Roman" w:eastAsia="宋体"/>
          <w:b w:val="0"/>
          <w:color w:val="000000"/>
          <w:sz w:val="21"/>
        </w:rPr>
        <w:t>图3 主要功能界面布局示意</w:t>
      </w:r>
    </w:p>
    <w:p w14:paraId="491496E8">
      <w:pPr>
        <w:pageBreakBefore w:val="0"/>
        <w:widowControl/>
        <w:snapToGrid w:val="0"/>
        <w:spacing w:before="0" w:after="0" w:line="240" w:lineRule="auto"/>
        <w:ind w:left="0" w:right="0" w:firstLine="0"/>
        <w:jc w:val="center"/>
        <w:rPr>
          <w:rFonts w:ascii="Times New Roman" w:hAnsi="Times New Roman" w:eastAsia="宋体"/>
          <w:b w:val="0"/>
          <w:color w:val="000000"/>
          <w:sz w:val="21"/>
        </w:rPr>
      </w:pPr>
    </w:p>
    <w:p w14:paraId="2A1F8D6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红方使用朱红，黑方使用深墨；合法落点和推荐使用绿色，并通过形状区分选中、吃子目标与最后一步。颜色只作为辅助，页面同时显示红黑文字、当前行棋方和状态。每个棋盘交点带有行、列及棋子名称的可访问标签，可通过Enter或空格触发操作。</w:t>
      </w:r>
    </w:p>
    <w:p w14:paraId="44FD5C4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交互入口需要避免语义混淆。“推荐”只展示下一步建议，“继续”恢复暂停局面，“从此处继续”确认截断回放后续历史。人机“撤销一轮”按最近一次人类行动定位，不能简单理解为固定删除两步。</w:t>
      </w:r>
    </w:p>
    <w:p w14:paraId="3B3692F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将军时既保留状态栏文字，也在棋盘中央短暂显示红色提示。提示层不捕获指针事件，减少动态效果偏好下保留文字并关闭动画。该设计参考常见象棋软件的反馈方式，未复制第三方图片或音效素材。</w:t>
      </w:r>
    </w:p>
    <w:p w14:paraId="62CAD592">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三、相关功能模块详细设计</w:t>
      </w:r>
    </w:p>
    <w:p w14:paraId="6E162E11">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3.1 模块内的数据结构设计</w:t>
      </w:r>
    </w:p>
    <w:p w14:paraId="2F2166A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前端保存state、selected、recommend、connected、ready和pending等变量。state是服务端完整快照；selected与recommend是显示辅助；连接和等待标志用于暂时禁用重复操作。服务端状态与显示辅助分离后，重新连接或更换版本只需清除选择和推荐，不会误改棋盘。</w:t>
      </w:r>
    </w:p>
    <w:p w14:paraId="4818AFC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后端用positions保存从初始局面到当前局面的快照，用moves保存相邻快照之间的走法。display表示当前显示半回合序号；平时指向终点，回放时可指向任意有效节点。实际终局使用最后一个局面计算，回放终局使用显示节点计算，分别输出result和displayResult。</w:t>
      </w:r>
    </w:p>
    <w:p w14:paraId="1B05FFC3">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3.2 控制状态与操作约束</w:t>
      </w:r>
    </w:p>
    <w:p w14:paraId="5C713C8C">
      <w:pPr>
        <w:keepNext/>
        <w:pageBreakBefore w:val="0"/>
        <w:widowControl/>
        <w:snapToGrid w:val="0"/>
        <w:spacing w:before="0" w:after="0" w:line="240" w:lineRule="auto"/>
        <w:ind w:left="0" w:right="0" w:firstLine="0"/>
        <w:jc w:val="center"/>
      </w:pPr>
      <w:r>
        <w:drawing>
          <wp:inline distT="0" distB="0" distL="114300" distR="114300">
            <wp:extent cx="5490845" cy="1764665"/>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90882" cy="1764926"/>
                    </a:xfrm>
                    <a:prstGeom prst="rect">
                      <a:avLst/>
                    </a:prstGeom>
                  </pic:spPr>
                </pic:pic>
              </a:graphicData>
            </a:graphic>
          </wp:inline>
        </w:drawing>
      </w:r>
    </w:p>
    <w:p w14:paraId="5A123F16">
      <w:pPr>
        <w:pageBreakBefore w:val="0"/>
        <w:widowControl/>
        <w:snapToGrid w:val="0"/>
        <w:spacing w:before="0" w:after="0" w:line="240" w:lineRule="auto"/>
        <w:ind w:left="0" w:right="0" w:firstLine="0"/>
        <w:jc w:val="center"/>
        <w:rPr>
          <w:rFonts w:ascii="Times New Roman" w:hAnsi="Times New Roman" w:eastAsia="宋体"/>
          <w:b w:val="0"/>
          <w:color w:val="000000"/>
          <w:sz w:val="21"/>
        </w:rPr>
      </w:pPr>
      <w:r>
        <w:rPr>
          <w:rFonts w:ascii="Times New Roman" w:hAnsi="Times New Roman" w:eastAsia="宋体"/>
          <w:b w:val="0"/>
          <w:color w:val="000000"/>
          <w:sz w:val="21"/>
        </w:rPr>
        <w:t>图4 对局控制状态转换</w:t>
      </w:r>
    </w:p>
    <w:p w14:paraId="49023F57">
      <w:pPr>
        <w:pageBreakBefore w:val="0"/>
        <w:widowControl/>
        <w:snapToGrid w:val="0"/>
        <w:spacing w:before="0" w:after="0" w:line="240" w:lineRule="auto"/>
        <w:ind w:left="0" w:right="0" w:firstLine="0"/>
        <w:jc w:val="center"/>
        <w:rPr>
          <w:rFonts w:ascii="Times New Roman" w:hAnsi="Times New Roman" w:eastAsia="宋体"/>
          <w:b w:val="0"/>
          <w:color w:val="000000"/>
          <w:sz w:val="21"/>
        </w:rPr>
      </w:pPr>
    </w:p>
    <w:p w14:paraId="4889C85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status表示对局是否终结，control表示运行、暂停或回放，thinking单独表示计算用途与执方。不能把这三个维度合成“正在下棋”一个布尔量：结束局仍可回放，暂停局可请求只读推荐，回放局可计算历史节点推荐。</w:t>
      </w:r>
    </w:p>
    <w:p w14:paraId="5714ADA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服务端始终检查状态约束，前端按钮禁用只负责改善体验。暂停不允许落子，回放不允许直接悔棋，结束局不允许恢复自动运行；错误返回后棋盘和历史保持原样。恢复运行只接受非终局且处于暂停的对局。</w:t>
      </w:r>
    </w:p>
    <w:p w14:paraId="00EDBC3F">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3.3 选子与棋盘渲染流程</w:t>
      </w:r>
    </w:p>
    <w:p w14:paraId="05DD307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棋盘采用SVG的固定逻辑视口，交点坐标由数组索引计算。当前实现横向间隔60、纵向间隔60，起始偏移48；缩放由SVG完成，因此浏览器尺寸变化不影响协议坐标。绘制顺序包括棋盘、网格、九宫、河界、最后一步、推荐、棋子和目标点。</w:t>
      </w:r>
    </w:p>
    <w:p w14:paraId="7EAEE25A">
      <w:pPr>
        <w:keepNext/>
        <w:pageBreakBefore w:val="0"/>
        <w:widowControl/>
        <w:snapToGrid w:val="0"/>
        <w:spacing w:before="0" w:after="0" w:line="240" w:lineRule="auto"/>
        <w:ind w:left="0" w:right="0" w:firstLine="0"/>
        <w:jc w:val="center"/>
      </w:pPr>
      <w:r>
        <w:drawing>
          <wp:inline distT="0" distB="0" distL="114300" distR="114300">
            <wp:extent cx="5490845" cy="2000250"/>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90882" cy="2000250"/>
                    </a:xfrm>
                    <a:prstGeom prst="rect">
                      <a:avLst/>
                    </a:prstGeom>
                  </pic:spPr>
                </pic:pic>
              </a:graphicData>
            </a:graphic>
          </wp:inline>
        </w:drawing>
      </w:r>
    </w:p>
    <w:p w14:paraId="1520F932">
      <w:pPr>
        <w:pageBreakBefore w:val="0"/>
        <w:widowControl/>
        <w:snapToGrid w:val="0"/>
        <w:spacing w:before="0" w:after="0" w:line="240" w:lineRule="auto"/>
        <w:ind w:left="0" w:right="0" w:firstLine="0"/>
        <w:jc w:val="center"/>
        <w:rPr>
          <w:rFonts w:ascii="Times New Roman" w:hAnsi="Times New Roman" w:eastAsia="宋体"/>
          <w:b w:val="0"/>
          <w:color w:val="000000"/>
          <w:sz w:val="21"/>
        </w:rPr>
      </w:pPr>
      <w:r>
        <w:rPr>
          <w:rFonts w:ascii="Times New Roman" w:hAnsi="Times New Roman" w:eastAsia="宋体"/>
          <w:b w:val="0"/>
          <w:color w:val="000000"/>
          <w:sz w:val="21"/>
        </w:rPr>
        <w:t>图5 点击落子的处理流程</w:t>
      </w:r>
    </w:p>
    <w:p w14:paraId="205B3FC4">
      <w:pPr>
        <w:pageBreakBefore w:val="0"/>
        <w:widowControl/>
        <w:snapToGrid w:val="0"/>
        <w:spacing w:before="0" w:after="0" w:line="240" w:lineRule="auto"/>
        <w:ind w:left="0" w:right="0" w:firstLine="0"/>
        <w:jc w:val="center"/>
        <w:rPr>
          <w:rFonts w:ascii="Times New Roman" w:hAnsi="Times New Roman" w:eastAsia="宋体"/>
          <w:b w:val="0"/>
          <w:color w:val="000000"/>
          <w:sz w:val="21"/>
        </w:rPr>
      </w:pPr>
    </w:p>
    <w:p w14:paraId="5040CAB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每次点击先检查连接、待响应、控制状态、终局以及当前执方。若已有选择且点击位置属于服务端返回的合法目标，就发送move；否则判断是否为当前方棋子，执行重新选择或取消选择。前端不计算蹩马腿、塞象眼等规则，避免出现两套合法性标准。</w:t>
      </w:r>
    </w:p>
    <w:p w14:paraId="5BA5F76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drawBoard根据legalMoves中起点等于selected的走法构造目标集合。集合只用于本次绘制，不作为权威缓存；gameId或revision变化后选择与推荐被清空。这能防止悔棋后仍显示旧推荐、旧起点或已经不存在的合法落点。</w:t>
      </w:r>
    </w:p>
    <w:p w14:paraId="2B7F8A8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性能检查采用浏览器Performance API记录棋盘绘制与命令往返，用于辅助定位界面开销。该测量包含具体浏览器调度，不能从一次观测推导所有机器的刷新性能；对用户更关键的是思考期间仍能操作控制按钮。</w:t>
      </w:r>
    </w:p>
    <w:p w14:paraId="0856749B">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3.4 悔棋和回放的数据一致性</w:t>
      </w:r>
    </w:p>
    <w:p w14:paraId="4DEB157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撤销一步将有效走法数减一。人机撤销一轮则从后向前寻找最近一次由人类执方开始的走法，截断到其起点。若人类已经行棋而AI尚未回复，只撤销这一步；若AI已经回复，一并撤销对应回复。执黑时AI开局的第一步不属于可撤销的人类行动。</w:t>
      </w:r>
    </w:p>
    <w:p w14:paraId="0E15B2F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截断同时处理moves和positions，并设置display为目标序号、control为paused。局面快照带回无吃子计数与历史键，因此不能只恢复棋子位置而忘记重复局面统计。服务端在控制命令成功后推进revision，版本不会随着棋盘回到旧局面而倒退。</w:t>
      </w:r>
    </w:p>
    <w:p w14:paraId="3F80D6F9">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3.4.1 历史分支与统计</w:t>
      </w:r>
    </w:p>
    <w:p w14:paraId="4D42CFE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回放导航只改变display，不删除实际历史。用户选择“从此处继续”并确认后，服务端截断后续走法；选择终局节点时禁止继续落子。退出回放回到实际终点，但仍保持暂停，避免AI在用户未确认时立即推进。</w:t>
      </w:r>
    </w:p>
    <w:tbl>
      <w:tblPr>
        <w:tblStyle w:val="11"/>
        <w:tblW w:w="0" w:type="auto"/>
        <w:tblInd w:w="0" w:type="dxa"/>
        <w:tblLayout w:type="fixed"/>
        <w:tblCellMar>
          <w:top w:w="0" w:type="dxa"/>
          <w:left w:w="108" w:type="dxa"/>
          <w:bottom w:w="0" w:type="dxa"/>
          <w:right w:w="108" w:type="dxa"/>
        </w:tblCellMar>
      </w:tblPr>
      <w:tblGrid>
        <w:gridCol w:w="1656"/>
        <w:gridCol w:w="3816"/>
        <w:gridCol w:w="3168"/>
      </w:tblGrid>
      <w:tr w14:paraId="3CB08962">
        <w:tblPrEx>
          <w:tblCellMar>
            <w:top w:w="0" w:type="dxa"/>
            <w:left w:w="108" w:type="dxa"/>
            <w:bottom w:w="0" w:type="dxa"/>
            <w:right w:w="108" w:type="dxa"/>
          </w:tblCellMar>
        </w:tblPrEx>
        <w:trPr>
          <w:cantSplit/>
          <w:tblHeader/>
        </w:trPr>
        <w:tc>
          <w:tcPr>
            <w:tcW w:w="16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444644C">
            <w:pPr>
              <w:spacing w:before="0" w:after="0" w:line="276" w:lineRule="auto"/>
              <w:ind w:firstLine="0"/>
              <w:jc w:val="left"/>
            </w:pPr>
            <w:r>
              <w:rPr>
                <w:rFonts w:ascii="Times New Roman" w:hAnsi="Times New Roman" w:eastAsia="宋体"/>
                <w:b/>
                <w:color w:val="000000"/>
                <w:sz w:val="21"/>
              </w:rPr>
              <w:t>操作</w:t>
            </w:r>
          </w:p>
        </w:tc>
        <w:tc>
          <w:tcPr>
            <w:tcW w:w="381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E342423">
            <w:pPr>
              <w:spacing w:before="0" w:after="0" w:line="276" w:lineRule="auto"/>
              <w:ind w:firstLine="0"/>
              <w:jc w:val="left"/>
            </w:pPr>
            <w:r>
              <w:rPr>
                <w:rFonts w:ascii="Times New Roman" w:hAnsi="Times New Roman" w:eastAsia="宋体"/>
                <w:b/>
                <w:color w:val="000000"/>
                <w:sz w:val="21"/>
              </w:rPr>
              <w:t>历史变化</w:t>
            </w:r>
          </w:p>
        </w:tc>
        <w:tc>
          <w:tcPr>
            <w:tcW w:w="316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DEA201F">
            <w:pPr>
              <w:spacing w:before="0" w:after="0" w:line="276" w:lineRule="auto"/>
              <w:ind w:firstLine="0"/>
              <w:jc w:val="left"/>
            </w:pPr>
            <w:r>
              <w:rPr>
                <w:rFonts w:ascii="Times New Roman" w:hAnsi="Times New Roman" w:eastAsia="宋体"/>
                <w:b/>
                <w:color w:val="000000"/>
                <w:sz w:val="21"/>
              </w:rPr>
              <w:t>结果统计</w:t>
            </w:r>
          </w:p>
        </w:tc>
      </w:tr>
      <w:tr w14:paraId="38E71541">
        <w:tblPrEx>
          <w:tblCellMar>
            <w:top w:w="0" w:type="dxa"/>
            <w:left w:w="108" w:type="dxa"/>
            <w:bottom w:w="0" w:type="dxa"/>
            <w:right w:w="108" w:type="dxa"/>
          </w:tblCellMar>
        </w:tblPrEx>
        <w:trPr>
          <w:cantSplit/>
        </w:trPr>
        <w:tc>
          <w:tcPr>
            <w:tcW w:w="16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966C9A8">
            <w:pPr>
              <w:spacing w:before="0" w:after="0" w:line="276" w:lineRule="auto"/>
              <w:ind w:firstLine="0"/>
              <w:jc w:val="left"/>
            </w:pPr>
            <w:r>
              <w:rPr>
                <w:rFonts w:ascii="Times New Roman" w:hAnsi="Times New Roman" w:eastAsia="宋体"/>
                <w:b w:val="0"/>
                <w:color w:val="000000"/>
                <w:sz w:val="21"/>
              </w:rPr>
              <w:t>普通回放</w:t>
            </w:r>
          </w:p>
        </w:tc>
        <w:tc>
          <w:tcPr>
            <w:tcW w:w="381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86C4BE2">
            <w:pPr>
              <w:spacing w:before="0" w:after="0" w:line="276" w:lineRule="auto"/>
              <w:ind w:firstLine="0"/>
              <w:jc w:val="left"/>
            </w:pPr>
            <w:r>
              <w:rPr>
                <w:rFonts w:ascii="Times New Roman" w:hAnsi="Times New Roman" w:eastAsia="宋体"/>
                <w:b w:val="0"/>
                <w:color w:val="000000"/>
                <w:sz w:val="21"/>
              </w:rPr>
              <w:t>有效历史不变，只切换显示节点</w:t>
            </w:r>
          </w:p>
        </w:tc>
        <w:tc>
          <w:tcPr>
            <w:tcW w:w="316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A1DF033">
            <w:pPr>
              <w:spacing w:before="0" w:after="0" w:line="276" w:lineRule="auto"/>
              <w:ind w:firstLine="0"/>
              <w:jc w:val="left"/>
            </w:pPr>
            <w:r>
              <w:rPr>
                <w:rFonts w:ascii="Times New Roman" w:hAnsi="Times New Roman" w:eastAsia="宋体"/>
                <w:b w:val="0"/>
                <w:color w:val="000000"/>
                <w:sz w:val="21"/>
              </w:rPr>
              <w:t>不新增或撤销结果</w:t>
            </w:r>
          </w:p>
        </w:tc>
      </w:tr>
      <w:tr w14:paraId="266D60D4">
        <w:tblPrEx>
          <w:tblCellMar>
            <w:top w:w="0" w:type="dxa"/>
            <w:left w:w="108" w:type="dxa"/>
            <w:bottom w:w="0" w:type="dxa"/>
            <w:right w:w="108" w:type="dxa"/>
          </w:tblCellMar>
        </w:tblPrEx>
        <w:trPr>
          <w:cantSplit/>
        </w:trPr>
        <w:tc>
          <w:tcPr>
            <w:tcW w:w="16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BC335E2">
            <w:pPr>
              <w:spacing w:before="0" w:after="0" w:line="276" w:lineRule="auto"/>
              <w:ind w:firstLine="0"/>
              <w:jc w:val="left"/>
            </w:pPr>
            <w:r>
              <w:rPr>
                <w:rFonts w:ascii="Times New Roman" w:hAnsi="Times New Roman" w:eastAsia="宋体"/>
                <w:b w:val="0"/>
                <w:color w:val="000000"/>
                <w:sz w:val="21"/>
              </w:rPr>
              <w:t>终局悔棋</w:t>
            </w:r>
          </w:p>
        </w:tc>
        <w:tc>
          <w:tcPr>
            <w:tcW w:w="381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AED5706">
            <w:pPr>
              <w:spacing w:before="0" w:after="0" w:line="276" w:lineRule="auto"/>
              <w:ind w:firstLine="0"/>
              <w:jc w:val="left"/>
            </w:pPr>
            <w:r>
              <w:rPr>
                <w:rFonts w:ascii="Times New Roman" w:hAnsi="Times New Roman" w:eastAsia="宋体"/>
                <w:b w:val="0"/>
                <w:color w:val="000000"/>
                <w:sz w:val="21"/>
              </w:rPr>
              <w:t>截断到终局以前</w:t>
            </w:r>
          </w:p>
        </w:tc>
        <w:tc>
          <w:tcPr>
            <w:tcW w:w="316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D9654CB">
            <w:pPr>
              <w:spacing w:before="0" w:after="0" w:line="276" w:lineRule="auto"/>
              <w:ind w:firstLine="0"/>
              <w:jc w:val="left"/>
            </w:pPr>
            <w:r>
              <w:rPr>
                <w:rFonts w:ascii="Times New Roman" w:hAnsi="Times New Roman" w:eastAsia="宋体"/>
                <w:b w:val="0"/>
                <w:color w:val="000000"/>
                <w:sz w:val="21"/>
              </w:rPr>
              <w:t>撤回该gameId的有效终局</w:t>
            </w:r>
          </w:p>
        </w:tc>
      </w:tr>
      <w:tr w14:paraId="5DB531F3">
        <w:tblPrEx>
          <w:tblCellMar>
            <w:top w:w="0" w:type="dxa"/>
            <w:left w:w="108" w:type="dxa"/>
            <w:bottom w:w="0" w:type="dxa"/>
            <w:right w:w="108" w:type="dxa"/>
          </w:tblCellMar>
        </w:tblPrEx>
        <w:trPr>
          <w:cantSplit/>
        </w:trPr>
        <w:tc>
          <w:tcPr>
            <w:tcW w:w="16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F184103">
            <w:pPr>
              <w:spacing w:before="0" w:after="0" w:line="276" w:lineRule="auto"/>
              <w:ind w:firstLine="0"/>
              <w:jc w:val="left"/>
            </w:pPr>
            <w:r>
              <w:rPr>
                <w:rFonts w:ascii="Times New Roman" w:hAnsi="Times New Roman" w:eastAsia="宋体"/>
                <w:b w:val="0"/>
                <w:color w:val="000000"/>
                <w:sz w:val="21"/>
              </w:rPr>
              <w:t>导入棋谱</w:t>
            </w:r>
          </w:p>
        </w:tc>
        <w:tc>
          <w:tcPr>
            <w:tcW w:w="381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218191E">
            <w:pPr>
              <w:spacing w:before="0" w:after="0" w:line="276" w:lineRule="auto"/>
              <w:ind w:firstLine="0"/>
              <w:jc w:val="left"/>
            </w:pPr>
            <w:r>
              <w:rPr>
                <w:rFonts w:ascii="Times New Roman" w:hAnsi="Times New Roman" w:eastAsia="宋体"/>
                <w:b w:val="0"/>
                <w:color w:val="000000"/>
                <w:sz w:val="21"/>
              </w:rPr>
              <w:t>完整验证后替换为只读回放</w:t>
            </w:r>
          </w:p>
        </w:tc>
        <w:tc>
          <w:tcPr>
            <w:tcW w:w="316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9AD37B8">
            <w:pPr>
              <w:spacing w:before="0" w:after="0" w:line="276" w:lineRule="auto"/>
              <w:ind w:firstLine="0"/>
              <w:jc w:val="left"/>
            </w:pPr>
            <w:r>
              <w:rPr>
                <w:rFonts w:ascii="Times New Roman" w:hAnsi="Times New Roman" w:eastAsia="宋体"/>
                <w:b w:val="0"/>
                <w:color w:val="000000"/>
                <w:sz w:val="21"/>
              </w:rPr>
              <w:t>导入记录不计入本次统计</w:t>
            </w:r>
          </w:p>
        </w:tc>
      </w:tr>
      <w:tr w14:paraId="0DFD83C7">
        <w:tblPrEx>
          <w:tblCellMar>
            <w:top w:w="0" w:type="dxa"/>
            <w:left w:w="108" w:type="dxa"/>
            <w:bottom w:w="0" w:type="dxa"/>
            <w:right w:w="108" w:type="dxa"/>
          </w:tblCellMar>
        </w:tblPrEx>
        <w:trPr>
          <w:cantSplit/>
        </w:trPr>
        <w:tc>
          <w:tcPr>
            <w:tcW w:w="16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4AAB7FC">
            <w:pPr>
              <w:spacing w:before="0" w:after="0" w:line="276" w:lineRule="auto"/>
              <w:ind w:firstLine="0"/>
              <w:jc w:val="left"/>
            </w:pPr>
            <w:r>
              <w:rPr>
                <w:rFonts w:ascii="Times New Roman" w:hAnsi="Times New Roman" w:eastAsia="宋体"/>
                <w:b w:val="0"/>
                <w:color w:val="000000"/>
                <w:sz w:val="21"/>
              </w:rPr>
              <w:t>导入后继续</w:t>
            </w:r>
          </w:p>
        </w:tc>
        <w:tc>
          <w:tcPr>
            <w:tcW w:w="381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2DBBBD5">
            <w:pPr>
              <w:spacing w:before="0" w:after="0" w:line="276" w:lineRule="auto"/>
              <w:ind w:firstLine="0"/>
              <w:jc w:val="left"/>
            </w:pPr>
            <w:r>
              <w:rPr>
                <w:rFonts w:ascii="Times New Roman" w:hAnsi="Times New Roman" w:eastAsia="宋体"/>
                <w:b w:val="0"/>
                <w:color w:val="000000"/>
                <w:sz w:val="21"/>
              </w:rPr>
              <w:t>截断或恢复时生成新gameId</w:t>
            </w:r>
          </w:p>
        </w:tc>
        <w:tc>
          <w:tcPr>
            <w:tcW w:w="316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5344BB6">
            <w:pPr>
              <w:spacing w:before="0" w:after="0" w:line="276" w:lineRule="auto"/>
              <w:ind w:firstLine="0"/>
              <w:jc w:val="left"/>
            </w:pPr>
            <w:r>
              <w:rPr>
                <w:rFonts w:ascii="Times New Roman" w:hAnsi="Times New Roman" w:eastAsia="宋体"/>
                <w:b w:val="0"/>
                <w:color w:val="000000"/>
                <w:sz w:val="21"/>
              </w:rPr>
              <w:t>后续真实终局正常计一次</w:t>
            </w:r>
          </w:p>
        </w:tc>
      </w:tr>
      <w:tr w14:paraId="2FC8A5E0">
        <w:tblPrEx>
          <w:tblCellMar>
            <w:top w:w="0" w:type="dxa"/>
            <w:left w:w="108" w:type="dxa"/>
            <w:bottom w:w="0" w:type="dxa"/>
            <w:right w:w="108" w:type="dxa"/>
          </w:tblCellMar>
        </w:tblPrEx>
        <w:trPr>
          <w:cantSplit/>
        </w:trPr>
        <w:tc>
          <w:tcPr>
            <w:tcW w:w="16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53F52C7">
            <w:pPr>
              <w:spacing w:before="0" w:after="0" w:line="276" w:lineRule="auto"/>
              <w:ind w:firstLine="0"/>
              <w:jc w:val="left"/>
            </w:pPr>
            <w:r>
              <w:rPr>
                <w:rFonts w:ascii="Times New Roman" w:hAnsi="Times New Roman" w:eastAsia="宋体"/>
                <w:b w:val="0"/>
                <w:color w:val="000000"/>
                <w:sz w:val="21"/>
              </w:rPr>
              <w:t>新建对局</w:t>
            </w:r>
          </w:p>
        </w:tc>
        <w:tc>
          <w:tcPr>
            <w:tcW w:w="381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7D8D34D">
            <w:pPr>
              <w:spacing w:before="0" w:after="0" w:line="276" w:lineRule="auto"/>
              <w:ind w:firstLine="0"/>
              <w:jc w:val="left"/>
            </w:pPr>
            <w:r>
              <w:rPr>
                <w:rFonts w:ascii="Times New Roman" w:hAnsi="Times New Roman" w:eastAsia="宋体"/>
                <w:b w:val="0"/>
                <w:color w:val="000000"/>
                <w:sz w:val="21"/>
              </w:rPr>
              <w:t>创建新身份和初始快照</w:t>
            </w:r>
          </w:p>
        </w:tc>
        <w:tc>
          <w:tcPr>
            <w:tcW w:w="3168"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83AFF17">
            <w:pPr>
              <w:spacing w:before="0" w:after="0" w:line="276" w:lineRule="auto"/>
              <w:ind w:firstLine="0"/>
              <w:jc w:val="left"/>
            </w:pPr>
            <w:r>
              <w:rPr>
                <w:rFonts w:ascii="Times New Roman" w:hAnsi="Times New Roman" w:eastAsia="宋体"/>
                <w:b w:val="0"/>
                <w:color w:val="000000"/>
                <w:sz w:val="21"/>
              </w:rPr>
              <w:t>保留此前有效完成局结果</w:t>
            </w:r>
          </w:p>
        </w:tc>
      </w:tr>
    </w:tbl>
    <w:p w14:paraId="45EF5133">
      <w:pPr>
        <w:pageBreakBefore w:val="0"/>
        <w:widowControl/>
        <w:snapToGrid w:val="0"/>
        <w:spacing w:before="0" w:after="0" w:line="72" w:lineRule="auto"/>
        <w:ind w:left="0" w:right="0" w:firstLine="0"/>
        <w:jc w:val="center"/>
      </w:pPr>
    </w:p>
    <w:p w14:paraId="00366CD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Controller用gameId到终局结果的映射维护统计，协调函数根据当前终点设置或删除该项。重复收到终局状态只会覆盖同一键，不会再次累加；回放到初始节点也不会让已完成实际对局的统计凭空消失。</w:t>
      </w:r>
    </w:p>
    <w:p w14:paraId="5E5307E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本次运行统计不等同于长期成绩数据库。对局服务重启会丢失内存状态，用户应在结束演示前导出棋谱；导入恢复历史也不伪造原来服务进程中的累计场次。</w:t>
      </w:r>
    </w:p>
    <w:p w14:paraId="19DC61B7">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3.5 棋谱导入导出与原子性</w:t>
      </w:r>
    </w:p>
    <w:p w14:paraId="2351370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导出对象包含格式标识、记录版本、课程规则集、带时区创建时间、对战配置、走法列表和结果。前端接收record消息后创建JSON Blob并触发下载，使用后释放对象URL。用户导入文件时，前端负责读取和传送，最终合法性由后端验证。</w:t>
      </w:r>
    </w:p>
    <w:p w14:paraId="73D10EAA">
      <w:pPr>
        <w:keepNext/>
        <w:pageBreakBefore w:val="0"/>
        <w:widowControl/>
        <w:snapToGrid w:val="0"/>
        <w:spacing w:before="0" w:after="0" w:line="240" w:lineRule="auto"/>
        <w:ind w:left="0" w:right="0" w:firstLine="0"/>
        <w:jc w:val="center"/>
      </w:pPr>
      <w:r>
        <w:drawing>
          <wp:inline distT="0" distB="0" distL="114300" distR="114300">
            <wp:extent cx="5490845" cy="1804035"/>
            <wp:effectExtent l="0" t="0" r="825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90882" cy="1804147"/>
                    </a:xfrm>
                    <a:prstGeom prst="rect">
                      <a:avLst/>
                    </a:prstGeom>
                  </pic:spPr>
                </pic:pic>
              </a:graphicData>
            </a:graphic>
          </wp:inline>
        </w:drawing>
      </w:r>
    </w:p>
    <w:p w14:paraId="73F59C87">
      <w:pPr>
        <w:pageBreakBefore w:val="0"/>
        <w:widowControl/>
        <w:snapToGrid w:val="0"/>
        <w:spacing w:before="0" w:after="0" w:line="240" w:lineRule="auto"/>
        <w:ind w:left="0" w:right="0" w:firstLine="0"/>
        <w:jc w:val="center"/>
        <w:rPr>
          <w:rFonts w:ascii="Times New Roman" w:hAnsi="Times New Roman" w:eastAsia="宋体"/>
          <w:b w:val="0"/>
          <w:color w:val="000000"/>
          <w:sz w:val="21"/>
        </w:rPr>
      </w:pPr>
      <w:r>
        <w:rPr>
          <w:rFonts w:ascii="Times New Roman" w:hAnsi="Times New Roman" w:eastAsia="宋体"/>
          <w:b w:val="0"/>
          <w:color w:val="000000"/>
          <w:sz w:val="21"/>
        </w:rPr>
        <w:t>图6 棋谱导入的验证与替换流程</w:t>
      </w:r>
    </w:p>
    <w:p w14:paraId="34BA7290">
      <w:pPr>
        <w:pageBreakBefore w:val="0"/>
        <w:widowControl/>
        <w:snapToGrid w:val="0"/>
        <w:spacing w:before="0" w:after="0" w:line="240" w:lineRule="auto"/>
        <w:ind w:left="0" w:right="0" w:firstLine="0"/>
        <w:jc w:val="center"/>
        <w:rPr>
          <w:rFonts w:ascii="Times New Roman" w:hAnsi="Times New Roman" w:eastAsia="宋体"/>
          <w:b w:val="0"/>
          <w:color w:val="000000"/>
          <w:sz w:val="21"/>
        </w:rPr>
      </w:pPr>
    </w:p>
    <w:p w14:paraId="64CC0C6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验证先检查字段集合、版本、规则集、配置和时间，再从标准初始局面创建临时Game，按序重放所有走法。每一步都经过规则验证，末尾结果必须与重放结果相同。任何阶段失败均抛出INVALID_RECORD；原Controller.game直到新对象构建成功才被替换。</w:t>
      </w:r>
    </w:p>
    <w:p w14:paraId="6465608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例如，标准初始局面中from=54、to=0的走法不合法。把它写入moves后导入，服务端返回错误，当前gameId、棋盘和有效历史不变。修改文件中result宣称红方将死获胜，而重放并未形成终局，也会被拒绝。</w:t>
      </w:r>
    </w:p>
    <w:p w14:paraId="315633F4">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记录最多10000个半回合，通信消息上限1MiB，两项限制同时生效；理论上满足步数上限的文件仍可能因总字节数过大而被拒绝。导入不提供任意摆棋功能，文件中的引擎配置也不能改变课程规则。</w:t>
      </w:r>
    </w:p>
    <w:p w14:paraId="068B3DAC">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3.6 异步任务、版本与将军提示</w:t>
      </w:r>
    </w:p>
    <w:p w14:paraId="5B5E605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搜索开始时保存对局对象引用、gameId与revision，返回时再次比较。对象已被替换、版本已变化或控制状态不再允许落子，就丢弃结果。暂停、悔棋、新局、导入和回放都触发任务取消；版本比较是取消之外的第二道一致性检查，不能假定网络取消总能先于旧结果到达。</w:t>
      </w:r>
    </w:p>
    <w:p w14:paraId="7A32F537">
      <w:pPr>
        <w:keepNext/>
        <w:pageBreakBefore w:val="0"/>
        <w:widowControl/>
        <w:snapToGrid w:val="0"/>
        <w:spacing w:before="0" w:after="0" w:line="240" w:lineRule="auto"/>
        <w:ind w:left="0" w:right="0" w:firstLine="0"/>
        <w:jc w:val="center"/>
      </w:pPr>
      <w:r>
        <w:drawing>
          <wp:inline distT="0" distB="0" distL="114300" distR="114300">
            <wp:extent cx="5490845" cy="2117725"/>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90882" cy="2117912"/>
                    </a:xfrm>
                    <a:prstGeom prst="rect">
                      <a:avLst/>
                    </a:prstGeom>
                  </pic:spPr>
                </pic:pic>
              </a:graphicData>
            </a:graphic>
          </wp:inline>
        </w:drawing>
      </w:r>
    </w:p>
    <w:p w14:paraId="698826CD">
      <w:pPr>
        <w:pageBreakBefore w:val="0"/>
        <w:widowControl/>
        <w:snapToGrid w:val="0"/>
        <w:spacing w:before="0" w:after="0" w:line="240" w:lineRule="auto"/>
        <w:ind w:left="0" w:right="0" w:firstLine="0"/>
        <w:jc w:val="center"/>
        <w:rPr>
          <w:rFonts w:ascii="Times New Roman" w:hAnsi="Times New Roman" w:eastAsia="宋体"/>
          <w:b w:val="0"/>
          <w:color w:val="000000"/>
          <w:sz w:val="21"/>
        </w:rPr>
      </w:pPr>
      <w:r>
        <w:rPr>
          <w:rFonts w:ascii="Times New Roman" w:hAnsi="Times New Roman" w:eastAsia="宋体"/>
          <w:b w:val="0"/>
          <w:color w:val="000000"/>
          <w:sz w:val="21"/>
        </w:rPr>
        <w:t>图7 暂停期间处理旧AI结果的顺序</w:t>
      </w:r>
    </w:p>
    <w:p w14:paraId="50EA5572">
      <w:pPr>
        <w:pageBreakBefore w:val="0"/>
        <w:widowControl/>
        <w:snapToGrid w:val="0"/>
        <w:spacing w:before="0" w:after="0" w:line="240" w:lineRule="auto"/>
        <w:ind w:left="0" w:right="0" w:firstLine="0"/>
        <w:jc w:val="center"/>
        <w:rPr>
          <w:rFonts w:ascii="Times New Roman" w:hAnsi="Times New Roman" w:eastAsia="宋体"/>
          <w:b w:val="0"/>
          <w:color w:val="000000"/>
          <w:sz w:val="21"/>
        </w:rPr>
      </w:pPr>
    </w:p>
    <w:p w14:paraId="72493CA4">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推荐和自动落子的用途不同。推荐成功只发recommendation，前端核对当前版本后显示起终点。自动搜索失败则暂停；暂停或回放中的推荐失败保留原控制状态和显示节点。服务端清除thinking并发送错误及新状态，使用户能够继续保存和导航。</w:t>
      </w:r>
    </w:p>
    <w:p w14:paraId="304E44FA">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3.6.1 将军提示的触发边界</w:t>
      </w:r>
    </w:p>
    <w:p w14:paraId="7AF0458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提示要求同一个gameId、历史长度增加、当前行棋方被将军、实际对局尚未结束且control为running。重复推送同一步、导入历史和回放节点不触发动画。新局、悔棋和进入回放会清除已有提示，约1400ms后提示自动消退。</w:t>
      </w:r>
    </w:p>
    <w:p w14:paraId="3D4760A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这里使用历史增长表达真实新落子，避免把revision变化误当成新着法。revision还会因暂停、退出回放等操作增长，单独比较revision会导致无落子时反复出现“将军”。将死由终局文字说明，不与普通将军动画混为同一事件。</w:t>
      </w:r>
    </w:p>
    <w:p w14:paraId="20401DDF">
      <w:pPr>
        <w:keepNext/>
        <w:pageBreakBefore/>
        <w:widowControl/>
        <w:snapToGrid w:val="0"/>
        <w:spacing w:before="0" w:after="0" w:line="360" w:lineRule="auto"/>
        <w:ind w:left="0" w:right="0" w:firstLine="0"/>
        <w:jc w:val="both"/>
      </w:pPr>
      <w:r>
        <w:rPr>
          <w:rFonts w:ascii="Times New Roman" w:hAnsi="Times New Roman" w:eastAsia="宋体"/>
          <w:b/>
          <w:color w:val="000000"/>
          <w:sz w:val="28"/>
        </w:rPr>
        <w:t>四、部分核心代码</w:t>
      </w:r>
    </w:p>
    <w:p w14:paraId="0E6D7999">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4.1 点击落子与状态同步伪代码</w:t>
      </w:r>
    </w:p>
    <w:p w14:paraId="06D5BEE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以下伪代码说明点击落子与状态同步的核心逻辑，省略具体语言语法和DOM实现。第一段对应main.ts中的点击处理。它体现前端校验用于减少无效交互，服务端仍需重新验证；发送命令后等待完整状态，不能在确认前乐观修改权威棋盘。</w:t>
      </w:r>
    </w:p>
    <w:p w14:paraId="6F82294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HandleSquare(index)</w:t>
      </w:r>
    </w:p>
    <w:p w14:paraId="65BB442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disconnected OR pending THEN RETURN</w:t>
      </w:r>
    </w:p>
    <w:p w14:paraId="43BAB99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control != RUNNING OR finished THEN RETURN</w:t>
      </w:r>
    </w:p>
    <w:p w14:paraId="2349300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currentSideIsAI THEN RETURN</w:t>
      </w:r>
    </w:p>
    <w:p w14:paraId="1A749C6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selected EXISTS AND (selected, index) IN legalMoves THEN</w:t>
      </w:r>
    </w:p>
    <w:p w14:paraId="1B6957D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SEND Move(selected, index, gameId, revision, NewRequestId())</w:t>
      </w:r>
    </w:p>
    <w:p w14:paraId="3D83494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selected &lt;- NONE</w:t>
      </w:r>
    </w:p>
    <w:p w14:paraId="31C59AA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recommendation &lt;- NONE</w:t>
      </w:r>
    </w:p>
    <w:p w14:paraId="6609F5E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RETURN</w:t>
      </w:r>
    </w:p>
    <w:p w14:paraId="5EA130E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1633A32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IsCurrentSidePiece(index) AND index != selected THEN</w:t>
      </w:r>
    </w:p>
    <w:p w14:paraId="40199C0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selected &lt;- index</w:t>
      </w:r>
    </w:p>
    <w:p w14:paraId="3436612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ELSE</w:t>
      </w:r>
    </w:p>
    <w:p w14:paraId="7D246A2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selected &lt;- NONE</w:t>
      </w:r>
    </w:p>
    <w:p w14:paraId="13BCF426">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2A16FD2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RenderFromServerState()</w:t>
      </w:r>
    </w:p>
    <w:p w14:paraId="32B89EF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2EA7829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在标准初始局面点击索引54，会选中红兵并显示45为合法前进目标；再点45，发送请求。服务端成功后，54为空、45为红兵、行棋方变黑，历史长度由0变为1。如果此时再次试图从45走到36，因当前轮到黑方而不能执行红兵行棋。</w:t>
      </w:r>
    </w:p>
    <w:p w14:paraId="2BD311B6">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4.1.1 状态消息的处理顺序</w:t>
      </w:r>
    </w:p>
    <w:p w14:paraId="332F934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OnState(next)</w:t>
      </w:r>
    </w:p>
    <w:p w14:paraId="79BB922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UpdateCheckNotice(previousState, next)</w:t>
      </w:r>
    </w:p>
    <w:p w14:paraId="3D5D493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IdentityOrRevisionChanged(previousState, next) THEN</w:t>
      </w:r>
    </w:p>
    <w:p w14:paraId="28A7DF2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selected &lt;- NONE</w:t>
      </w:r>
    </w:p>
    <w:p w14:paraId="22F2FCB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recommendation &lt;- NONE</w:t>
      </w:r>
    </w:p>
    <w:p w14:paraId="490D1AA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59221086">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state &lt;- next</w:t>
      </w:r>
    </w:p>
    <w:p w14:paraId="2FC4011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pending &lt;- FALSE</w:t>
      </w:r>
    </w:p>
    <w:p w14:paraId="14EDA8FE">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RenderFromServerState()</w:t>
      </w:r>
    </w:p>
    <w:p w14:paraId="630822A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5EEE142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提示比较使用旧状态与新状态，因此应在替换state之前执行。随后清除过期辅助信息，再更新棋盘和按钮。该顺序把事件识别和最终渲染区分开，避免覆盖旧值后无法判断是否出现新落子。</w:t>
      </w:r>
    </w:p>
    <w:p w14:paraId="75E22762">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4.2 历史恢复与导入伪代码</w:t>
      </w:r>
    </w:p>
    <w:p w14:paraId="1704785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历史恢复的关键是所有关联数据使用同一个目标节点。下面的过程对应撤销一步和撤销人类一轮的共同截断操作；position快照已包含历史计数，恢复后无需从棋盘文字推算过去发生过什么。</w:t>
      </w:r>
    </w:p>
    <w:p w14:paraId="5EB9666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Undo(scope)</w:t>
      </w:r>
    </w:p>
    <w:p w14:paraId="4DF1A37C">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REQUIRE control != REPLAY</w:t>
      </w:r>
    </w:p>
    <w:p w14:paraId="058578F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target &lt;- Length(moves) - 1</w:t>
      </w:r>
    </w:p>
    <w:p w14:paraId="3B27000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scope == HUMAN_TURN THEN</w:t>
      </w:r>
    </w:p>
    <w:p w14:paraId="54428F6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REQUIRE mode == HUMAN_AI</w:t>
      </w:r>
    </w:p>
    <w:p w14:paraId="1A2AFC2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target &lt;- LastIndexWhere(PositionSideBeforeMove == humanSide)</w:t>
      </w:r>
    </w:p>
    <w:p w14:paraId="4613141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03F7987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REQUIRE target &gt;= 0</w:t>
      </w:r>
    </w:p>
    <w:p w14:paraId="522E34C8">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moves &lt;- Prefix(moves, target)</w:t>
      </w:r>
    </w:p>
    <w:p w14:paraId="60BF192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positions &lt;- Prefix(positions, target + 1)</w:t>
      </w:r>
    </w:p>
    <w:p w14:paraId="6E40A50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display &lt;- target</w:t>
      </w:r>
    </w:p>
    <w:p w14:paraId="2AFFA18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control &lt;- PAUSED</w:t>
      </w:r>
    </w:p>
    <w:p w14:paraId="739DF86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revision &lt;- revision + 1</w:t>
      </w:r>
    </w:p>
    <w:p w14:paraId="5DC6366E">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CancelSearchAndClearThinking()</w:t>
      </w:r>
    </w:p>
    <w:p w14:paraId="77A5CB7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ReconcileResultByGameId()</w:t>
      </w:r>
    </w:p>
    <w:p w14:paraId="4F00BBB6">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67FAC380">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4.2.1 先验证再替换</w:t>
      </w:r>
    </w:p>
    <w:p w14:paraId="6C79E77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ImportRecord(record)</w:t>
      </w:r>
    </w:p>
    <w:p w14:paraId="117E256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ValidateMetadataAndLimits(record)</w:t>
      </w:r>
    </w:p>
    <w:p w14:paraId="7C5B43C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candidate &lt;- NewGame(record.settings)</w:t>
      </w:r>
    </w:p>
    <w:p w14:paraId="49C4F85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FOR EACH move IN record.moves DO</w:t>
      </w:r>
    </w:p>
    <w:p w14:paraId="65DE0FD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ValidateAndApply(candidate, move)</w:t>
      </w:r>
    </w:p>
    <w:p w14:paraId="2800D1B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FOR</w:t>
      </w:r>
    </w:p>
    <w:p w14:paraId="0E70329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REQUIRE RecomputedResult(candidate) == record.result</w:t>
      </w:r>
    </w:p>
    <w:p w14:paraId="3A6214D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candidate.control &lt;- REPLAY</w:t>
      </w:r>
    </w:p>
    <w:p w14:paraId="47A5DA1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candidate.imported &lt;- TRUE</w:t>
      </w:r>
    </w:p>
    <w:p w14:paraId="293E03B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controller.game &lt;- candidate</w:t>
      </w:r>
    </w:p>
    <w:p w14:paraId="1C2B14B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CancelPreviousSearch()</w:t>
      </w:r>
    </w:p>
    <w:p w14:paraId="76F66A1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PublishFullState()</w:t>
      </w:r>
    </w:p>
    <w:p w14:paraId="52A7969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15F6943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候选对象只在验证结束后写入controller。若第k步失败，错误信息说明对应半回合，临时候选被丢弃，用户原局保持完整。该流程也解释了为什么不能边读文件边修改当前棋盘：中途失败会留下半份历史和不一致的统计。</w:t>
      </w:r>
    </w:p>
    <w:p w14:paraId="1AEB9E44">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伪代码描述职责关系，真实实现还包含类型检查、请求版本、异常映射及协议消息处理。复杂度上，保存n步历史需要n+1个局面；导入需重放n步并逐步验证，其成本受规则生成与历史记录限制影响。</w:t>
      </w:r>
    </w:p>
    <w:p w14:paraId="5A7F2C49">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4.3 AI结果接纳与统计伪代码</w:t>
      </w:r>
    </w:p>
    <w:p w14:paraId="564E3A2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我负责的对局调度不决定AI如何搜索，只决定什么结果可以进入当前对局。下面以自动落子为例，先检查响应关联与走法，再确认对局身份仍然有效，最后提交落子并协调统计。</w:t>
      </w:r>
    </w:p>
    <w:p w14:paraId="226C1A0F">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AcceptSearchResult(response, capturedGame, gid, rev)</w:t>
      </w:r>
    </w:p>
    <w:p w14:paraId="219329B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REQUIRE ResponseAssociationMatches(response, gid, rev)</w:t>
      </w:r>
    </w:p>
    <w:p w14:paraId="319A015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REQUIRE response.move IN LegalMoves(capturedPosition)</w:t>
      </w:r>
    </w:p>
    <w:p w14:paraId="24F50FA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currentGame != capturedGame THEN RETURN</w:t>
      </w:r>
    </w:p>
    <w:p w14:paraId="55828C06">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currentGame.id != gid OR currentGame.revision != rev THEN RETURN</w:t>
      </w:r>
    </w:p>
    <w:p w14:paraId="769A66F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purpose == RECOMMEND THEN</w:t>
      </w:r>
    </w:p>
    <w:p w14:paraId="28794E82">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PublishRecommendationWithoutMoving(response)</w:t>
      </w:r>
    </w:p>
    <w:p w14:paraId="492D635D">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ELSE</w:t>
      </w:r>
    </w:p>
    <w:p w14:paraId="73EF2F4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REQUIRE currentGame.control == RUNNING</w:t>
      </w:r>
    </w:p>
    <w:p w14:paraId="6043BD60">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ApplyValidatedMove(response.move)</w:t>
      </w:r>
    </w:p>
    <w:p w14:paraId="6BF3C97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currentGame.revision &lt;- currentGame.revision + 1</w:t>
      </w:r>
    </w:p>
    <w:p w14:paraId="5690253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ReconcileResultByGameId()</w:t>
      </w:r>
    </w:p>
    <w:p w14:paraId="3F327A8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3E452AF4">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PublishFullState()</w:t>
      </w:r>
    </w:p>
    <w:p w14:paraId="0A4675CA">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29E3EE2E">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4.3.1 有效终局映射</w:t>
      </w:r>
    </w:p>
    <w:p w14:paraId="13DF9ED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PROCEDURE ReconcileResultByGameId()</w:t>
      </w:r>
    </w:p>
    <w:p w14:paraId="01DB93D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noGame OR game.imported THEN RETURN</w:t>
      </w:r>
    </w:p>
    <w:p w14:paraId="40F3C4DE">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result &lt;- ResultOfActualEndpoint(game)</w:t>
      </w:r>
    </w:p>
    <w:p w14:paraId="7A37C4C7">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IF result EXISTS THEN</w:t>
      </w:r>
    </w:p>
    <w:p w14:paraId="0ADB27F1">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results[game.id] &lt;- result</w:t>
      </w:r>
    </w:p>
    <w:p w14:paraId="2C08D0F5">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ELSE</w:t>
      </w:r>
    </w:p>
    <w:p w14:paraId="5F0A9D03">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RemoveIfPresent(results, game.id)</w:t>
      </w:r>
    </w:p>
    <w:p w14:paraId="63C9963B">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 xml:space="preserve">  END IF</w:t>
      </w:r>
    </w:p>
    <w:p w14:paraId="3CC3FD99">
      <w:pPr>
        <w:pageBreakBefore w:val="0"/>
        <w:widowControl/>
        <w:snapToGrid w:val="0"/>
        <w:spacing w:before="0" w:after="0" w:line="240" w:lineRule="auto"/>
        <w:ind w:left="0" w:right="0" w:firstLine="420"/>
        <w:jc w:val="both"/>
      </w:pPr>
      <w:r>
        <w:rPr>
          <w:rFonts w:ascii="Times New Roman" w:hAnsi="Times New Roman" w:eastAsia="宋体"/>
          <w:b w:val="0"/>
          <w:color w:val="000000"/>
          <w:sz w:val="21"/>
        </w:rPr>
        <w:t>END PROCEDURE</w:t>
      </w:r>
    </w:p>
    <w:p w14:paraId="247EA29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若同一gameId的和棋结果被处理两次，映射仍只有一项；若终局后悔棋恢复到非终局，则删除该项。红胜、黑胜和和棋数量由映射中winner分类得到，而不是每收到一次终局消息就直接加一。</w:t>
      </w:r>
    </w:p>
    <w:p w14:paraId="3545314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搜索任务取消与结果版本检查共同保护一致性。取消用于减少无用计算并释放资源，版本检查用于处理已经在途的结果。两者不能互相替代，尤其是在暂停命令与AI响应几乎同时到达时。</w:t>
      </w:r>
    </w:p>
    <w:p w14:paraId="583F5D1F">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五、软件测试及其结果分析</w:t>
      </w:r>
    </w:p>
    <w:p w14:paraId="2A7B1221">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5.1 测试层次、环境与执行方法</w:t>
      </w:r>
    </w:p>
    <w:p w14:paraId="266C7E2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测试分为规则与模块单元测试、真实WebSocket集成测试、Windows交付测试和浏览器人工检查。我的主要验证对象是对局状态、接口协作和交付行为；规则与搜索测试用于确认依赖模块没有破坏系统。通过数量仅表示测试断言覆盖的场景成立，不表示穷尽象棋所有局面。</w:t>
      </w:r>
    </w:p>
    <w:tbl>
      <w:tblPr>
        <w:tblStyle w:val="11"/>
        <w:tblW w:w="0" w:type="auto"/>
        <w:tblInd w:w="0" w:type="dxa"/>
        <w:tblLayout w:type="fixed"/>
        <w:tblCellMar>
          <w:top w:w="0" w:type="dxa"/>
          <w:left w:w="108" w:type="dxa"/>
          <w:bottom w:w="0" w:type="dxa"/>
          <w:right w:w="108" w:type="dxa"/>
        </w:tblCellMar>
      </w:tblPr>
      <w:tblGrid>
        <w:gridCol w:w="1584"/>
        <w:gridCol w:w="3456"/>
        <w:gridCol w:w="3600"/>
      </w:tblGrid>
      <w:tr w14:paraId="4C586A9C">
        <w:tblPrEx>
          <w:tblCellMar>
            <w:top w:w="0" w:type="dxa"/>
            <w:left w:w="108" w:type="dxa"/>
            <w:bottom w:w="0" w:type="dxa"/>
            <w:right w:w="108" w:type="dxa"/>
          </w:tblCellMar>
        </w:tblPrEx>
        <w:trPr>
          <w:cantSplit/>
          <w:tblHeader/>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1D4F0FE">
            <w:pPr>
              <w:spacing w:before="0" w:after="0" w:line="276" w:lineRule="auto"/>
              <w:ind w:firstLine="0"/>
              <w:jc w:val="left"/>
            </w:pPr>
            <w:r>
              <w:rPr>
                <w:rFonts w:ascii="Times New Roman" w:hAnsi="Times New Roman" w:eastAsia="宋体"/>
                <w:b/>
                <w:color w:val="000000"/>
                <w:sz w:val="21"/>
              </w:rPr>
              <w:t>层次</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43ADA82">
            <w:pPr>
              <w:spacing w:before="0" w:after="0" w:line="276" w:lineRule="auto"/>
              <w:ind w:firstLine="0"/>
              <w:jc w:val="left"/>
            </w:pPr>
            <w:r>
              <w:rPr>
                <w:rFonts w:ascii="Times New Roman" w:hAnsi="Times New Roman" w:eastAsia="宋体"/>
                <w:b/>
                <w:color w:val="000000"/>
                <w:sz w:val="21"/>
              </w:rPr>
              <w:t>方法</w:t>
            </w:r>
          </w:p>
        </w:tc>
        <w:tc>
          <w:tcPr>
            <w:tcW w:w="36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92B5F0B">
            <w:pPr>
              <w:spacing w:before="0" w:after="0" w:line="276" w:lineRule="auto"/>
              <w:ind w:firstLine="0"/>
              <w:jc w:val="left"/>
            </w:pPr>
            <w:r>
              <w:rPr>
                <w:rFonts w:ascii="Times New Roman" w:hAnsi="Times New Roman" w:eastAsia="宋体"/>
                <w:b/>
                <w:color w:val="000000"/>
                <w:sz w:val="21"/>
              </w:rPr>
              <w:t>重点</w:t>
            </w:r>
          </w:p>
        </w:tc>
      </w:tr>
      <w:tr w14:paraId="0D6E4386">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C11AEFE">
            <w:pPr>
              <w:spacing w:before="0" w:after="0" w:line="276" w:lineRule="auto"/>
              <w:ind w:firstLine="0"/>
              <w:jc w:val="left"/>
            </w:pPr>
            <w:r>
              <w:rPr>
                <w:rFonts w:ascii="Times New Roman" w:hAnsi="Times New Roman" w:eastAsia="宋体"/>
                <w:b w:val="0"/>
                <w:color w:val="000000"/>
                <w:sz w:val="21"/>
              </w:rPr>
              <w:t>模块单元</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12A8170">
            <w:pPr>
              <w:spacing w:before="0" w:after="0" w:line="276" w:lineRule="auto"/>
              <w:ind w:firstLine="0"/>
              <w:jc w:val="left"/>
            </w:pPr>
            <w:r>
              <w:rPr>
                <w:rFonts w:ascii="Times New Roman" w:hAnsi="Times New Roman" w:eastAsia="宋体"/>
                <w:b w:val="0"/>
                <w:color w:val="000000"/>
                <w:sz w:val="21"/>
              </w:rPr>
              <w:t>unittest直接创建Game和Controller</w:t>
            </w:r>
          </w:p>
        </w:tc>
        <w:tc>
          <w:tcPr>
            <w:tcW w:w="36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1F2BC27">
            <w:pPr>
              <w:spacing w:before="0" w:after="0" w:line="276" w:lineRule="auto"/>
              <w:ind w:firstLine="0"/>
              <w:jc w:val="left"/>
            </w:pPr>
            <w:r>
              <w:rPr>
                <w:rFonts w:ascii="Times New Roman" w:hAnsi="Times New Roman" w:eastAsia="宋体"/>
                <w:b w:val="0"/>
                <w:color w:val="000000"/>
                <w:sz w:val="21"/>
              </w:rPr>
              <w:t>悔棋、回放、统计、版本、非法导入</w:t>
            </w:r>
          </w:p>
        </w:tc>
      </w:tr>
      <w:tr w14:paraId="78787982">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B69B445">
            <w:pPr>
              <w:spacing w:before="0" w:after="0" w:line="276" w:lineRule="auto"/>
              <w:ind w:firstLine="0"/>
              <w:jc w:val="left"/>
            </w:pPr>
            <w:r>
              <w:rPr>
                <w:rFonts w:ascii="Times New Roman" w:hAnsi="Times New Roman" w:eastAsia="宋体"/>
                <w:b w:val="0"/>
                <w:color w:val="000000"/>
                <w:sz w:val="21"/>
              </w:rPr>
              <w:t>接口集成</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FBAD260">
            <w:pPr>
              <w:spacing w:before="0" w:after="0" w:line="276" w:lineRule="auto"/>
              <w:ind w:firstLine="0"/>
              <w:jc w:val="left"/>
            </w:pPr>
            <w:r>
              <w:rPr>
                <w:rFonts w:ascii="Times New Roman" w:hAnsi="Times New Roman" w:eastAsia="宋体"/>
                <w:b w:val="0"/>
                <w:color w:val="000000"/>
                <w:sz w:val="21"/>
              </w:rPr>
              <w:t>本机随机端口启动真实服务</w:t>
            </w:r>
          </w:p>
        </w:tc>
        <w:tc>
          <w:tcPr>
            <w:tcW w:w="36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9C7BCC6">
            <w:pPr>
              <w:spacing w:before="0" w:after="0" w:line="276" w:lineRule="auto"/>
              <w:ind w:firstLine="0"/>
              <w:jc w:val="left"/>
            </w:pPr>
            <w:r>
              <w:rPr>
                <w:rFonts w:ascii="Times New Roman" w:hAnsi="Times New Roman" w:eastAsia="宋体"/>
                <w:b w:val="0"/>
                <w:color w:val="000000"/>
                <w:sz w:val="21"/>
              </w:rPr>
              <w:t>推荐不落子、双引擎、取消、重连</w:t>
            </w:r>
          </w:p>
        </w:tc>
      </w:tr>
      <w:tr w14:paraId="76A20918">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5BEB347">
            <w:pPr>
              <w:spacing w:before="0" w:after="0" w:line="276" w:lineRule="auto"/>
              <w:ind w:firstLine="0"/>
              <w:jc w:val="left"/>
            </w:pPr>
            <w:r>
              <w:rPr>
                <w:rFonts w:ascii="Times New Roman" w:hAnsi="Times New Roman" w:eastAsia="宋体"/>
                <w:b w:val="0"/>
                <w:color w:val="000000"/>
                <w:sz w:val="21"/>
              </w:rPr>
              <w:t>交付验证</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A8D4D35">
            <w:pPr>
              <w:spacing w:before="0" w:after="0" w:line="276" w:lineRule="auto"/>
              <w:ind w:firstLine="0"/>
              <w:jc w:val="left"/>
            </w:pPr>
            <w:r>
              <w:rPr>
                <w:rFonts w:ascii="Times New Roman" w:hAnsi="Times New Roman" w:eastAsia="宋体"/>
                <w:b w:val="0"/>
                <w:color w:val="000000"/>
                <w:sz w:val="21"/>
              </w:rPr>
              <w:t>隔离目录执行真实PowerShell脚本</w:t>
            </w:r>
          </w:p>
        </w:tc>
        <w:tc>
          <w:tcPr>
            <w:tcW w:w="36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D4CFD55">
            <w:pPr>
              <w:spacing w:before="0" w:after="0" w:line="276" w:lineRule="auto"/>
              <w:ind w:firstLine="0"/>
              <w:jc w:val="left"/>
            </w:pPr>
            <w:r>
              <w:rPr>
                <w:rFonts w:ascii="Times New Roman" w:hAnsi="Times New Roman" w:eastAsia="宋体"/>
                <w:b w:val="0"/>
                <w:color w:val="000000"/>
                <w:sz w:val="21"/>
              </w:rPr>
              <w:t>虚拟环境修复、进程树、端口释放</w:t>
            </w:r>
          </w:p>
        </w:tc>
      </w:tr>
      <w:tr w14:paraId="03A96E3E">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9404837">
            <w:pPr>
              <w:spacing w:before="0" w:after="0" w:line="276" w:lineRule="auto"/>
              <w:ind w:firstLine="0"/>
              <w:jc w:val="left"/>
            </w:pPr>
            <w:r>
              <w:rPr>
                <w:rFonts w:ascii="Times New Roman" w:hAnsi="Times New Roman" w:eastAsia="宋体"/>
                <w:b w:val="0"/>
                <w:color w:val="000000"/>
                <w:sz w:val="21"/>
              </w:rPr>
              <w:t>前端构建</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A817CB4">
            <w:pPr>
              <w:spacing w:before="0" w:after="0" w:line="276" w:lineRule="auto"/>
              <w:ind w:firstLine="0"/>
              <w:jc w:val="left"/>
            </w:pPr>
            <w:r>
              <w:rPr>
                <w:rFonts w:ascii="Times New Roman" w:hAnsi="Times New Roman" w:eastAsia="宋体"/>
                <w:b w:val="0"/>
                <w:color w:val="000000"/>
                <w:sz w:val="21"/>
              </w:rPr>
              <w:t>TypeScript检查和Vite生产打包</w:t>
            </w:r>
          </w:p>
        </w:tc>
        <w:tc>
          <w:tcPr>
            <w:tcW w:w="36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4518DD7">
            <w:pPr>
              <w:spacing w:before="0" w:after="0" w:line="276" w:lineRule="auto"/>
              <w:ind w:firstLine="0"/>
              <w:jc w:val="left"/>
            </w:pPr>
            <w:r>
              <w:rPr>
                <w:rFonts w:ascii="Times New Roman" w:hAnsi="Times New Roman" w:eastAsia="宋体"/>
                <w:b w:val="0"/>
                <w:color w:val="000000"/>
                <w:sz w:val="21"/>
              </w:rPr>
              <w:t>类型一致性、资源生成</w:t>
            </w:r>
          </w:p>
        </w:tc>
      </w:tr>
      <w:tr w14:paraId="3B906CAA">
        <w:tblPrEx>
          <w:tblCellMar>
            <w:top w:w="0" w:type="dxa"/>
            <w:left w:w="108" w:type="dxa"/>
            <w:bottom w:w="0" w:type="dxa"/>
            <w:right w:w="108" w:type="dxa"/>
          </w:tblCellMar>
        </w:tblPrEx>
        <w:trPr>
          <w:cantSplit/>
        </w:trPr>
        <w:tc>
          <w:tcPr>
            <w:tcW w:w="158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02AA2A8">
            <w:pPr>
              <w:spacing w:before="0" w:after="0" w:line="276" w:lineRule="auto"/>
              <w:ind w:firstLine="0"/>
              <w:jc w:val="left"/>
            </w:pPr>
            <w:r>
              <w:rPr>
                <w:rFonts w:ascii="Times New Roman" w:hAnsi="Times New Roman" w:eastAsia="宋体"/>
                <w:b w:val="0"/>
                <w:color w:val="000000"/>
                <w:sz w:val="21"/>
              </w:rPr>
              <w:t>浏览器检查</w:t>
            </w:r>
          </w:p>
        </w:tc>
        <w:tc>
          <w:tcPr>
            <w:tcW w:w="345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26BC020">
            <w:pPr>
              <w:spacing w:before="0" w:after="0" w:line="276" w:lineRule="auto"/>
              <w:ind w:firstLine="0"/>
              <w:jc w:val="left"/>
            </w:pPr>
            <w:r>
              <w:rPr>
                <w:rFonts w:ascii="Times New Roman" w:hAnsi="Times New Roman" w:eastAsia="宋体"/>
                <w:b w:val="0"/>
                <w:color w:val="000000"/>
                <w:sz w:val="21"/>
              </w:rPr>
              <w:t>桌面与窄屏操作及控制台检查</w:t>
            </w:r>
          </w:p>
        </w:tc>
        <w:tc>
          <w:tcPr>
            <w:tcW w:w="360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393480D">
            <w:pPr>
              <w:spacing w:before="0" w:after="0" w:line="276" w:lineRule="auto"/>
              <w:ind w:firstLine="0"/>
              <w:jc w:val="left"/>
            </w:pPr>
            <w:r>
              <w:rPr>
                <w:rFonts w:ascii="Times New Roman" w:hAnsi="Times New Roman" w:eastAsia="宋体"/>
                <w:b w:val="0"/>
                <w:color w:val="000000"/>
                <w:sz w:val="21"/>
              </w:rPr>
              <w:t>棋盘目标点、提示、历史导航、遮挡</w:t>
            </w:r>
          </w:p>
        </w:tc>
      </w:tr>
    </w:tbl>
    <w:p w14:paraId="72D42751">
      <w:pPr>
        <w:pageBreakBefore w:val="0"/>
        <w:widowControl/>
        <w:snapToGrid w:val="0"/>
        <w:spacing w:before="0" w:after="0" w:line="72" w:lineRule="auto"/>
        <w:ind w:left="0" w:right="0" w:firstLine="0"/>
        <w:jc w:val="center"/>
      </w:pPr>
    </w:p>
    <w:p w14:paraId="6BF5385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次报告整理时于2026年10月22日重新执行完整测试与前端构建。使用项目既有虚拟环境与锁定依赖；测试日志保存在本地报告工作目录。集成测试采用随机空闲回环端口，不接管已有浏览器控制连接。Windows交付测试使用临时目录，不删除正式环境。</w:t>
      </w:r>
    </w:p>
    <w:p w14:paraId="15AD999A">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前端构建命令为npm run build，包含TypeScript检查和Vite打包；后端命令为项目虚拟环境执行python -m unittest discover -v。当前全量结果在后页列出。历史浏览器结果仍标明其原始日期，本次未把重新构建写成重新进行全部手工操作。</w:t>
      </w:r>
    </w:p>
    <w:p w14:paraId="6E57ADB4">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5.1.1 测试数据的选择</w:t>
      </w:r>
    </w:p>
    <w:p w14:paraId="4374901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输入既包含标准开局的合法兵马走法，也包含越界、错误版本、非法JSON、重复请求、错误棋谱结果等反例。历史和统计使用可重复的短序列，AI联调使用真实服务累计合法半回合。测试目标不是让流程看起来成功，而是确认失败时状态也符合约定。</w:t>
      </w:r>
    </w:p>
    <w:p w14:paraId="4CBB021A">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5.2 对局管理的具体输入与结果</w:t>
      </w:r>
    </w:p>
    <w:p w14:paraId="297F55C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下列结果对应测试中的明确断言。所有坐标采用协议索引，半回合指一方走一步。所列输入既可定位源码，也适合答辩时解释预期状态。测试中的人工构造终局仅用于统计单元测试，不是教师对局记录。</w:t>
      </w:r>
    </w:p>
    <w:tbl>
      <w:tblPr>
        <w:tblStyle w:val="11"/>
        <w:tblW w:w="0" w:type="auto"/>
        <w:tblInd w:w="0" w:type="dxa"/>
        <w:tblLayout w:type="fixed"/>
        <w:tblCellMar>
          <w:top w:w="0" w:type="dxa"/>
          <w:left w:w="108" w:type="dxa"/>
          <w:bottom w:w="0" w:type="dxa"/>
          <w:right w:w="108" w:type="dxa"/>
        </w:tblCellMar>
      </w:tblPr>
      <w:tblGrid>
        <w:gridCol w:w="3240"/>
        <w:gridCol w:w="4536"/>
        <w:gridCol w:w="864"/>
      </w:tblGrid>
      <w:tr w14:paraId="453333EE">
        <w:tblPrEx>
          <w:tblCellMar>
            <w:top w:w="0" w:type="dxa"/>
            <w:left w:w="108" w:type="dxa"/>
            <w:bottom w:w="0" w:type="dxa"/>
            <w:right w:w="108" w:type="dxa"/>
          </w:tblCellMar>
        </w:tblPrEx>
        <w:trPr>
          <w:cantSplit/>
          <w:tblHeader/>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7ECFCEB">
            <w:pPr>
              <w:spacing w:before="0" w:after="0" w:line="276" w:lineRule="auto"/>
              <w:ind w:firstLine="0"/>
              <w:jc w:val="left"/>
            </w:pPr>
            <w:r>
              <w:rPr>
                <w:rFonts w:ascii="Times New Roman" w:hAnsi="Times New Roman" w:eastAsia="宋体"/>
                <w:b/>
                <w:color w:val="000000"/>
                <w:sz w:val="21"/>
              </w:rPr>
              <w:t>用例及输入</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EBF024D">
            <w:pPr>
              <w:spacing w:before="0" w:after="0" w:line="276" w:lineRule="auto"/>
              <w:ind w:firstLine="0"/>
              <w:jc w:val="left"/>
            </w:pPr>
            <w:r>
              <w:rPr>
                <w:rFonts w:ascii="Times New Roman" w:hAnsi="Times New Roman" w:eastAsia="宋体"/>
                <w:b/>
                <w:color w:val="000000"/>
                <w:sz w:val="21"/>
              </w:rPr>
              <w:t>预期与实际断言</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FA5AA72">
            <w:pPr>
              <w:spacing w:before="0" w:after="0" w:line="276" w:lineRule="auto"/>
              <w:ind w:firstLine="0"/>
              <w:jc w:val="left"/>
            </w:pPr>
            <w:r>
              <w:rPr>
                <w:rFonts w:ascii="Times New Roman" w:hAnsi="Times New Roman" w:eastAsia="宋体"/>
                <w:b/>
                <w:color w:val="000000"/>
                <w:sz w:val="21"/>
              </w:rPr>
              <w:t>结论</w:t>
            </w:r>
          </w:p>
        </w:tc>
      </w:tr>
      <w:tr w14:paraId="3024C942">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B539733">
            <w:pPr>
              <w:spacing w:before="0" w:after="0" w:line="276" w:lineRule="auto"/>
              <w:ind w:firstLine="0"/>
              <w:jc w:val="left"/>
            </w:pPr>
            <w:r>
              <w:rPr>
                <w:rFonts w:ascii="Times New Roman" w:hAnsi="Times New Roman" w:eastAsia="宋体"/>
                <w:b w:val="0"/>
                <w:color w:val="000000"/>
                <w:sz w:val="21"/>
              </w:rPr>
              <w:t>初始人人局；54→45</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F5D4D1F">
            <w:pPr>
              <w:spacing w:before="0" w:after="0" w:line="276" w:lineRule="auto"/>
              <w:ind w:firstLine="0"/>
              <w:jc w:val="left"/>
            </w:pPr>
            <w:r>
              <w:rPr>
                <w:rFonts w:ascii="Times New Roman" w:hAnsi="Times New Roman" w:eastAsia="宋体"/>
                <w:b w:val="0"/>
                <w:color w:val="000000"/>
                <w:sz w:val="21"/>
              </w:rPr>
              <w:t>黑方行棋；revision=1；红兵到45</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5D868D4">
            <w:pPr>
              <w:spacing w:before="0" w:after="0" w:line="276" w:lineRule="auto"/>
              <w:ind w:firstLine="0"/>
              <w:jc w:val="left"/>
            </w:pPr>
            <w:r>
              <w:rPr>
                <w:rFonts w:ascii="Times New Roman" w:hAnsi="Times New Roman" w:eastAsia="宋体"/>
                <w:b w:val="0"/>
                <w:color w:val="000000"/>
                <w:sz w:val="21"/>
              </w:rPr>
              <w:t>通过</w:t>
            </w:r>
          </w:p>
        </w:tc>
      </w:tr>
      <w:tr w14:paraId="120637D6">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D76CD87">
            <w:pPr>
              <w:spacing w:before="0" w:after="0" w:line="276" w:lineRule="auto"/>
              <w:ind w:firstLine="0"/>
              <w:jc w:val="left"/>
            </w:pPr>
            <w:r>
              <w:rPr>
                <w:rFonts w:ascii="Times New Roman" w:hAnsi="Times New Roman" w:eastAsia="宋体"/>
                <w:b w:val="0"/>
                <w:color w:val="000000"/>
                <w:sz w:val="21"/>
              </w:rPr>
              <w:t>接上例再45→36</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32FB335">
            <w:pPr>
              <w:spacing w:before="0" w:after="0" w:line="276" w:lineRule="auto"/>
              <w:ind w:firstLine="0"/>
              <w:jc w:val="left"/>
            </w:pPr>
            <w:r>
              <w:rPr>
                <w:rFonts w:ascii="Times New Roman" w:hAnsi="Times New Roman" w:eastAsia="宋体"/>
                <w:b w:val="0"/>
                <w:color w:val="000000"/>
                <w:sz w:val="21"/>
              </w:rPr>
              <w:t>拒绝非法红方行棋；原record不变</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D7E5BC2">
            <w:pPr>
              <w:spacing w:before="0" w:after="0" w:line="276" w:lineRule="auto"/>
              <w:ind w:firstLine="0"/>
              <w:jc w:val="left"/>
            </w:pPr>
            <w:r>
              <w:rPr>
                <w:rFonts w:ascii="Times New Roman" w:hAnsi="Times New Roman" w:eastAsia="宋体"/>
                <w:b w:val="0"/>
                <w:color w:val="000000"/>
                <w:sz w:val="21"/>
              </w:rPr>
              <w:t>通过</w:t>
            </w:r>
          </w:p>
        </w:tc>
      </w:tr>
      <w:tr w14:paraId="6BF7DF19">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E6F7C3C">
            <w:pPr>
              <w:spacing w:before="0" w:after="0" w:line="276" w:lineRule="auto"/>
              <w:ind w:firstLine="0"/>
              <w:jc w:val="left"/>
            </w:pPr>
            <w:r>
              <w:rPr>
                <w:rFonts w:ascii="Times New Roman" w:hAnsi="Times New Roman" w:eastAsia="宋体"/>
                <w:b w:val="0"/>
                <w:color w:val="000000"/>
                <w:sz w:val="21"/>
              </w:rPr>
              <w:t>依次54→45、27→36、82→63；撤一步</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BFDBDFF">
            <w:pPr>
              <w:spacing w:before="0" w:after="0" w:line="276" w:lineRule="auto"/>
              <w:ind w:firstLine="0"/>
              <w:jc w:val="left"/>
            </w:pPr>
            <w:r>
              <w:rPr>
                <w:rFonts w:ascii="Times New Roman" w:hAnsi="Times New Roman" w:eastAsia="宋体"/>
                <w:b w:val="0"/>
                <w:color w:val="000000"/>
                <w:sz w:val="21"/>
              </w:rPr>
              <w:t>moves=2；control=paused</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FA544EB">
            <w:pPr>
              <w:spacing w:before="0" w:after="0" w:line="276" w:lineRule="auto"/>
              <w:ind w:firstLine="0"/>
              <w:jc w:val="left"/>
            </w:pPr>
            <w:r>
              <w:rPr>
                <w:rFonts w:ascii="Times New Roman" w:hAnsi="Times New Roman" w:eastAsia="宋体"/>
                <w:b w:val="0"/>
                <w:color w:val="000000"/>
                <w:sz w:val="21"/>
              </w:rPr>
              <w:t>通过</w:t>
            </w:r>
          </w:p>
        </w:tc>
      </w:tr>
      <w:tr w14:paraId="628D7C92">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25B7915">
            <w:pPr>
              <w:spacing w:before="0" w:after="0" w:line="276" w:lineRule="auto"/>
              <w:ind w:firstLine="0"/>
              <w:jc w:val="left"/>
            </w:pPr>
            <w:r>
              <w:rPr>
                <w:rFonts w:ascii="Times New Roman" w:hAnsi="Times New Roman" w:eastAsia="宋体"/>
                <w:b w:val="0"/>
                <w:color w:val="000000"/>
                <w:sz w:val="21"/>
              </w:rPr>
              <w:t>同一3步局回放至1并继续</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6964E9A">
            <w:pPr>
              <w:spacing w:before="0" w:after="0" w:line="276" w:lineRule="auto"/>
              <w:ind w:firstLine="0"/>
              <w:jc w:val="left"/>
            </w:pPr>
            <w:r>
              <w:rPr>
                <w:rFonts w:ascii="Times New Roman" w:hAnsi="Times New Roman" w:eastAsia="宋体"/>
                <w:b w:val="0"/>
                <w:color w:val="000000"/>
                <w:sz w:val="21"/>
              </w:rPr>
              <w:t>moves=1；control=paused</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58E42E5">
            <w:pPr>
              <w:spacing w:before="0" w:after="0" w:line="276" w:lineRule="auto"/>
              <w:ind w:firstLine="0"/>
              <w:jc w:val="left"/>
            </w:pPr>
            <w:r>
              <w:rPr>
                <w:rFonts w:ascii="Times New Roman" w:hAnsi="Times New Roman" w:eastAsia="宋体"/>
                <w:b w:val="0"/>
                <w:color w:val="000000"/>
                <w:sz w:val="21"/>
              </w:rPr>
              <w:t>通过</w:t>
            </w:r>
          </w:p>
        </w:tc>
      </w:tr>
      <w:tr w14:paraId="730E5EC5">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C85B468">
            <w:pPr>
              <w:spacing w:before="0" w:after="0" w:line="276" w:lineRule="auto"/>
              <w:ind w:firstLine="0"/>
              <w:jc w:val="left"/>
            </w:pPr>
            <w:r>
              <w:rPr>
                <w:rFonts w:ascii="Times New Roman" w:hAnsi="Times New Roman" w:eastAsia="宋体"/>
                <w:b w:val="0"/>
                <w:color w:val="000000"/>
                <w:sz w:val="21"/>
              </w:rPr>
              <w:t>人类执红，走54→45且AI未回复；撤一轮</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653E844">
            <w:pPr>
              <w:spacing w:before="0" w:after="0" w:line="276" w:lineRule="auto"/>
              <w:ind w:firstLine="0"/>
              <w:jc w:val="left"/>
            </w:pPr>
            <w:r>
              <w:rPr>
                <w:rFonts w:ascii="Times New Roman" w:hAnsi="Times New Roman" w:eastAsia="宋体"/>
                <w:b w:val="0"/>
                <w:color w:val="000000"/>
                <w:sz w:val="21"/>
              </w:rPr>
              <w:t>历史回到0；等待手动继续</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2E089ED">
            <w:pPr>
              <w:spacing w:before="0" w:after="0" w:line="276" w:lineRule="auto"/>
              <w:ind w:firstLine="0"/>
              <w:jc w:val="left"/>
            </w:pPr>
            <w:r>
              <w:rPr>
                <w:rFonts w:ascii="Times New Roman" w:hAnsi="Times New Roman" w:eastAsia="宋体"/>
                <w:b w:val="0"/>
                <w:color w:val="000000"/>
                <w:sz w:val="21"/>
              </w:rPr>
              <w:t>通过</w:t>
            </w:r>
          </w:p>
        </w:tc>
      </w:tr>
      <w:tr w14:paraId="315AE406">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ABBCAB7">
            <w:pPr>
              <w:spacing w:before="0" w:after="0" w:line="276" w:lineRule="auto"/>
              <w:ind w:firstLine="0"/>
              <w:jc w:val="left"/>
            </w:pPr>
            <w:r>
              <w:rPr>
                <w:rFonts w:ascii="Times New Roman" w:hAnsi="Times New Roman" w:eastAsia="宋体"/>
                <w:b w:val="0"/>
                <w:color w:val="000000"/>
                <w:sz w:val="21"/>
              </w:rPr>
              <w:t>人类执红，AI回复27→36后撤一轮</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7A0103B">
            <w:pPr>
              <w:spacing w:before="0" w:after="0" w:line="276" w:lineRule="auto"/>
              <w:ind w:firstLine="0"/>
              <w:jc w:val="left"/>
            </w:pPr>
            <w:r>
              <w:rPr>
                <w:rFonts w:ascii="Times New Roman" w:hAnsi="Times New Roman" w:eastAsia="宋体"/>
                <w:b w:val="0"/>
                <w:color w:val="000000"/>
                <w:sz w:val="21"/>
              </w:rPr>
              <w:t>恢复Position.initial()</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670E48B">
            <w:pPr>
              <w:spacing w:before="0" w:after="0" w:line="276" w:lineRule="auto"/>
              <w:ind w:firstLine="0"/>
              <w:jc w:val="left"/>
            </w:pPr>
            <w:r>
              <w:rPr>
                <w:rFonts w:ascii="Times New Roman" w:hAnsi="Times New Roman" w:eastAsia="宋体"/>
                <w:b w:val="0"/>
                <w:color w:val="000000"/>
                <w:sz w:val="21"/>
              </w:rPr>
              <w:t>通过</w:t>
            </w:r>
          </w:p>
        </w:tc>
      </w:tr>
      <w:tr w14:paraId="50B3103E">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E9A7D5E">
            <w:pPr>
              <w:spacing w:before="0" w:after="0" w:line="276" w:lineRule="auto"/>
              <w:ind w:firstLine="0"/>
              <w:jc w:val="left"/>
            </w:pPr>
            <w:r>
              <w:rPr>
                <w:rFonts w:ascii="Times New Roman" w:hAnsi="Times New Roman" w:eastAsia="宋体"/>
                <w:b w:val="0"/>
                <w:color w:val="000000"/>
                <w:sz w:val="21"/>
              </w:rPr>
              <w:t>初始记录moves改为54→0后导入</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97E77C6">
            <w:pPr>
              <w:spacing w:before="0" w:after="0" w:line="276" w:lineRule="auto"/>
              <w:ind w:firstLine="0"/>
              <w:jc w:val="left"/>
            </w:pPr>
            <w:r>
              <w:rPr>
                <w:rFonts w:ascii="Times New Roman" w:hAnsi="Times New Roman" w:eastAsia="宋体"/>
                <w:b w:val="0"/>
                <w:color w:val="000000"/>
                <w:sz w:val="21"/>
              </w:rPr>
              <w:t>INVALID_RECORD；当前Game对象不变</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1DAEA42">
            <w:pPr>
              <w:spacing w:before="0" w:after="0" w:line="276" w:lineRule="auto"/>
              <w:ind w:firstLine="0"/>
              <w:jc w:val="left"/>
            </w:pPr>
            <w:r>
              <w:rPr>
                <w:rFonts w:ascii="Times New Roman" w:hAnsi="Times New Roman" w:eastAsia="宋体"/>
                <w:b w:val="0"/>
                <w:color w:val="000000"/>
                <w:sz w:val="21"/>
              </w:rPr>
              <w:t>通过</w:t>
            </w:r>
          </w:p>
        </w:tc>
      </w:tr>
      <w:tr w14:paraId="41CDB518">
        <w:tblPrEx>
          <w:tblCellMar>
            <w:top w:w="0" w:type="dxa"/>
            <w:left w:w="108" w:type="dxa"/>
            <w:bottom w:w="0" w:type="dxa"/>
            <w:right w:w="108" w:type="dxa"/>
          </w:tblCellMar>
        </w:tblPrEx>
        <w:trPr>
          <w:cantSplit/>
        </w:trPr>
        <w:tc>
          <w:tcPr>
            <w:tcW w:w="3240"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1BABD87">
            <w:pPr>
              <w:spacing w:before="0" w:after="0" w:line="276" w:lineRule="auto"/>
              <w:ind w:firstLine="0"/>
              <w:jc w:val="left"/>
            </w:pPr>
            <w:r>
              <w:rPr>
                <w:rFonts w:ascii="Times New Roman" w:hAnsi="Times New Roman" w:eastAsia="宋体"/>
                <w:b w:val="0"/>
                <w:color w:val="000000"/>
                <w:sz w:val="21"/>
              </w:rPr>
              <w:t>同一走法合法执行后撤回，再用revision=0</w:t>
            </w:r>
          </w:p>
        </w:tc>
        <w:tc>
          <w:tcPr>
            <w:tcW w:w="453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5E7EB0D">
            <w:pPr>
              <w:spacing w:before="0" w:after="0" w:line="276" w:lineRule="auto"/>
              <w:ind w:firstLine="0"/>
              <w:jc w:val="left"/>
            </w:pPr>
            <w:r>
              <w:rPr>
                <w:rFonts w:ascii="Times New Roman" w:hAnsi="Times New Roman" w:eastAsia="宋体"/>
                <w:b w:val="0"/>
                <w:color w:val="000000"/>
                <w:sz w:val="21"/>
              </w:rPr>
              <w:t>当前revision=2；旧请求被拒绝</w:t>
            </w:r>
          </w:p>
        </w:tc>
        <w:tc>
          <w:tcPr>
            <w:tcW w:w="864"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C6A2270">
            <w:pPr>
              <w:spacing w:before="0" w:after="0" w:line="276" w:lineRule="auto"/>
              <w:ind w:firstLine="0"/>
              <w:jc w:val="left"/>
            </w:pPr>
            <w:r>
              <w:rPr>
                <w:rFonts w:ascii="Times New Roman" w:hAnsi="Times New Roman" w:eastAsia="宋体"/>
                <w:b w:val="0"/>
                <w:color w:val="000000"/>
                <w:sz w:val="21"/>
              </w:rPr>
              <w:t>通过</w:t>
            </w:r>
          </w:p>
        </w:tc>
      </w:tr>
    </w:tbl>
    <w:p w14:paraId="70312B44">
      <w:pPr>
        <w:pageBreakBefore w:val="0"/>
        <w:widowControl/>
        <w:snapToGrid w:val="0"/>
        <w:spacing w:before="0" w:after="0" w:line="72" w:lineRule="auto"/>
        <w:ind w:left="0" w:right="0" w:firstLine="0"/>
        <w:jc w:val="center"/>
      </w:pPr>
    </w:p>
    <w:p w14:paraId="400A4838">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5.2.1 统计与棋谱往返</w:t>
      </w:r>
    </w:p>
    <w:p w14:paraId="41C6309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重复序列82→63、1→18、63→82、18→1连续执行两遍，初始局面与同执方第三次出现，系统判threefold和棋，draws=1。再次协调统计仍为1；进入回放第0步不撤销结果；退出回放并撤一步后，终点不再和棋，draws恢复为0。</w:t>
      </w:r>
    </w:p>
    <w:p w14:paraId="3070A8DE">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三步记录导出再导入后，全部positions及record与原对象一致。逐一导航第0至第3步，显示棋盘与对应快照一致。从导入节点继续会改变gameId并清除imported标志，因此历史展示与新的真实比赛统计不会混淆。</w:t>
      </w:r>
    </w:p>
    <w:p w14:paraId="4034C47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结果说明对局恢复保存的不只是棋子位置，还包括行棋方、历史与终局归属。非法输入和重复处理的断言尤其重要，它们覆盖了演示中最容易出现“看起来能用但状态已经错了”的情况。</w:t>
      </w:r>
    </w:p>
    <w:p w14:paraId="09B1ED81">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5.3 集成、交付与界面验证结果</w:t>
      </w:r>
    </w:p>
    <w:tbl>
      <w:tblPr>
        <w:tblStyle w:val="11"/>
        <w:tblW w:w="0" w:type="auto"/>
        <w:tblInd w:w="0" w:type="dxa"/>
        <w:tblLayout w:type="fixed"/>
        <w:tblCellMar>
          <w:top w:w="0" w:type="dxa"/>
          <w:left w:w="108" w:type="dxa"/>
          <w:bottom w:w="0" w:type="dxa"/>
          <w:right w:w="108" w:type="dxa"/>
        </w:tblCellMar>
      </w:tblPr>
      <w:tblGrid>
        <w:gridCol w:w="2376"/>
        <w:gridCol w:w="3672"/>
        <w:gridCol w:w="2592"/>
      </w:tblGrid>
      <w:tr w14:paraId="004EE057">
        <w:tblPrEx>
          <w:tblCellMar>
            <w:top w:w="0" w:type="dxa"/>
            <w:left w:w="108" w:type="dxa"/>
            <w:bottom w:w="0" w:type="dxa"/>
            <w:right w:w="108" w:type="dxa"/>
          </w:tblCellMar>
        </w:tblPrEx>
        <w:trPr>
          <w:cantSplit/>
          <w:tblHeader/>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2CBB32B">
            <w:pPr>
              <w:spacing w:before="0" w:after="0" w:line="276" w:lineRule="auto"/>
              <w:ind w:firstLine="0"/>
              <w:jc w:val="left"/>
            </w:pPr>
            <w:r>
              <w:rPr>
                <w:rFonts w:ascii="Times New Roman" w:hAnsi="Times New Roman" w:eastAsia="宋体"/>
                <w:b/>
                <w:color w:val="000000"/>
                <w:sz w:val="21"/>
              </w:rPr>
              <w:t>验证项</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A1BE1AD">
            <w:pPr>
              <w:spacing w:before="0" w:after="0" w:line="276" w:lineRule="auto"/>
              <w:ind w:firstLine="0"/>
              <w:jc w:val="left"/>
            </w:pPr>
            <w:r>
              <w:rPr>
                <w:rFonts w:ascii="Times New Roman" w:hAnsi="Times New Roman" w:eastAsia="宋体"/>
                <w:b/>
                <w:color w:val="000000"/>
                <w:sz w:val="21"/>
              </w:rPr>
              <w:t>实际结果</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DB0C049">
            <w:pPr>
              <w:spacing w:before="0" w:after="0" w:line="276" w:lineRule="auto"/>
              <w:ind w:firstLine="0"/>
              <w:jc w:val="left"/>
            </w:pPr>
            <w:r>
              <w:rPr>
                <w:rFonts w:ascii="Times New Roman" w:hAnsi="Times New Roman" w:eastAsia="宋体"/>
                <w:b/>
                <w:color w:val="000000"/>
                <w:sz w:val="21"/>
              </w:rPr>
              <w:t>证据范围</w:t>
            </w:r>
          </w:p>
        </w:tc>
      </w:tr>
      <w:tr w14:paraId="65D12645">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EB4D331">
            <w:pPr>
              <w:spacing w:before="0" w:after="0" w:line="276" w:lineRule="auto"/>
              <w:ind w:firstLine="0"/>
              <w:jc w:val="left"/>
            </w:pPr>
            <w:r>
              <w:rPr>
                <w:rFonts w:ascii="Times New Roman" w:hAnsi="Times New Roman" w:eastAsia="宋体"/>
                <w:b w:val="0"/>
                <w:color w:val="000000"/>
                <w:sz w:val="21"/>
              </w:rPr>
              <w:t>完整自动化回归</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789346B1">
            <w:pPr>
              <w:spacing w:before="0" w:after="0" w:line="276" w:lineRule="auto"/>
              <w:ind w:firstLine="0"/>
              <w:jc w:val="left"/>
            </w:pPr>
            <w:r>
              <w:rPr>
                <w:rFonts w:ascii="Times New Roman" w:hAnsi="Times New Roman" w:eastAsia="宋体"/>
                <w:b w:val="0"/>
                <w:color w:val="000000"/>
                <w:sz w:val="21"/>
              </w:rPr>
              <w:t>56项通过；238.272秒</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13E2817F">
            <w:pPr>
              <w:spacing w:before="0" w:after="0" w:line="276" w:lineRule="auto"/>
              <w:ind w:firstLine="0"/>
              <w:jc w:val="left"/>
            </w:pPr>
            <w:r>
              <w:rPr>
                <w:rFonts w:ascii="Times New Roman" w:hAnsi="Times New Roman" w:eastAsia="宋体"/>
                <w:b w:val="0"/>
                <w:color w:val="000000"/>
                <w:sz w:val="21"/>
              </w:rPr>
              <w:t>2026-10-22本次运行</w:t>
            </w:r>
          </w:p>
        </w:tc>
      </w:tr>
      <w:tr w14:paraId="0CA97462">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8ADEA6F">
            <w:pPr>
              <w:spacing w:before="0" w:after="0" w:line="276" w:lineRule="auto"/>
              <w:ind w:firstLine="0"/>
              <w:jc w:val="left"/>
            </w:pPr>
            <w:r>
              <w:rPr>
                <w:rFonts w:ascii="Times New Roman" w:hAnsi="Times New Roman" w:eastAsia="宋体"/>
                <w:b w:val="0"/>
                <w:color w:val="000000"/>
                <w:sz w:val="21"/>
              </w:rPr>
              <w:t>TypeScript与前端生产构建</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A9025F6">
            <w:pPr>
              <w:spacing w:before="0" w:after="0" w:line="276" w:lineRule="auto"/>
              <w:ind w:firstLine="0"/>
              <w:jc w:val="left"/>
            </w:pPr>
            <w:r>
              <w:rPr>
                <w:rFonts w:ascii="Times New Roman" w:hAnsi="Times New Roman" w:eastAsia="宋体"/>
                <w:b w:val="0"/>
                <w:color w:val="000000"/>
                <w:sz w:val="21"/>
              </w:rPr>
              <w:t>通过；Vite成功输出生产资源</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D6FEFE3">
            <w:pPr>
              <w:spacing w:before="0" w:after="0" w:line="276" w:lineRule="auto"/>
              <w:ind w:firstLine="0"/>
              <w:jc w:val="left"/>
            </w:pPr>
            <w:r>
              <w:rPr>
                <w:rFonts w:ascii="Times New Roman" w:hAnsi="Times New Roman" w:eastAsia="宋体"/>
                <w:b w:val="0"/>
                <w:color w:val="000000"/>
                <w:sz w:val="21"/>
              </w:rPr>
              <w:t>2026-10-22本次运行</w:t>
            </w:r>
          </w:p>
        </w:tc>
      </w:tr>
      <w:tr w14:paraId="63F63F89">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85B9202">
            <w:pPr>
              <w:spacing w:before="0" w:after="0" w:line="276" w:lineRule="auto"/>
              <w:ind w:firstLine="0"/>
              <w:jc w:val="left"/>
            </w:pPr>
            <w:r>
              <w:rPr>
                <w:rFonts w:ascii="Times New Roman" w:hAnsi="Times New Roman" w:eastAsia="宋体"/>
                <w:b w:val="0"/>
                <w:color w:val="000000"/>
                <w:sz w:val="21"/>
              </w:rPr>
              <w:t>自研AI真实WebSocket</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B868234">
            <w:pPr>
              <w:spacing w:before="0" w:after="0" w:line="276" w:lineRule="auto"/>
              <w:ind w:firstLine="0"/>
              <w:jc w:val="left"/>
            </w:pPr>
            <w:r>
              <w:rPr>
                <w:rFonts w:ascii="Times New Roman" w:hAnsi="Times New Roman" w:eastAsia="宋体"/>
                <w:b w:val="0"/>
                <w:color w:val="000000"/>
                <w:sz w:val="21"/>
              </w:rPr>
              <w:t>累计至少100个合法半回合</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C305F83">
            <w:pPr>
              <w:spacing w:before="0" w:after="0" w:line="276" w:lineRule="auto"/>
              <w:ind w:firstLine="0"/>
              <w:jc w:val="left"/>
            </w:pPr>
            <w:r>
              <w:rPr>
                <w:rFonts w:ascii="Times New Roman" w:hAnsi="Times New Roman" w:eastAsia="宋体"/>
                <w:b w:val="0"/>
                <w:color w:val="000000"/>
                <w:sz w:val="21"/>
              </w:rPr>
              <w:t>本次全量集成断言</w:t>
            </w:r>
          </w:p>
        </w:tc>
      </w:tr>
      <w:tr w14:paraId="64895A6A">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FAEFDBD">
            <w:pPr>
              <w:spacing w:before="0" w:after="0" w:line="276" w:lineRule="auto"/>
              <w:ind w:firstLine="0"/>
              <w:jc w:val="left"/>
            </w:pPr>
            <w:r>
              <w:rPr>
                <w:rFonts w:ascii="Times New Roman" w:hAnsi="Times New Roman" w:eastAsia="宋体"/>
                <w:b w:val="0"/>
                <w:color w:val="000000"/>
                <w:sz w:val="21"/>
              </w:rPr>
              <w:t>原生与自研混合WebSocket</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47A142D">
            <w:pPr>
              <w:spacing w:before="0" w:after="0" w:line="276" w:lineRule="auto"/>
              <w:ind w:firstLine="0"/>
              <w:jc w:val="left"/>
            </w:pPr>
            <w:r>
              <w:rPr>
                <w:rFonts w:ascii="Times New Roman" w:hAnsi="Times New Roman" w:eastAsia="宋体"/>
                <w:b w:val="0"/>
                <w:color w:val="000000"/>
                <w:sz w:val="21"/>
              </w:rPr>
              <w:t>累计至少100个合法半回合；v2往返一致</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A0EF0DE">
            <w:pPr>
              <w:spacing w:before="0" w:after="0" w:line="276" w:lineRule="auto"/>
              <w:ind w:firstLine="0"/>
              <w:jc w:val="left"/>
            </w:pPr>
            <w:r>
              <w:rPr>
                <w:rFonts w:ascii="Times New Roman" w:hAnsi="Times New Roman" w:eastAsia="宋体"/>
                <w:b w:val="0"/>
                <w:color w:val="000000"/>
                <w:sz w:val="21"/>
              </w:rPr>
              <w:t>本次全量集成断言</w:t>
            </w:r>
          </w:p>
        </w:tc>
      </w:tr>
      <w:tr w14:paraId="211EA4FB">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08C143C">
            <w:pPr>
              <w:spacing w:before="0" w:after="0" w:line="276" w:lineRule="auto"/>
              <w:ind w:firstLine="0"/>
              <w:jc w:val="left"/>
            </w:pPr>
            <w:r>
              <w:rPr>
                <w:rFonts w:ascii="Times New Roman" w:hAnsi="Times New Roman" w:eastAsia="宋体"/>
                <w:b w:val="0"/>
                <w:color w:val="000000"/>
                <w:sz w:val="21"/>
              </w:rPr>
              <w:t>取消、断连与旧结果</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1318592">
            <w:pPr>
              <w:spacing w:before="0" w:after="0" w:line="276" w:lineRule="auto"/>
              <w:ind w:firstLine="0"/>
              <w:jc w:val="left"/>
            </w:pPr>
            <w:r>
              <w:rPr>
                <w:rFonts w:ascii="Times New Roman" w:hAnsi="Times New Roman" w:eastAsia="宋体"/>
                <w:b w:val="0"/>
                <w:color w:val="000000"/>
                <w:sz w:val="21"/>
              </w:rPr>
              <w:t>暂停响应内部断言小于200ms；旧任务不落子</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54267528">
            <w:pPr>
              <w:spacing w:before="0" w:after="0" w:line="276" w:lineRule="auto"/>
              <w:ind w:firstLine="0"/>
              <w:jc w:val="left"/>
            </w:pPr>
            <w:r>
              <w:rPr>
                <w:rFonts w:ascii="Times New Roman" w:hAnsi="Times New Roman" w:eastAsia="宋体"/>
                <w:b w:val="0"/>
                <w:color w:val="000000"/>
                <w:sz w:val="21"/>
              </w:rPr>
              <w:t>本次集成测试；不代表所有设备</w:t>
            </w:r>
          </w:p>
        </w:tc>
      </w:tr>
      <w:tr w14:paraId="468E973C">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1CC3D98">
            <w:pPr>
              <w:spacing w:before="0" w:after="0" w:line="276" w:lineRule="auto"/>
              <w:ind w:firstLine="0"/>
              <w:jc w:val="left"/>
            </w:pPr>
            <w:r>
              <w:rPr>
                <w:rFonts w:ascii="Times New Roman" w:hAnsi="Times New Roman" w:eastAsia="宋体"/>
                <w:b w:val="0"/>
                <w:color w:val="000000"/>
                <w:sz w:val="21"/>
              </w:rPr>
              <w:t>Windows交付</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CB79EF3">
            <w:pPr>
              <w:spacing w:before="0" w:after="0" w:line="276" w:lineRule="auto"/>
              <w:ind w:firstLine="0"/>
              <w:jc w:val="left"/>
            </w:pPr>
            <w:r>
              <w:rPr>
                <w:rFonts w:ascii="Times New Roman" w:hAnsi="Times New Roman" w:eastAsia="宋体"/>
                <w:b w:val="0"/>
                <w:color w:val="000000"/>
                <w:sz w:val="21"/>
              </w:rPr>
              <w:t>启动器结束后后代退出、临时端口释放</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98B5BB9">
            <w:pPr>
              <w:spacing w:before="0" w:after="0" w:line="276" w:lineRule="auto"/>
              <w:ind w:firstLine="0"/>
              <w:jc w:val="left"/>
            </w:pPr>
            <w:r>
              <w:rPr>
                <w:rFonts w:ascii="Times New Roman" w:hAnsi="Times New Roman" w:eastAsia="宋体"/>
                <w:b w:val="0"/>
                <w:color w:val="000000"/>
                <w:sz w:val="21"/>
              </w:rPr>
              <w:t>本次交付测试</w:t>
            </w:r>
          </w:p>
        </w:tc>
      </w:tr>
      <w:tr w14:paraId="42E94240">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464CE28B">
            <w:pPr>
              <w:spacing w:before="0" w:after="0" w:line="276" w:lineRule="auto"/>
              <w:ind w:firstLine="0"/>
              <w:jc w:val="left"/>
            </w:pPr>
            <w:r>
              <w:rPr>
                <w:rFonts w:ascii="Times New Roman" w:hAnsi="Times New Roman" w:eastAsia="宋体"/>
                <w:b w:val="0"/>
                <w:color w:val="000000"/>
                <w:sz w:val="21"/>
              </w:rPr>
              <w:t>浏览器桌面及窄屏</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2B01A8B1">
            <w:pPr>
              <w:spacing w:before="0" w:after="0" w:line="276" w:lineRule="auto"/>
              <w:ind w:firstLine="0"/>
              <w:jc w:val="left"/>
            </w:pPr>
            <w:r>
              <w:rPr>
                <w:rFonts w:ascii="Times New Roman" w:hAnsi="Times New Roman" w:eastAsia="宋体"/>
                <w:b w:val="0"/>
                <w:color w:val="000000"/>
                <w:sz w:val="21"/>
              </w:rPr>
              <w:t>1280×900与390×844检查；未见横向溢出</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5F0E401">
            <w:pPr>
              <w:spacing w:before="0" w:after="0" w:line="276" w:lineRule="auto"/>
              <w:ind w:firstLine="0"/>
              <w:jc w:val="left"/>
            </w:pPr>
            <w:r>
              <w:rPr>
                <w:rFonts w:ascii="Times New Roman" w:hAnsi="Times New Roman" w:eastAsia="宋体"/>
                <w:b w:val="0"/>
                <w:color w:val="000000"/>
                <w:sz w:val="21"/>
              </w:rPr>
              <w:t>2026-10-12已保存验证</w:t>
            </w:r>
          </w:p>
        </w:tc>
      </w:tr>
      <w:tr w14:paraId="267B0505">
        <w:tblPrEx>
          <w:tblCellMar>
            <w:top w:w="0" w:type="dxa"/>
            <w:left w:w="108" w:type="dxa"/>
            <w:bottom w:w="0" w:type="dxa"/>
            <w:right w:w="108" w:type="dxa"/>
          </w:tblCellMar>
        </w:tblPrEx>
        <w:trPr>
          <w:cantSplit/>
        </w:trPr>
        <w:tc>
          <w:tcPr>
            <w:tcW w:w="2376"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35F0408F">
            <w:pPr>
              <w:spacing w:before="0" w:after="0" w:line="276" w:lineRule="auto"/>
              <w:ind w:firstLine="0"/>
              <w:jc w:val="left"/>
            </w:pPr>
            <w:r>
              <w:rPr>
                <w:rFonts w:ascii="Times New Roman" w:hAnsi="Times New Roman" w:eastAsia="宋体"/>
                <w:b w:val="0"/>
                <w:color w:val="000000"/>
                <w:sz w:val="21"/>
              </w:rPr>
              <w:t>将军提示</w:t>
            </w:r>
          </w:p>
        </w:tc>
        <w:tc>
          <w:tcPr>
            <w:tcW w:w="367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08C42279">
            <w:pPr>
              <w:spacing w:before="0" w:after="0" w:line="276" w:lineRule="auto"/>
              <w:ind w:firstLine="0"/>
              <w:jc w:val="left"/>
            </w:pPr>
            <w:r>
              <w:rPr>
                <w:rFonts w:ascii="Times New Roman" w:hAnsi="Times New Roman" w:eastAsia="宋体"/>
                <w:b w:val="0"/>
                <w:color w:val="000000"/>
                <w:sz w:val="21"/>
              </w:rPr>
              <w:t>真实棋谱第31步触发、消退、再触发；回放静默</w:t>
            </w:r>
          </w:p>
        </w:tc>
        <w:tc>
          <w:tcPr>
            <w:tcW w:w="2592" w:type="dxa"/>
            <w:tcBorders>
              <w:top w:val="single" w:color="777777" w:sz="4" w:space="0"/>
              <w:left w:val="single" w:color="777777" w:sz="4" w:space="0"/>
              <w:bottom w:val="single" w:color="777777" w:sz="4" w:space="0"/>
              <w:right w:val="single" w:color="777777" w:sz="4" w:space="0"/>
            </w:tcBorders>
            <w:tcMar>
              <w:top w:w="60" w:type="dxa"/>
              <w:left w:w="70" w:type="dxa"/>
              <w:bottom w:w="60" w:type="dxa"/>
              <w:right w:w="70" w:type="dxa"/>
            </w:tcMar>
            <w:vAlign w:val="center"/>
          </w:tcPr>
          <w:p w14:paraId="6C29A039">
            <w:pPr>
              <w:spacing w:before="0" w:after="0" w:line="276" w:lineRule="auto"/>
              <w:ind w:firstLine="0"/>
              <w:jc w:val="left"/>
            </w:pPr>
            <w:r>
              <w:rPr>
                <w:rFonts w:ascii="Times New Roman" w:hAnsi="Times New Roman" w:eastAsia="宋体"/>
                <w:b w:val="0"/>
                <w:color w:val="000000"/>
                <w:sz w:val="21"/>
              </w:rPr>
              <w:t>2026-10-12已保存验证</w:t>
            </w:r>
          </w:p>
        </w:tc>
      </w:tr>
    </w:tbl>
    <w:p w14:paraId="152DE80B">
      <w:pPr>
        <w:pageBreakBefore w:val="0"/>
        <w:widowControl/>
        <w:snapToGrid w:val="0"/>
        <w:spacing w:before="0" w:after="0" w:line="72" w:lineRule="auto"/>
        <w:ind w:left="0" w:right="0" w:firstLine="0"/>
        <w:jc w:val="center"/>
      </w:pPr>
    </w:p>
    <w:p w14:paraId="7C29D5C0">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独立AI服务的取消测试在真实WebSocket发送cancel并等待ack，检查原生子进程已经回收；取消阈值属于本项目内部测试标准，并非教师公布的通用性能要求。Windows测试进一步在原生搜索中结束启动器，核对本次进程树和端口，避免只验证主进程消失。</w:t>
      </w:r>
    </w:p>
    <w:p w14:paraId="2012948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浏览器历史检查覆盖合法点选、推荐不落子、导入导出与历史导航。将军提示使用真实棋谱触发，未以手改页面文字代替功能验证。本次报告未重新执行全部浏览器人工检查，因此保留原验证日期，不把2026年10月22日写成上述手工操作的验证时间。</w:t>
      </w:r>
    </w:p>
    <w:p w14:paraId="325C052F">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5.3.1 结果边界</w:t>
      </w:r>
    </w:p>
    <w:p w14:paraId="0338C12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当前软件回归通过不能推出AI一定战胜业余高段位棋手。A08战术样本独立人工复核、A13本人现场修改练习和A14教师真实对局仍需分别完成。最终提交前应围绕个人模块开展讲解和修改演练。</w:t>
      </w:r>
    </w:p>
    <w:p w14:paraId="6BF6FE7A">
      <w:pPr>
        <w:keepNext/>
        <w:pageBreakBefore/>
        <w:widowControl/>
        <w:snapToGrid w:val="0"/>
        <w:spacing w:before="0" w:after="0" w:line="360" w:lineRule="auto"/>
        <w:ind w:left="0" w:right="0" w:firstLine="0"/>
        <w:jc w:val="both"/>
      </w:pPr>
      <w:r>
        <w:rPr>
          <w:rFonts w:ascii="Times New Roman" w:hAnsi="Times New Roman" w:eastAsia="宋体"/>
          <w:b/>
          <w:color w:val="000000"/>
          <w:sz w:val="28"/>
        </w:rPr>
        <w:t>六、课题完成过程中遇到的问题及解决方法</w:t>
      </w:r>
    </w:p>
    <w:p w14:paraId="5C6D68CF">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6.1 回放推荐失败造成显示与终点混淆</w:t>
      </w:r>
    </w:p>
    <w:p w14:paraId="25B385C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项目审查曾复现：在历史节点请求推荐失败后，显示步数与实际展示棋盘出现不一致。其风险是把“搜索失败需要暂停”作为所有情况的统一处理，从而破坏原本只读的回放上下文。该问题涉及界面反馈和服务状态，不能只修改状态栏文字。</w:t>
      </w:r>
    </w:p>
    <w:p w14:paraId="0EBB9F7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解决方法是按任务用途与原控制状态处理异常。自动行棋失败进入暂停；已经暂停或回放的推荐失败保留原control和displayPly，仅清除thinking、推进版本并返回错误。回归检查board、lastMove、行棋方及历史均保持原节点，随后仍可导航和导出。</w:t>
      </w:r>
    </w:p>
    <w:p w14:paraId="3E80F064">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6.2 暂停、悔棋与旧AI响应的竞态</w:t>
      </w:r>
    </w:p>
    <w:p w14:paraId="5237616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AI计算独立于界面，用户可能在搜索结束前暂停或悔棋。若只停止前端动画，服务端仍可能在稍后接收旧走法；若只根据棋盘是否相同判断，也无法识别“同一局面但新历史分支”的情况。</w:t>
      </w:r>
    </w:p>
    <w:p w14:paraId="590ECB9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解决方法是每次有效状态变更推进revision，同时取消既有任务。搜索返回时核对对象、gameId和revision，只有当前请求仍有效才提交走法。测试在强配置搜索中暂停，等待后续时间，确认历史长度不再增加，并验证新局不会接收上一局结果。</w:t>
      </w:r>
    </w:p>
    <w:p w14:paraId="5FDCBDB3">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6.3 终局统计重复与悔棋后结果残留</w:t>
      </w:r>
    </w:p>
    <w:p w14:paraId="5DC7DF9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若在每个终局消息到达时直接累加，重绘、重连或重复协调都可能多计一次；若只做一次性计数，终局后悔棋又会保留失效成绩。解决方法是按gameId保存当前有效结果，通过协调函数覆盖或删除对应项，再分类求总数。</w:t>
      </w:r>
    </w:p>
    <w:p w14:paraId="06892E6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针对和棋序列的测试同时覆盖重复协调、普通回放和终局悔棋，分别得到1、1和0。这样检验的是结果生命周期，而不只是某个“加一”函数。新局继续保留此前有效成绩，导入记录保持不计分语义。</w:t>
      </w:r>
    </w:p>
    <w:p w14:paraId="340058A6">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6.4 引擎初始化与搜索预算混用</w:t>
      </w:r>
    </w:p>
    <w:p w14:paraId="156C9B8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真实原生引擎曾在等待readyok时出现间歇性超时，单独复测又可能成功。把初始化时间包含在短搜索预算内，会把正常启动误判为棋力计算超时，界面表现为偶发AI不可用。该故障的核心修复属于组员的引擎适配责任，我的联调侧关注等待预算和错误反馈一致。</w:t>
      </w:r>
    </w:p>
    <w:p w14:paraId="152E8D6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当前方案给初始化独立5秒上限，完成后才计搜索预算，搜索与校验另留1秒；对局服务等待原生请求时按思考预算加6.5秒。测试故意延迟readyok约1.6秒，验证仍能得到完整搜索；初始化挂起则应超时并回收进程。界面不以增加动画时长掩盖服务错误。</w:t>
      </w:r>
    </w:p>
    <w:p w14:paraId="5872B053">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6.5 交付脚本与进程占用</w:t>
      </w:r>
    </w:p>
    <w:p w14:paraId="302985F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项目需要在另一台电脑或压缩后重新运行，旧虚拟环境路径失效、脚本参数引用和残留进程都会影响演示。安装脚本先探测解释器是否可执行，失效时先验证替代Python，再备份旧环境并重建。Windows PowerShell编码与引号问题通过真实脚本验证定位。</w:t>
      </w:r>
    </w:p>
    <w:p w14:paraId="64088F75">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启动器使用Windows Job Object管理本次服务及后代，进程挂起创建、加入Job后再运行，关闭启动器时清理本次进程树。验证过程记录精确后代进程与临时端口，不按python或node名称批量结束其他程序。此措施也满足演示后压缩项目时释放文件占用的实际需求。</w:t>
      </w:r>
    </w:p>
    <w:p w14:paraId="6AEBC5E0">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6.6 复盘方法</w:t>
      </w:r>
    </w:p>
    <w:p w14:paraId="5EABFC5D">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上述问题表明，功能缺陷常发生在两个模块或两个状态的边界。有效排查应先保存输入、版本、控制状态和错误，再用最小场景复现；定位后补充能区分修复前后的断言，最后执行受影响回归。只重复一次成功演示，无法证明间歇性故障已经解决。</w:t>
      </w:r>
    </w:p>
    <w:p w14:paraId="30241453">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材料也需要版本管理。测试日期、棋谱版本、引擎身份和责任分工必须保持一致。本报告使用10月22日确认的分工，历史实验保留发生日期，不将材料调整写成算法重新升级，也不把第三方引擎能力写为自研成果。</w:t>
      </w:r>
    </w:p>
    <w:p w14:paraId="69B9DE09">
      <w:pPr>
        <w:keepNext/>
        <w:pageBreakBefore/>
        <w:widowControl/>
        <w:snapToGrid w:val="0"/>
        <w:spacing w:before="0" w:after="0" w:line="360" w:lineRule="auto"/>
        <w:ind w:left="0" w:right="0" w:firstLine="0"/>
        <w:jc w:val="both"/>
      </w:pPr>
      <w:r>
        <w:rPr>
          <w:rFonts w:ascii="Times New Roman" w:hAnsi="Times New Roman" w:eastAsia="宋体"/>
          <w:b/>
          <w:color w:val="000000"/>
          <w:sz w:val="28"/>
        </w:rPr>
        <w:t>七、总结</w:t>
      </w:r>
    </w:p>
    <w:p w14:paraId="79BA203F">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7.1 理论应用、资料查阅与自主学习</w:t>
      </w:r>
    </w:p>
    <w:p w14:paraId="15A25A9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课题把界面、通信、状态管理与测试连接为可运行的软件流程。对我负责的模块，最关键的认识是先明确状态和数据归属：浏览器负责表达和操作反馈，对局服务决定当前有效状态，历史快照负责恢复，规则引擎提供一致裁决。用数据结构表达这些边界，比在每个按钮回调中临时判断更容易检查。</w:t>
      </w:r>
    </w:p>
    <w:p w14:paraId="5AABBBC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资料学习应围绕实际问题进行。SVG视口与键盘事件用于解决棋盘缩放和可访问性；WebSocket与异步任务资料用于理解断连和取消；JSON序列化用于明确棋谱交换；unittest和PowerShell资料用于提高交付可复现性。阅读后必须回到项目，通过一个可执行例子核实行为，而不是把文档名列出来就算掌握。</w:t>
      </w:r>
    </w:p>
    <w:p w14:paraId="590063AD">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7.2 团队交流与项目组织</w:t>
      </w:r>
    </w:p>
    <w:p w14:paraId="6124EDB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我作为组长负责界面交互、对局管理与系统测试，组员孙鸣远负责总体设计、规则与AI核心。接口讨论应以字段、时序和错误场景为对象：例如“推荐是否改变历史”“暂停后谁取消任务”“导入记录是否计分”，都需要落实成共同契约和验收用例。职责划分不应让系统故障停留在“这是另一个模块的问题”。</w:t>
      </w:r>
    </w:p>
    <w:p w14:paraId="1F870512">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项目按规格中的P0至P5分阶段管理，把环境、规则、界面、AI联调、历史管理和验收材料分别设置检查点。对课程时间有限的情况，优先保证必需功能与异常处理，再投入棋力和交互细节。报告、演示和源码使用同一版本依据，可以减少答辩时叙述与实际程序不一致。</w:t>
      </w:r>
    </w:p>
    <w:p w14:paraId="4B1AD95F">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7.3 经济决策与资源选择</w:t>
      </w:r>
    </w:p>
    <w:p w14:paraId="0A072BFF">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采用原生TypeScript、SVG和Python减少框架学习及部署依赖；单机JSON存储免去数据库和云服务器成本。代价是服务重启不能自动恢复未导出会话，必须在界面与说明中告知。这样的技术取舍应根据课程规模和验收目标作出，而非把功能数量作为唯一指标。</w:t>
      </w:r>
    </w:p>
    <w:p w14:paraId="5EE4B86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自研与第三方引擎并存可比较计算能力并保留教学解释空间，但引擎来源、许可、权重体积和教师认可都属于成本与约束。不能用第三方实战表现替代自研设计说明，也不能为了提高成绩隐去引擎身份。</w:t>
      </w:r>
    </w:p>
    <w:p w14:paraId="7D3D6FF7">
      <w:pPr>
        <w:keepNext/>
        <w:pageBreakBefore/>
        <w:widowControl/>
        <w:snapToGrid w:val="0"/>
        <w:spacing w:before="0" w:after="0" w:line="360" w:lineRule="auto"/>
        <w:ind w:left="0" w:right="0" w:firstLine="0"/>
        <w:jc w:val="both"/>
      </w:pPr>
      <w:r>
        <w:rPr>
          <w:rFonts w:ascii="Times New Roman" w:hAnsi="Times New Roman" w:eastAsia="宋体"/>
          <w:b w:val="0"/>
          <w:color w:val="000000"/>
          <w:sz w:val="24"/>
        </w:rPr>
        <w:t>7.4 安全、可持续发展与维护</w:t>
      </w:r>
    </w:p>
    <w:p w14:paraId="32196378">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系统默认只监听本机，限制消息大小、记录步数和参数范围，拒绝重复请求与过期状态。这些措施适合课程单机应用的风险范围，不代表已获得公网安全保证。棋谱导出由用户决定保存位置，个人信息与测试临时文件不需要发布到公开仓库。</w:t>
      </w:r>
    </w:p>
    <w:p w14:paraId="07DFB281">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资源管理同样属于可持续性：取消无用搜索、暂停时释放计算任务、退出时清理后代进程，可以减少CPU和内存占用；合理设置思考预算，在棋力、等待时间和设备负载之间取得平衡。材料优先电子化，最终打印按模板把封面与评分表安排在同一张纸的正反面，避免无效重复打印。</w:t>
      </w:r>
    </w:p>
    <w:p w14:paraId="7286838D">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7.5 AI辅助编程的感想与收获</w:t>
      </w:r>
    </w:p>
    <w:p w14:paraId="4F41D4CB">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项目使用AI辅助完成方案梳理、代码生成与修改建议、测试组织、问题分析和文档整理。我的收获是，AI能加快从需求到可运行样例的过程，也能帮助列出容易遗漏的异常场景；但如果没有规格约束和实际验证，生成内容仍可能出现状态混淆、预算设置不当或结论夸大。</w:t>
      </w:r>
    </w:p>
    <w:p w14:paraId="448ED84C">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例如，引擎偶发初始化失败和回放推荐失败，都说明“能运行一次”不足以证明设计正确。面对AI建议，应先确认目标行为，阅读受影响代码，再用真实输入复现和测试；对于报告中的数字和完成状态，要回看日志与源码。不能因文字解释流畅，就把尚未进行的教师实战写成已经通过。</w:t>
      </w:r>
    </w:p>
    <w:p w14:paraId="42909E47">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AI辅助也要求明确责任。个人报告应与自己负责的界面、管理和测试范围对应，组员算法及第三方引擎应说明来源。我需要能够解释状态字段、关键伪代码、具体测试输入和修复原因，并在现场独立完成规定修改；辅助工具的产出不能代替本人对这些内容的理解。</w:t>
      </w:r>
    </w:p>
    <w:p w14:paraId="6BA8A058">
      <w:pPr>
        <w:keepNext/>
        <w:pageBreakBefore w:val="0"/>
        <w:widowControl/>
        <w:snapToGrid w:val="0"/>
        <w:spacing w:before="0" w:after="0" w:line="360" w:lineRule="auto"/>
        <w:ind w:left="0" w:right="0" w:firstLine="0"/>
        <w:jc w:val="both"/>
      </w:pPr>
      <w:r>
        <w:rPr>
          <w:rFonts w:ascii="Times New Roman" w:hAnsi="Times New Roman" w:eastAsia="宋体"/>
          <w:b w:val="0"/>
          <w:color w:val="000000"/>
          <w:sz w:val="24"/>
        </w:rPr>
        <w:t>7.6 当前成果与后续验收</w:t>
      </w:r>
    </w:p>
    <w:p w14:paraId="51DBA2C6">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本报告已说明个人模块的需求、数据、流程、伪代码、测试结果与缺陷处理。后续重点是按同一版本演练讲解与现场修改，完成战术样本独立复核，确认第三方模式的验收边界，并保留与教师真实对局的完整棋谱。通过这些环节检验对需求、设计、实现与测试全过程的理解，并把现场发现的问题反馈到后续维护。</w:t>
      </w:r>
    </w:p>
    <w:p w14:paraId="4063E329">
      <w:pPr>
        <w:pageBreakBefore w:val="0"/>
        <w:widowControl/>
        <w:snapToGrid w:val="0"/>
        <w:spacing w:before="0" w:after="0" w:line="360" w:lineRule="auto"/>
        <w:ind w:left="0" w:right="0" w:firstLine="480"/>
        <w:jc w:val="both"/>
      </w:pPr>
      <w:r>
        <w:rPr>
          <w:rFonts w:ascii="Times New Roman" w:hAnsi="Times New Roman" w:eastAsia="宋体"/>
          <w:b w:val="0"/>
          <w:color w:val="000000"/>
          <w:sz w:val="24"/>
        </w:rPr>
        <w:t>技术资料包括项目SPEC.md与design.md中的规格和设计、分工说明中的职责边界、acceptance.md中的历史验收记录，以及frontend、backend和tests目录中的对应实现与测试。本次回归日志可用于核对测试数量、耗时和集成对局结果。</w:t>
      </w:r>
    </w:p>
    <w:sectPr>
      <w:footerReference r:id="rId3" w:type="default"/>
      <w:pgSz w:w="11906" w:h="16838"/>
      <w:pgMar w:top="1418" w:right="1134"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6270">
    <w:pPr>
      <w:pStyle w:val="8"/>
      <w:jc w:val="center"/>
    </w:pPr>
    <w:r>
      <w:rPr>
        <w:kern w:val="0"/>
        <w:szCs w:val="21"/>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EDA"/>
    <w:rsid w:val="00001145"/>
    <w:rsid w:val="000012C5"/>
    <w:rsid w:val="000111B1"/>
    <w:rsid w:val="00015F0A"/>
    <w:rsid w:val="00016D54"/>
    <w:rsid w:val="00022EF6"/>
    <w:rsid w:val="00035D80"/>
    <w:rsid w:val="000428BC"/>
    <w:rsid w:val="000515C9"/>
    <w:rsid w:val="00055E2A"/>
    <w:rsid w:val="00060EA9"/>
    <w:rsid w:val="000647CB"/>
    <w:rsid w:val="0007682E"/>
    <w:rsid w:val="00091A56"/>
    <w:rsid w:val="00094C74"/>
    <w:rsid w:val="000C452C"/>
    <w:rsid w:val="000C61FE"/>
    <w:rsid w:val="000D2703"/>
    <w:rsid w:val="000D3691"/>
    <w:rsid w:val="000D5128"/>
    <w:rsid w:val="000D58E1"/>
    <w:rsid w:val="000F1F10"/>
    <w:rsid w:val="001271A5"/>
    <w:rsid w:val="00130DB3"/>
    <w:rsid w:val="001454FD"/>
    <w:rsid w:val="00147349"/>
    <w:rsid w:val="001513C2"/>
    <w:rsid w:val="00173AB9"/>
    <w:rsid w:val="001858EA"/>
    <w:rsid w:val="00186316"/>
    <w:rsid w:val="001915DA"/>
    <w:rsid w:val="001A3163"/>
    <w:rsid w:val="001A38D4"/>
    <w:rsid w:val="001A4666"/>
    <w:rsid w:val="001A5B5F"/>
    <w:rsid w:val="001A703E"/>
    <w:rsid w:val="001A7BEC"/>
    <w:rsid w:val="001C554F"/>
    <w:rsid w:val="001C74EC"/>
    <w:rsid w:val="001C77AB"/>
    <w:rsid w:val="001D41DC"/>
    <w:rsid w:val="001D5117"/>
    <w:rsid w:val="001D59FB"/>
    <w:rsid w:val="001E0887"/>
    <w:rsid w:val="001E1022"/>
    <w:rsid w:val="001E560E"/>
    <w:rsid w:val="001E613B"/>
    <w:rsid w:val="00203AE8"/>
    <w:rsid w:val="00214C6E"/>
    <w:rsid w:val="00221345"/>
    <w:rsid w:val="0023176C"/>
    <w:rsid w:val="002325CC"/>
    <w:rsid w:val="00236021"/>
    <w:rsid w:val="0025593A"/>
    <w:rsid w:val="002600FB"/>
    <w:rsid w:val="002736C7"/>
    <w:rsid w:val="002771EA"/>
    <w:rsid w:val="00282906"/>
    <w:rsid w:val="00285955"/>
    <w:rsid w:val="00292F11"/>
    <w:rsid w:val="002C0BFF"/>
    <w:rsid w:val="002D2DD9"/>
    <w:rsid w:val="002E4431"/>
    <w:rsid w:val="002E6FF6"/>
    <w:rsid w:val="002F0678"/>
    <w:rsid w:val="002F1BA6"/>
    <w:rsid w:val="002F384C"/>
    <w:rsid w:val="002F7F26"/>
    <w:rsid w:val="00305805"/>
    <w:rsid w:val="00312A04"/>
    <w:rsid w:val="0031322C"/>
    <w:rsid w:val="00317AC6"/>
    <w:rsid w:val="0032697C"/>
    <w:rsid w:val="003366A1"/>
    <w:rsid w:val="003468F8"/>
    <w:rsid w:val="00353F64"/>
    <w:rsid w:val="00354B4E"/>
    <w:rsid w:val="00360CEC"/>
    <w:rsid w:val="00361DD3"/>
    <w:rsid w:val="00361E15"/>
    <w:rsid w:val="003702E7"/>
    <w:rsid w:val="00380EE9"/>
    <w:rsid w:val="00385AF8"/>
    <w:rsid w:val="00387948"/>
    <w:rsid w:val="00390815"/>
    <w:rsid w:val="003B200E"/>
    <w:rsid w:val="003B4461"/>
    <w:rsid w:val="003C3BB5"/>
    <w:rsid w:val="003C5F2F"/>
    <w:rsid w:val="003D0034"/>
    <w:rsid w:val="003E643E"/>
    <w:rsid w:val="003F652A"/>
    <w:rsid w:val="0040000F"/>
    <w:rsid w:val="004056DB"/>
    <w:rsid w:val="00413988"/>
    <w:rsid w:val="00437DD8"/>
    <w:rsid w:val="004634D7"/>
    <w:rsid w:val="00477E5B"/>
    <w:rsid w:val="00482938"/>
    <w:rsid w:val="004A320E"/>
    <w:rsid w:val="004B127B"/>
    <w:rsid w:val="004B2EB3"/>
    <w:rsid w:val="004B5D6A"/>
    <w:rsid w:val="004D7DEC"/>
    <w:rsid w:val="004E24BB"/>
    <w:rsid w:val="004E69F8"/>
    <w:rsid w:val="004F1D15"/>
    <w:rsid w:val="00501547"/>
    <w:rsid w:val="0050796A"/>
    <w:rsid w:val="005254FB"/>
    <w:rsid w:val="00525B09"/>
    <w:rsid w:val="00530465"/>
    <w:rsid w:val="00540F66"/>
    <w:rsid w:val="00543144"/>
    <w:rsid w:val="0054436A"/>
    <w:rsid w:val="0054470C"/>
    <w:rsid w:val="00544AF3"/>
    <w:rsid w:val="005535FF"/>
    <w:rsid w:val="00555869"/>
    <w:rsid w:val="005558F6"/>
    <w:rsid w:val="0057212C"/>
    <w:rsid w:val="00572518"/>
    <w:rsid w:val="00572C59"/>
    <w:rsid w:val="00572C74"/>
    <w:rsid w:val="005762D0"/>
    <w:rsid w:val="00582130"/>
    <w:rsid w:val="0058560B"/>
    <w:rsid w:val="00585BC0"/>
    <w:rsid w:val="00587F05"/>
    <w:rsid w:val="00597247"/>
    <w:rsid w:val="005A40FF"/>
    <w:rsid w:val="005A6514"/>
    <w:rsid w:val="005A7052"/>
    <w:rsid w:val="005B370B"/>
    <w:rsid w:val="005C1386"/>
    <w:rsid w:val="005C1814"/>
    <w:rsid w:val="005C4162"/>
    <w:rsid w:val="005C44FB"/>
    <w:rsid w:val="005C6A4B"/>
    <w:rsid w:val="005C6C72"/>
    <w:rsid w:val="005F329F"/>
    <w:rsid w:val="00600141"/>
    <w:rsid w:val="00601ABA"/>
    <w:rsid w:val="00615FDC"/>
    <w:rsid w:val="00627E68"/>
    <w:rsid w:val="0064160B"/>
    <w:rsid w:val="006447DD"/>
    <w:rsid w:val="006466A1"/>
    <w:rsid w:val="00651047"/>
    <w:rsid w:val="00652222"/>
    <w:rsid w:val="00664A7C"/>
    <w:rsid w:val="0068603B"/>
    <w:rsid w:val="00691F97"/>
    <w:rsid w:val="006966E1"/>
    <w:rsid w:val="006B25C0"/>
    <w:rsid w:val="006B60C8"/>
    <w:rsid w:val="006B72DC"/>
    <w:rsid w:val="006C3632"/>
    <w:rsid w:val="006C382F"/>
    <w:rsid w:val="006E6893"/>
    <w:rsid w:val="006F6AC0"/>
    <w:rsid w:val="00711091"/>
    <w:rsid w:val="0071249C"/>
    <w:rsid w:val="00714026"/>
    <w:rsid w:val="007217C5"/>
    <w:rsid w:val="0072393F"/>
    <w:rsid w:val="007273A5"/>
    <w:rsid w:val="0073000E"/>
    <w:rsid w:val="00730A71"/>
    <w:rsid w:val="0073615F"/>
    <w:rsid w:val="00737C9C"/>
    <w:rsid w:val="00757ED5"/>
    <w:rsid w:val="00761A96"/>
    <w:rsid w:val="00783E06"/>
    <w:rsid w:val="00791919"/>
    <w:rsid w:val="00793E7B"/>
    <w:rsid w:val="007A6475"/>
    <w:rsid w:val="007B1F5A"/>
    <w:rsid w:val="007D348A"/>
    <w:rsid w:val="007E461B"/>
    <w:rsid w:val="007E7911"/>
    <w:rsid w:val="00815533"/>
    <w:rsid w:val="00815DEC"/>
    <w:rsid w:val="0082400B"/>
    <w:rsid w:val="00824BC5"/>
    <w:rsid w:val="00830015"/>
    <w:rsid w:val="008402E0"/>
    <w:rsid w:val="00842AA1"/>
    <w:rsid w:val="0084372F"/>
    <w:rsid w:val="008545C3"/>
    <w:rsid w:val="0085545E"/>
    <w:rsid w:val="00863740"/>
    <w:rsid w:val="00864F9C"/>
    <w:rsid w:val="008A2A9A"/>
    <w:rsid w:val="008A3757"/>
    <w:rsid w:val="008A7EE1"/>
    <w:rsid w:val="008B1A7E"/>
    <w:rsid w:val="008C4B2F"/>
    <w:rsid w:val="008C4F76"/>
    <w:rsid w:val="008D6766"/>
    <w:rsid w:val="008F5E55"/>
    <w:rsid w:val="008F66FC"/>
    <w:rsid w:val="009102BA"/>
    <w:rsid w:val="009175D6"/>
    <w:rsid w:val="009202C6"/>
    <w:rsid w:val="00926387"/>
    <w:rsid w:val="00927EA7"/>
    <w:rsid w:val="00953C11"/>
    <w:rsid w:val="00967ED6"/>
    <w:rsid w:val="00973234"/>
    <w:rsid w:val="009946A5"/>
    <w:rsid w:val="009966AE"/>
    <w:rsid w:val="009B1AFB"/>
    <w:rsid w:val="009B7114"/>
    <w:rsid w:val="009C14C8"/>
    <w:rsid w:val="009C2D9E"/>
    <w:rsid w:val="009D2A11"/>
    <w:rsid w:val="009E3C8A"/>
    <w:rsid w:val="009E644B"/>
    <w:rsid w:val="009F7BC9"/>
    <w:rsid w:val="00A15EA1"/>
    <w:rsid w:val="00A26567"/>
    <w:rsid w:val="00A51DF8"/>
    <w:rsid w:val="00A61F7A"/>
    <w:rsid w:val="00A72299"/>
    <w:rsid w:val="00A91015"/>
    <w:rsid w:val="00A939E7"/>
    <w:rsid w:val="00AA6A4F"/>
    <w:rsid w:val="00AB1BC0"/>
    <w:rsid w:val="00AB2A16"/>
    <w:rsid w:val="00AB5F56"/>
    <w:rsid w:val="00AB66DC"/>
    <w:rsid w:val="00AB6FF4"/>
    <w:rsid w:val="00AB7839"/>
    <w:rsid w:val="00AB78BB"/>
    <w:rsid w:val="00AC0CC1"/>
    <w:rsid w:val="00AD1689"/>
    <w:rsid w:val="00B0071F"/>
    <w:rsid w:val="00B35C74"/>
    <w:rsid w:val="00B41FAA"/>
    <w:rsid w:val="00B447EB"/>
    <w:rsid w:val="00B44A4B"/>
    <w:rsid w:val="00B471A0"/>
    <w:rsid w:val="00B60E78"/>
    <w:rsid w:val="00B62E35"/>
    <w:rsid w:val="00B72D95"/>
    <w:rsid w:val="00B746B7"/>
    <w:rsid w:val="00B758D9"/>
    <w:rsid w:val="00B7603B"/>
    <w:rsid w:val="00B77838"/>
    <w:rsid w:val="00B87234"/>
    <w:rsid w:val="00B91130"/>
    <w:rsid w:val="00BA0563"/>
    <w:rsid w:val="00BA7AD9"/>
    <w:rsid w:val="00BC5B68"/>
    <w:rsid w:val="00BD1809"/>
    <w:rsid w:val="00BD257C"/>
    <w:rsid w:val="00BD64FA"/>
    <w:rsid w:val="00BE078E"/>
    <w:rsid w:val="00C160F1"/>
    <w:rsid w:val="00C24C1B"/>
    <w:rsid w:val="00C25AF5"/>
    <w:rsid w:val="00C33A55"/>
    <w:rsid w:val="00C36470"/>
    <w:rsid w:val="00C366D8"/>
    <w:rsid w:val="00C5556F"/>
    <w:rsid w:val="00C5673C"/>
    <w:rsid w:val="00C57D9C"/>
    <w:rsid w:val="00C6144F"/>
    <w:rsid w:val="00C6235C"/>
    <w:rsid w:val="00C64DCC"/>
    <w:rsid w:val="00C73110"/>
    <w:rsid w:val="00C90159"/>
    <w:rsid w:val="00C93ADB"/>
    <w:rsid w:val="00CC1AEF"/>
    <w:rsid w:val="00CD1E5B"/>
    <w:rsid w:val="00CD1F0B"/>
    <w:rsid w:val="00CE4437"/>
    <w:rsid w:val="00CF00DD"/>
    <w:rsid w:val="00D00726"/>
    <w:rsid w:val="00D047C1"/>
    <w:rsid w:val="00D06181"/>
    <w:rsid w:val="00D25A32"/>
    <w:rsid w:val="00D26C11"/>
    <w:rsid w:val="00D4193F"/>
    <w:rsid w:val="00D455AD"/>
    <w:rsid w:val="00D46041"/>
    <w:rsid w:val="00D5525A"/>
    <w:rsid w:val="00D55C4C"/>
    <w:rsid w:val="00D61928"/>
    <w:rsid w:val="00D677E4"/>
    <w:rsid w:val="00D7665F"/>
    <w:rsid w:val="00D84FA3"/>
    <w:rsid w:val="00D91547"/>
    <w:rsid w:val="00DA22D5"/>
    <w:rsid w:val="00DA5C62"/>
    <w:rsid w:val="00DB271C"/>
    <w:rsid w:val="00DC0585"/>
    <w:rsid w:val="00DD2C1D"/>
    <w:rsid w:val="00DD6A7A"/>
    <w:rsid w:val="00DE73CD"/>
    <w:rsid w:val="00DF654E"/>
    <w:rsid w:val="00E05EDA"/>
    <w:rsid w:val="00E103CA"/>
    <w:rsid w:val="00E11178"/>
    <w:rsid w:val="00E27203"/>
    <w:rsid w:val="00E33E2F"/>
    <w:rsid w:val="00E55E16"/>
    <w:rsid w:val="00E564CA"/>
    <w:rsid w:val="00E60ED0"/>
    <w:rsid w:val="00E6388C"/>
    <w:rsid w:val="00E6393D"/>
    <w:rsid w:val="00E710C7"/>
    <w:rsid w:val="00E75EED"/>
    <w:rsid w:val="00E976BD"/>
    <w:rsid w:val="00EA0F1C"/>
    <w:rsid w:val="00EA183F"/>
    <w:rsid w:val="00EA478A"/>
    <w:rsid w:val="00EA6DF4"/>
    <w:rsid w:val="00EB4DA5"/>
    <w:rsid w:val="00EC6839"/>
    <w:rsid w:val="00EC68B1"/>
    <w:rsid w:val="00ED1DD1"/>
    <w:rsid w:val="00F03BB7"/>
    <w:rsid w:val="00F0427E"/>
    <w:rsid w:val="00F12714"/>
    <w:rsid w:val="00F14017"/>
    <w:rsid w:val="00F167BF"/>
    <w:rsid w:val="00F22D2F"/>
    <w:rsid w:val="00F32965"/>
    <w:rsid w:val="00F35C57"/>
    <w:rsid w:val="00F36543"/>
    <w:rsid w:val="00F437B9"/>
    <w:rsid w:val="00F54DDD"/>
    <w:rsid w:val="00F55619"/>
    <w:rsid w:val="00F562EA"/>
    <w:rsid w:val="00F600FF"/>
    <w:rsid w:val="00F63EC1"/>
    <w:rsid w:val="00F67469"/>
    <w:rsid w:val="00F76CFC"/>
    <w:rsid w:val="00F76E39"/>
    <w:rsid w:val="00F830E2"/>
    <w:rsid w:val="00F85589"/>
    <w:rsid w:val="00F86044"/>
    <w:rsid w:val="00FC00B4"/>
    <w:rsid w:val="00FC1102"/>
    <w:rsid w:val="00FC7256"/>
    <w:rsid w:val="00FD209C"/>
    <w:rsid w:val="00FD57E5"/>
    <w:rsid w:val="00FE0F8B"/>
    <w:rsid w:val="00FE1E59"/>
    <w:rsid w:val="00FE31D0"/>
    <w:rsid w:val="00FE6CD7"/>
    <w:rsid w:val="00FF23C5"/>
    <w:rsid w:val="00FF41A3"/>
    <w:rsid w:val="031F4ED0"/>
    <w:rsid w:val="06491CCA"/>
    <w:rsid w:val="097A35C5"/>
    <w:rsid w:val="10E656C0"/>
    <w:rsid w:val="12844928"/>
    <w:rsid w:val="12D97684"/>
    <w:rsid w:val="184D6A75"/>
    <w:rsid w:val="1B3C6908"/>
    <w:rsid w:val="1B7B3712"/>
    <w:rsid w:val="261A5CB1"/>
    <w:rsid w:val="2E332A37"/>
    <w:rsid w:val="2E8957F9"/>
    <w:rsid w:val="3BCE1597"/>
    <w:rsid w:val="3D6514BF"/>
    <w:rsid w:val="3F231986"/>
    <w:rsid w:val="3F783786"/>
    <w:rsid w:val="42612193"/>
    <w:rsid w:val="42AD6003"/>
    <w:rsid w:val="44715C23"/>
    <w:rsid w:val="4F96715E"/>
    <w:rsid w:val="56244A5C"/>
    <w:rsid w:val="56A003B7"/>
    <w:rsid w:val="579E5041"/>
    <w:rsid w:val="597E190C"/>
    <w:rsid w:val="614B001F"/>
    <w:rsid w:val="64C019D5"/>
    <w:rsid w:val="67DC46A2"/>
    <w:rsid w:val="6F5F7B6D"/>
    <w:rsid w:val="6FDF554A"/>
    <w:rsid w:val="73DC40A1"/>
    <w:rsid w:val="74B731AC"/>
    <w:rsid w:val="77E81434"/>
    <w:rsid w:val="7B6F3DFB"/>
    <w:rsid w:val="A3FFCADD"/>
    <w:rsid w:val="D1FB8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1"/>
    <w:basedOn w:val="1"/>
    <w:next w:val="1"/>
    <w:qFormat/>
    <w:uiPriority w:val="0"/>
    <w:pPr>
      <w:keepNext/>
      <w:spacing w:line="300" w:lineRule="auto"/>
      <w:jc w:val="center"/>
      <w:outlineLvl w:val="0"/>
    </w:pPr>
    <w:rPr>
      <w:rFonts w:ascii="Times New Roman" w:hAnsi="Times New Roman" w:cs="Times New Roman"/>
      <w:b/>
      <w:bCs/>
      <w:sz w:val="32"/>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annotation text"/>
    <w:basedOn w:val="1"/>
    <w:semiHidden/>
    <w:qFormat/>
    <w:uiPriority w:val="0"/>
    <w:pPr>
      <w:jc w:val="left"/>
    </w:pPr>
  </w:style>
  <w:style w:type="paragraph" w:styleId="5">
    <w:name w:val="Body Text"/>
    <w:basedOn w:val="1"/>
    <w:qFormat/>
    <w:uiPriority w:val="0"/>
    <w:pPr>
      <w:spacing w:line="360" w:lineRule="auto"/>
    </w:pPr>
    <w:rPr>
      <w:sz w:val="28"/>
    </w:rPr>
  </w:style>
  <w:style w:type="paragraph" w:styleId="6">
    <w:name w:val="Body Text Indent"/>
    <w:basedOn w:val="1"/>
    <w:qFormat/>
    <w:uiPriority w:val="0"/>
    <w:pPr>
      <w:ind w:firstLine="2325"/>
      <w:jc w:val="center"/>
    </w:pPr>
    <w:rPr>
      <w:rFonts w:ascii="Times New Roman" w:hAnsi="Times New Roman" w:cs="Times New Roman"/>
      <w:sz w:val="21"/>
    </w:rPr>
  </w:style>
  <w:style w:type="paragraph" w:styleId="7">
    <w:name w:val="Balloon Text"/>
    <w:basedOn w:val="1"/>
    <w:semiHidden/>
    <w:qFormat/>
    <w:uiPriority w:val="0"/>
    <w:rPr>
      <w:sz w:val="18"/>
      <w:szCs w:val="18"/>
    </w:rPr>
  </w:style>
  <w:style w:type="paragraph" w:styleId="8">
    <w:name w:val="footer"/>
    <w:basedOn w:val="1"/>
    <w:qFormat/>
    <w:uiPriority w:val="0"/>
    <w:pPr>
      <w:tabs>
        <w:tab w:val="center" w:pos="4153"/>
        <w:tab w:val="right" w:pos="8306"/>
      </w:tabs>
      <w:snapToGrid w:val="0"/>
      <w:jc w:val="left"/>
    </w:pPr>
    <w:rPr>
      <w:rFonts w:ascii="Times New Roman" w:hAnsi="Times New Roman" w:cs="Times New Roman"/>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10">
    <w:name w:val="annotation subject"/>
    <w:basedOn w:val="4"/>
    <w:next w:val="4"/>
    <w:semiHidden/>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qFormat/>
    <w:uiPriority w:val="0"/>
    <w:rPr>
      <w:sz w:val="21"/>
      <w:szCs w:val="21"/>
    </w:rPr>
  </w:style>
  <w:style w:type="character" w:customStyle="1" w:styleId="15">
    <w:name w:val="dbluetext1"/>
    <w:basedOn w:val="13"/>
    <w:qFormat/>
    <w:uiPriority w:val="0"/>
    <w:rPr>
      <w:rFonts w:hint="default" w:ascii="Arial" w:hAnsi="Arial" w:cs="Arial"/>
      <w:color w:val="003FB2"/>
      <w:sz w:val="13"/>
      <w:szCs w:val="13"/>
    </w:rPr>
  </w:style>
  <w:style w:type="paragraph" w:styleId="1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jwc</Company>
  <Pages>22</Pages>
  <Words>192</Words>
  <Characters>230</Characters>
  <Lines>20</Lines>
  <Paragraphs>5</Paragraphs>
  <TotalTime>11</TotalTime>
  <ScaleCrop>false</ScaleCrop>
  <LinksUpToDate>false</LinksUpToDate>
  <CharactersWithSpaces>315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2026-10-19T09:06:00Z</dcterms:created>
  <dc:creator>朱立华</dc:creator>
  <cp:lastModifiedBy>孙榕鸿</cp:lastModifiedBy>
  <dcterms:modified xsi:type="dcterms:W3CDTF">2026-10-22T03:18:37Z</dcterms:modified>
  <dc:title>程序设计报告封面_06new</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6DEABDA0845A20155E0F4467A4FEED57_43</vt:lpwstr>
  </property>
  <property fmtid="{D5CDD505-2E9C-101B-9397-08002B2CF9AE}" pid="4" name="KSOTemplateDocerSaveRecord">
    <vt:lpwstr>eyJoZGlkIjoiMWFjZDUxNDYyOWRlODU0OTIxODRhYjI2MmQ2YjlkYWUiLCJ1c2VySWQiOiIxNTU2NTIzNTQ3In0=</vt:lpwstr>
  </property>
</Properties>
</file>