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40" w:after="0"/>
      </w:pPr>
      <w:r>
        <w:rPr>
          <w:rFonts w:ascii="Arial" w:cs="Arial" w:eastAsia="Arial" w:hAnsi="Arial"/>
        </w:rPr>
        <w:t xml:space="preserve"/>
      </w:r>
    </w:p>
    <w:p>
      <w:pPr>
        <w:spacing w:before="0" w:after="60"/>
        <w:jc w:val="center"/>
      </w:pPr>
      <w:r>
        <w:rPr>
          <w:rFonts w:ascii="Arial" w:cs="Arial" w:eastAsia="Arial" w:hAnsi="Arial"/>
          <w:b/>
          <w:bCs/>
          <w:color w:val="1E2761"/>
          <w:sz w:val="88"/>
          <w:szCs w:val="88"/>
        </w:rPr>
        <w:t xml:space="preserve">ShopFlow</w:t>
      </w:r>
    </w:p>
    <w:p>
      <w:pPr>
        <w:spacing w:before="0" w:after="40"/>
        <w:jc w:val="center"/>
      </w:pPr>
      <w:r>
        <w:rPr>
          <w:rFonts w:ascii="Arial" w:cs="Arial" w:eastAsia="Arial" w:hAnsi="Arial"/>
          <w:color w:val="0EA5E9"/>
          <w:sz w:val="40"/>
          <w:szCs w:val="40"/>
        </w:rPr>
        <w:t xml:space="preserve">Software Design Diagrams</w:t>
      </w:r>
    </w:p>
    <w:p>
      <w:pPr>
        <w:spacing w:before="0" w:after="60"/>
        <w:jc w:val="center"/>
      </w:pPr>
      <w:r>
        <w:rPr>
          <w:rFonts w:ascii="Arial" w:cs="Arial" w:eastAsia="Arial" w:hAnsi="Arial"/>
          <w:color w:val="94A3B8"/>
          <w:sz w:val="26"/>
          <w:szCs w:val="26"/>
        </w:rPr>
        <w:t xml:space="preserve">Assignment Brief  ·  v2.0</w:t>
      </w:r>
    </w:p>
    <w:p>
      <w:pPr>
        <w:pBdr>
          <w:bottom w:val="single" w:color="CBD5E1" w:sz="4" w:space="8"/>
        </w:pBdr>
        <w:spacing w:before="0" w:after="500"/>
        <w:jc w:val="cente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90"/>
              <w:left w:type="dxa" w:w="130"/>
              <w:bottom w:type="dxa" w:w="90"/>
              <w:right w:type="dxa" w:w="130"/>
            </w:tcMar>
          </w:tcPr>
          <w:p>
            <w:r>
              <w:rPr>
                <w:rFonts w:ascii="Arial" w:cs="Arial" w:eastAsia="Arial" w:hAnsi="Arial"/>
                <w:b/>
                <w:bCs/>
                <w:color w:val="1E2761"/>
                <w:sz w:val="19"/>
                <w:szCs w:val="19"/>
              </w:rPr>
              <w:t xml:space="preserve">Course</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color w:val="1E293B"/>
                <w:sz w:val="19"/>
                <w:szCs w:val="19"/>
              </w:rPr>
              <w:t xml:space="preserve">Spring Boot API Development — Semicolon Africa</w:t>
            </w:r>
          </w:p>
        </w:tc>
      </w:tr>
      <w:tr>
        <w:tc>
          <w:tcPr>
            <w:tcW w:type="dxa" w:w="2400"/>
            <w:tcBorders>
              <w:top w:val="single" w:color="CBD5E1" w:sz="1"/>
              <w:left w:val="single" w:color="CBD5E1" w:sz="1"/>
              <w:bottom w:val="single" w:color="CBD5E1" w:sz="1"/>
              <w:right w:val="single" w:color="CBD5E1" w:sz="1"/>
            </w:tcBorders>
            <w:shd w:fill="DBEAFE" w:val="clear"/>
            <w:tcMar>
              <w:top w:type="dxa" w:w="90"/>
              <w:left w:type="dxa" w:w="130"/>
              <w:bottom w:type="dxa" w:w="90"/>
              <w:right w:type="dxa" w:w="130"/>
            </w:tcMar>
          </w:tcPr>
          <w:p>
            <w:r>
              <w:rPr>
                <w:rFonts w:ascii="Arial" w:cs="Arial" w:eastAsia="Arial" w:hAnsi="Arial"/>
                <w:b/>
                <w:bCs/>
                <w:color w:val="1E2761"/>
                <w:sz w:val="19"/>
                <w:szCs w:val="19"/>
              </w:rPr>
              <w:t xml:space="preserve">Assignment</w:t>
            </w:r>
          </w:p>
        </w:tc>
        <w:tc>
          <w:tcPr>
            <w:tcW w:type="dxa" w:w="6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color w:val="1E293B"/>
                <w:sz w:val="19"/>
                <w:szCs w:val="19"/>
              </w:rPr>
              <w:t xml:space="preserve">Design Diagrams: Product, Inventory &amp; Wallet Services</w:t>
            </w:r>
          </w:p>
        </w:tc>
      </w:tr>
      <w:tr>
        <w:tc>
          <w:tcPr>
            <w:tcW w:type="dxa" w:w="2400"/>
            <w:tcBorders>
              <w:top w:val="single" w:color="CBD5E1" w:sz="1"/>
              <w:left w:val="single" w:color="CBD5E1" w:sz="1"/>
              <w:bottom w:val="single" w:color="CBD5E1" w:sz="1"/>
              <w:right w:val="single" w:color="CBD5E1" w:sz="1"/>
            </w:tcBorders>
            <w:shd w:fill="DBEAFE" w:val="clear"/>
            <w:tcMar>
              <w:top w:type="dxa" w:w="90"/>
              <w:left w:type="dxa" w:w="130"/>
              <w:bottom w:type="dxa" w:w="90"/>
              <w:right w:type="dxa" w:w="130"/>
            </w:tcMar>
          </w:tcPr>
          <w:p>
            <w:r>
              <w:rPr>
                <w:rFonts w:ascii="Arial" w:cs="Arial" w:eastAsia="Arial" w:hAnsi="Arial"/>
                <w:b/>
                <w:bCs/>
                <w:color w:val="1E2761"/>
                <w:sz w:val="19"/>
                <w:szCs w:val="19"/>
              </w:rPr>
              <w:t xml:space="preserve">Diagram types</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color w:val="1E293B"/>
                <w:sz w:val="19"/>
                <w:szCs w:val="19"/>
              </w:rPr>
              <w:t xml:space="preserve">Class Diagram  ·  Sequence Diagram  ·  Activity Diagram  ·  ERD</w:t>
            </w:r>
          </w:p>
        </w:tc>
      </w:tr>
      <w:tr>
        <w:tc>
          <w:tcPr>
            <w:tcW w:type="dxa" w:w="2400"/>
            <w:tcBorders>
              <w:top w:val="single" w:color="CBD5E1" w:sz="1"/>
              <w:left w:val="single" w:color="CBD5E1" w:sz="1"/>
              <w:bottom w:val="single" w:color="CBD5E1" w:sz="1"/>
              <w:right w:val="single" w:color="CBD5E1" w:sz="1"/>
            </w:tcBorders>
            <w:shd w:fill="DBEAFE" w:val="clear"/>
            <w:tcMar>
              <w:top w:type="dxa" w:w="90"/>
              <w:left w:type="dxa" w:w="130"/>
              <w:bottom w:type="dxa" w:w="90"/>
              <w:right w:type="dxa" w:w="130"/>
            </w:tcMar>
          </w:tcPr>
          <w:p>
            <w:r>
              <w:rPr>
                <w:rFonts w:ascii="Arial" w:cs="Arial" w:eastAsia="Arial" w:hAnsi="Arial"/>
                <w:b/>
                <w:bCs/>
                <w:color w:val="1E2761"/>
                <w:sz w:val="19"/>
                <w:szCs w:val="19"/>
              </w:rPr>
              <w:t xml:space="preserve">Scope</w:t>
            </w:r>
          </w:p>
        </w:tc>
        <w:tc>
          <w:tcPr>
            <w:tcW w:type="dxa" w:w="6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color w:val="1E293B"/>
                <w:sz w:val="19"/>
                <w:szCs w:val="19"/>
              </w:rPr>
              <w:t xml:space="preserve">3 services  ×  4 diagrams  =  12 diagrams total</w:t>
            </w:r>
          </w:p>
        </w:tc>
      </w:tr>
      <w:tr>
        <w:tc>
          <w:tcPr>
            <w:tcW w:type="dxa" w:w="2400"/>
            <w:tcBorders>
              <w:top w:val="single" w:color="CBD5E1" w:sz="1"/>
              <w:left w:val="single" w:color="CBD5E1" w:sz="1"/>
              <w:bottom w:val="single" w:color="CBD5E1" w:sz="1"/>
              <w:right w:val="single" w:color="CBD5E1" w:sz="1"/>
            </w:tcBorders>
            <w:shd w:fill="DBEAFE" w:val="clear"/>
            <w:tcMar>
              <w:top w:type="dxa" w:w="90"/>
              <w:left w:type="dxa" w:w="130"/>
              <w:bottom w:type="dxa" w:w="90"/>
              <w:right w:type="dxa" w:w="130"/>
            </w:tcMar>
          </w:tcPr>
          <w:p>
            <w:r>
              <w:rPr>
                <w:rFonts w:ascii="Arial" w:cs="Arial" w:eastAsia="Arial" w:hAnsi="Arial"/>
                <w:b/>
                <w:bCs/>
                <w:color w:val="1E2761"/>
                <w:sz w:val="19"/>
                <w:szCs w:val="19"/>
              </w:rPr>
              <w:t xml:space="preserve">Tool</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color w:val="1E293B"/>
                <w:sz w:val="19"/>
                <w:szCs w:val="19"/>
              </w:rPr>
              <w:t xml:space="preserve">draw.io (https://app.diagrams.net) — free, browser-based</w:t>
            </w:r>
          </w:p>
        </w:tc>
      </w:tr>
      <w:tr>
        <w:tc>
          <w:tcPr>
            <w:tcW w:type="dxa" w:w="2400"/>
            <w:tcBorders>
              <w:top w:val="single" w:color="CBD5E1" w:sz="1"/>
              <w:left w:val="single" w:color="CBD5E1" w:sz="1"/>
              <w:bottom w:val="single" w:color="CBD5E1" w:sz="1"/>
              <w:right w:val="single" w:color="CBD5E1" w:sz="1"/>
            </w:tcBorders>
            <w:shd w:fill="DBEAFE" w:val="clear"/>
            <w:tcMar>
              <w:top w:type="dxa" w:w="90"/>
              <w:left w:type="dxa" w:w="130"/>
              <w:bottom w:type="dxa" w:w="90"/>
              <w:right w:type="dxa" w:w="130"/>
            </w:tcMar>
          </w:tcPr>
          <w:p>
            <w:r>
              <w:rPr>
                <w:rFonts w:ascii="Arial" w:cs="Arial" w:eastAsia="Arial" w:hAnsi="Arial"/>
                <w:b/>
                <w:bCs/>
                <w:color w:val="1E2761"/>
                <w:sz w:val="19"/>
                <w:szCs w:val="19"/>
              </w:rPr>
              <w:t xml:space="preserve">Deliverables</w:t>
            </w:r>
          </w:p>
        </w:tc>
        <w:tc>
          <w:tcPr>
            <w:tcW w:type="dxa" w:w="6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color w:val="1E293B"/>
                <w:sz w:val="19"/>
                <w:szCs w:val="19"/>
              </w:rPr>
              <w:t xml:space="preserve">PDF export  +  .drawio source file  +  written reflections</w:t>
            </w:r>
          </w:p>
        </w:tc>
      </w:tr>
      <w:tr>
        <w:tc>
          <w:tcPr>
            <w:tcW w:type="dxa" w:w="2400"/>
            <w:tcBorders>
              <w:top w:val="single" w:color="CBD5E1" w:sz="1"/>
              <w:left w:val="single" w:color="CBD5E1" w:sz="1"/>
              <w:bottom w:val="single" w:color="CBD5E1" w:sz="1"/>
              <w:right w:val="single" w:color="CBD5E1" w:sz="1"/>
            </w:tcBorders>
            <w:shd w:fill="DBEAFE" w:val="clear"/>
            <w:tcMar>
              <w:top w:type="dxa" w:w="90"/>
              <w:left w:type="dxa" w:w="130"/>
              <w:bottom w:type="dxa" w:w="90"/>
              <w:right w:type="dxa" w:w="130"/>
            </w:tcMar>
          </w:tcPr>
          <w:p>
            <w:r>
              <w:rPr>
                <w:rFonts w:ascii="Arial" w:cs="Arial" w:eastAsia="Arial" w:hAnsi="Arial"/>
                <w:b/>
                <w:bCs/>
                <w:color w:val="1E2761"/>
                <w:sz w:val="19"/>
                <w:szCs w:val="19"/>
              </w:rPr>
              <w:t xml:space="preserve">Total marks</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color w:val="1E293B"/>
                <w:sz w:val="19"/>
                <w:szCs w:val="19"/>
              </w:rPr>
              <w:t xml:space="preserve">40 marks  (10 per diagram type across all 3 services)</w:t>
            </w:r>
          </w:p>
        </w:tc>
      </w:tr>
      <w:tr>
        <w:tc>
          <w:tcPr>
            <w:tcW w:type="dxa" w:w="2400"/>
            <w:tcBorders>
              <w:top w:val="single" w:color="CBD5E1" w:sz="1"/>
              <w:left w:val="single" w:color="CBD5E1" w:sz="1"/>
              <w:bottom w:val="single" w:color="CBD5E1" w:sz="1"/>
              <w:right w:val="single" w:color="CBD5E1" w:sz="1"/>
            </w:tcBorders>
            <w:shd w:fill="DBEAFE" w:val="clear"/>
            <w:tcMar>
              <w:top w:type="dxa" w:w="90"/>
              <w:left w:type="dxa" w:w="130"/>
              <w:bottom w:type="dxa" w:w="90"/>
              <w:right w:type="dxa" w:w="130"/>
            </w:tcMar>
          </w:tcPr>
          <w:p>
            <w:r>
              <w:rPr>
                <w:rFonts w:ascii="Arial" w:cs="Arial" w:eastAsia="Arial" w:hAnsi="Arial"/>
                <w:b/>
                <w:bCs/>
                <w:color w:val="1E2761"/>
                <w:sz w:val="19"/>
                <w:szCs w:val="19"/>
              </w:rPr>
              <w:t xml:space="preserve">Prepared by</w:t>
            </w:r>
          </w:p>
        </w:tc>
        <w:tc>
          <w:tcPr>
            <w:tcW w:type="dxa" w:w="6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color w:val="1E293B"/>
                <w:sz w:val="19"/>
                <w:szCs w:val="19"/>
              </w:rPr>
              <w:t xml:space="preserve">Femi  |  Lead Instructor</w:t>
            </w:r>
          </w:p>
        </w:tc>
      </w:tr>
    </w:tbl>
    <w:p>
      <w:r>
        <w:br w:type="page"/>
      </w:r>
    </w:p>
    <w:p>
      <w:pPr>
        <w:pStyle w:val="Heading1"/>
        <w:pBdr>
          <w:bottom w:val="single" w:color="1E2761" w:sz="8" w:space="6"/>
        </w:pBdr>
        <w:spacing w:before="480" w:after="180"/>
      </w:pPr>
      <w:r>
        <w:rPr>
          <w:rFonts w:ascii="Arial" w:cs="Arial" w:eastAsia="Arial" w:hAnsi="Arial"/>
          <w:b/>
          <w:bCs/>
          <w:color w:val="1E2761"/>
          <w:sz w:val="34"/>
          <w:szCs w:val="34"/>
        </w:rPr>
        <w:t xml:space="preserve">1. Purpose &amp; Context</w:t>
      </w:r>
    </w:p>
    <w:p>
      <w:pPr>
        <w:spacing w:before="60" w:after="80"/>
        <w:jc w:val="both"/>
      </w:pPr>
      <w:r>
        <w:rPr>
          <w:rFonts w:ascii="Arial" w:cs="Arial" w:eastAsia="Arial" w:hAnsi="Arial"/>
          <w:color w:val="1E293B"/>
          <w:sz w:val="21"/>
          <w:szCs w:val="21"/>
        </w:rPr>
        <w:t xml:space="preserve">This assignment asks you to produce four types of software design diagram for three core services in the ShopFlow e-commerce platform: the product catalog, the inventory and stock management service, and the financial wallet service. Together these three services represent the most important patterns in the system — REST CRUD, synchronous inter-service calls with a pessimistic database lock, and event-driven financial processing.</w:t>
      </w:r>
    </w:p>
    <w:p>
      <w:pPr>
        <w:spacing w:before="80" w:after="0"/>
      </w:pPr>
      <w:r>
        <w:rPr>
          <w:rFonts w:ascii="Arial" w:cs="Arial" w:eastAsia="Arial" w:hAnsi="Arial"/>
        </w:rPr>
        <w:t xml:space="preserve"/>
      </w:r>
    </w:p>
    <w:p>
      <w:pPr>
        <w:spacing w:before="60" w:after="80"/>
        <w:jc w:val="both"/>
      </w:pPr>
      <w:r>
        <w:rPr>
          <w:rFonts w:ascii="Arial" w:cs="Arial" w:eastAsia="Arial" w:hAnsi="Arial"/>
          <w:color w:val="1E293B"/>
          <w:sz w:val="21"/>
          <w:szCs w:val="21"/>
        </w:rPr>
        <w:t xml:space="preserve">Good engineers design before they build. In this assignment the design work is yours — you are given the entity names, field names, and the key scenarios, but the exact layout, notation, and structural decisions are for you to make. Your diagrams will be reviewed by the instructor in the same way that engineering diagrams are reviewed in a pull request: for accuracy, consistency, and professional UML notation.</w:t>
      </w:r>
    </w:p>
    <w:p>
      <w:pPr>
        <w:spacing w:before="1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1"/>
              <w:bottom w:val="single" w:color="0EA5E9" w:sz="1"/>
              <w:right w:val="single" w:color="0EA5E9" w:sz="1"/>
            </w:tcBorders>
            <w:shd w:fill="DBEAFE" w:val="clear"/>
            <w:tcMar>
              <w:top w:type="dxa" w:w="140"/>
              <w:left w:type="dxa" w:w="200"/>
              <w:bottom w:type="dxa" w:w="140"/>
              <w:right w:type="dxa" w:w="200"/>
            </w:tcMar>
          </w:tcPr>
          <w:p>
            <w:pPr>
              <w:spacing w:before="0" w:after="60"/>
            </w:pPr>
            <w:r>
              <w:rPr>
                <w:rFonts w:ascii="Arial" w:cs="Arial" w:eastAsia="Arial" w:hAnsi="Arial"/>
                <w:b/>
                <w:bCs/>
                <w:color w:val="1E2761"/>
                <w:sz w:val="19"/>
                <w:szCs w:val="19"/>
              </w:rPr>
              <w:t xml:space="preserve">Why these three services?</w:t>
            </w:r>
          </w:p>
          <w:p>
            <w:pPr>
              <w:spacing w:before="0" w:after="40"/>
            </w:pPr>
            <w:r>
              <w:rPr>
                <w:rFonts w:ascii="Arial" w:cs="Arial" w:eastAsia="Arial" w:hAnsi="Arial"/>
                <w:color w:val="1E293B"/>
                <w:sz w:val="20"/>
                <w:szCs w:val="20"/>
              </w:rPr>
              <w:t xml:space="preserve">product-service is your foundation — it is the simplest service in ShopFlow and teaches you the clean three-layer pattern. If you can diagram a product service correctly, you can diagram any CRUD service.</w:t>
            </w:r>
          </w:p>
          <w:p>
            <w:pPr>
              <w:spacing w:before="0" w:after="40"/>
            </w:pPr>
            <w:r>
              <w:rPr>
                <w:rFonts w:ascii="Arial" w:cs="Arial" w:eastAsia="Arial" w:hAnsi="Arial"/>
                <w:color w:val="1E293B"/>
                <w:sz w:val="20"/>
                <w:szCs w:val="20"/>
              </w:rPr>
              <w:t xml:space="preserve">inventory-service introduces complexity: two linked entities, a pessimistic database lock, an external Feign call, a Kafka producer, and a scheduled expiry job. Your diagrams must reflect all of these.</w:t>
            </w:r>
          </w:p>
          <w:p>
            <w:pPr>
              <w:spacing w:before="0" w:after="40"/>
            </w:pPr>
            <w:r>
              <w:rPr>
                <w:rFonts w:ascii="Arial" w:cs="Arial" w:eastAsia="Arial" w:hAnsi="Arial"/>
                <w:color w:val="1E293B"/>
                <w:sz w:val="20"/>
                <w:szCs w:val="20"/>
              </w:rPr>
              <w:t xml:space="preserve">wallet-service is the most critical service in the system. It handles money. Your diagrams must show the idempotency guard, the pessimistic lock, the immutable transaction ledger, and the Kafka event flow. Errors in financial service design have real consequences — this is intentional teaching.</w:t>
            </w:r>
          </w:p>
        </w:tc>
      </w:tr>
    </w:tbl>
    <w:p>
      <w:pPr>
        <w:spacing w:before="200" w:after="0"/>
      </w:pPr>
      <w:r>
        <w:rPr>
          <w:rFonts w:ascii="Arial" w:cs="Arial" w:eastAsia="Arial" w:hAnsi="Arial"/>
        </w:rPr>
        <w:t xml:space="preserve"/>
      </w:r>
    </w:p>
    <w:p>
      <w:pPr>
        <w:pStyle w:val="Heading2"/>
        <w:spacing w:before="300" w:after="120"/>
      </w:pPr>
      <w:r>
        <w:rPr>
          <w:rFonts w:ascii="Arial" w:cs="Arial" w:eastAsia="Arial" w:hAnsi="Arial"/>
          <w:b/>
          <w:bCs/>
          <w:color w:val="1E293B"/>
          <w:sz w:val="26"/>
          <w:szCs w:val="26"/>
        </w:rPr>
        <w:t xml:space="preserve">1.1 Diagram types at a glance</w:t>
      </w:r>
    </w:p>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1E40AF" w:sz="1"/>
              <w:left w:val="single" w:color="1E40AF" w:sz="1"/>
              <w:bottom w:val="single" w:color="1E40AF" w:sz="1"/>
              <w:right w:val="single" w:color="1E40AF" w:sz="1"/>
            </w:tcBorders>
            <w:shd w:fill="EFF6FF" w:val="clear"/>
            <w:tcMar>
              <w:top w:type="dxa" w:w="100"/>
              <w:left w:type="dxa" w:w="140"/>
              <w:bottom w:type="dxa" w:w="100"/>
              <w:right w:type="dxa" w:w="140"/>
            </w:tcMar>
            <w:vAlign w:val="center"/>
          </w:tcPr>
          <w:p>
            <w:pPr>
              <w:jc w:val="center"/>
            </w:pPr>
            <w:r>
              <w:rPr>
                <w:rFonts w:ascii="Arial" w:cs="Arial" w:eastAsia="Arial" w:hAnsi="Arial"/>
                <w:b/>
                <w:bCs/>
                <w:color w:val="1E40AF"/>
                <w:sz w:val="19"/>
                <w:szCs w:val="19"/>
              </w:rPr>
              <w:t xml:space="preserve">Class</w:t>
            </w:r>
          </w:p>
        </w:tc>
        <w:tc>
          <w:tcPr>
            <w:tcW w:type="dxa" w:w="78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The static blueprint. Shows classes, fields, methods, stereotypes (entity, service, repository, dto, enum) and relationships (uses, manages, has). Answers: what does the service look like in code?</w:t>
            </w:r>
          </w:p>
        </w:tc>
      </w:tr>
    </w:tbl>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065F46" w:sz="1"/>
              <w:left w:val="single" w:color="065F46" w:sz="1"/>
              <w:bottom w:val="single" w:color="065F46" w:sz="1"/>
              <w:right w:val="single" w:color="065F46" w:sz="1"/>
            </w:tcBorders>
            <w:shd w:fill="ECFDF5" w:val="clear"/>
            <w:tcMar>
              <w:top w:type="dxa" w:w="100"/>
              <w:left w:type="dxa" w:w="140"/>
              <w:bottom w:type="dxa" w:w="100"/>
              <w:right w:type="dxa" w:w="140"/>
            </w:tcMar>
            <w:vAlign w:val="center"/>
          </w:tcPr>
          <w:p>
            <w:pPr>
              <w:jc w:val="center"/>
            </w:pPr>
            <w:r>
              <w:rPr>
                <w:rFonts w:ascii="Arial" w:cs="Arial" w:eastAsia="Arial" w:hAnsi="Arial"/>
                <w:b/>
                <w:bCs/>
                <w:color w:val="065F46"/>
                <w:sz w:val="19"/>
                <w:szCs w:val="19"/>
              </w:rPr>
              <w:t xml:space="preserve">Sequence</w:t>
            </w:r>
          </w:p>
        </w:tc>
        <w:tc>
          <w:tcPr>
            <w:tcW w:type="dxa" w:w="78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The runtime story. Shows objects exchanging messages in time order, including the happy path and at least one alt frame for an error path. Answers: what happens, step by step, when a request arrives?</w:t>
            </w:r>
          </w:p>
        </w:tc>
      </w:tr>
    </w:tbl>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78350F" w:sz="1"/>
              <w:left w:val="single" w:color="78350F" w:sz="1"/>
              <w:bottom w:val="single" w:color="78350F" w:sz="1"/>
              <w:right w:val="single" w:color="78350F" w:sz="1"/>
            </w:tcBorders>
            <w:shd w:fill="FFFBEB" w:val="clear"/>
            <w:tcMar>
              <w:top w:type="dxa" w:w="100"/>
              <w:left w:type="dxa" w:w="140"/>
              <w:bottom w:type="dxa" w:w="100"/>
              <w:right w:type="dxa" w:w="140"/>
            </w:tcMar>
            <w:vAlign w:val="center"/>
          </w:tcPr>
          <w:p>
            <w:pPr>
              <w:jc w:val="center"/>
            </w:pPr>
            <w:r>
              <w:rPr>
                <w:rFonts w:ascii="Arial" w:cs="Arial" w:eastAsia="Arial" w:hAnsi="Arial"/>
                <w:b/>
                <w:bCs/>
                <w:color w:val="78350F"/>
                <w:sz w:val="19"/>
                <w:szCs w:val="19"/>
              </w:rPr>
              <w:t xml:space="preserve">Activity</w:t>
            </w:r>
          </w:p>
        </w:tc>
        <w:tc>
          <w:tcPr>
            <w:tcW w:type="dxa" w:w="78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The decision logic. Shows the flow through a business process using swim lanes, decision diamonds, forks, and joins. Answers: what decisions does the system make and what happens in each branch?</w:t>
            </w:r>
          </w:p>
        </w:tc>
      </w:tr>
    </w:tbl>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4C1D95" w:sz="1"/>
              <w:left w:val="single" w:color="4C1D95" w:sz="1"/>
              <w:bottom w:val="single" w:color="4C1D95" w:sz="1"/>
              <w:right w:val="single" w:color="4C1D95" w:sz="1"/>
            </w:tcBorders>
            <w:shd w:fill="F5F3FF" w:val="clear"/>
            <w:tcMar>
              <w:top w:type="dxa" w:w="100"/>
              <w:left w:type="dxa" w:w="140"/>
              <w:bottom w:type="dxa" w:w="100"/>
              <w:right w:type="dxa" w:w="140"/>
            </w:tcMar>
            <w:vAlign w:val="center"/>
          </w:tcPr>
          <w:p>
            <w:pPr>
              <w:jc w:val="center"/>
            </w:pPr>
            <w:r>
              <w:rPr>
                <w:rFonts w:ascii="Arial" w:cs="Arial" w:eastAsia="Arial" w:hAnsi="Arial"/>
                <w:b/>
                <w:bCs/>
                <w:color w:val="4C1D95"/>
                <w:sz w:val="19"/>
                <w:szCs w:val="19"/>
              </w:rPr>
              <w:t xml:space="preserve">ERD</w:t>
            </w:r>
          </w:p>
        </w:tc>
        <w:tc>
          <w:tcPr>
            <w:tcW w:type="dxa" w:w="78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color w:val="1E293B"/>
                <w:sz w:val="20"/>
                <w:szCs w:val="20"/>
              </w:rPr>
              <w:t xml:space="preserve">The data truth. Shows tables, columns with types and constraints, and relationships with cardinality (crow's foot notation). Answers: how is the data stored and how do tables relate?</w:t>
            </w:r>
          </w:p>
        </w:tc>
      </w:tr>
    </w:tbl>
    <w:p>
      <w:pPr>
        <w:spacing w:before="200" w:after="0"/>
      </w:pPr>
      <w:r>
        <w:rPr>
          <w:rFonts w:ascii="Arial" w:cs="Arial" w:eastAsia="Arial" w:hAnsi="Arial"/>
        </w:rPr>
        <w:t xml:space="preserve"/>
      </w:r>
    </w:p>
    <w:p>
      <w:pPr>
        <w:pStyle w:val="Heading2"/>
        <w:spacing w:before="300" w:after="120"/>
      </w:pPr>
      <w:r>
        <w:rPr>
          <w:rFonts w:ascii="Arial" w:cs="Arial" w:eastAsia="Arial" w:hAnsi="Arial"/>
          <w:b/>
          <w:bCs/>
          <w:color w:val="1E293B"/>
          <w:sz w:val="26"/>
          <w:szCs w:val="26"/>
        </w:rPr>
        <w:t xml:space="preserve">1.2 Recommended tool: draw.io</w:t>
      </w:r>
    </w:p>
    <w:p>
      <w:pPr>
        <w:spacing w:before="60" w:after="80"/>
        <w:jc w:val="both"/>
      </w:pPr>
      <w:r>
        <w:rPr>
          <w:rFonts w:ascii="Arial" w:cs="Arial" w:eastAsia="Arial" w:hAnsi="Arial"/>
          <w:color w:val="1E293B"/>
          <w:sz w:val="21"/>
          <w:szCs w:val="21"/>
        </w:rPr>
        <w:t xml:space="preserve">Open https://app.diagrams.net in your browser. No account is required. Create a new blank diagram and enable the UML shape library: View → Shapes → tick "UML" and "Entity Relation".</w:t>
      </w:r>
    </w:p>
    <w:p>
      <w:pPr>
        <w:spacing w:before="60" w:after="0"/>
      </w:pPr>
      <w:r>
        <w:rPr>
          <w:rFonts w:ascii="Arial" w:cs="Arial" w:eastAsia="Arial" w:hAnsi="Arial"/>
        </w:rPr>
        <w:t xml:space="preserve"/>
      </w:r>
    </w:p>
    <w:p>
      <w:pPr>
        <w:pStyle w:val="ListParagraph"/>
        <w:numPr>
          <w:ilvl w:val="0"/>
          <w:numId w:val="2"/>
        </w:numPr>
        <w:spacing w:before="50" w:after="50"/>
      </w:pPr>
      <w:r>
        <w:rPr>
          <w:rFonts w:ascii="Arial" w:cs="Arial" w:eastAsia="Arial" w:hAnsi="Arial"/>
          <w:color w:val="1E293B"/>
          <w:sz w:val="21"/>
          <w:szCs w:val="21"/>
        </w:rPr>
        <w:t xml:space="preserve">For class and sequence diagrams use the UML stencils — right-click any shape to add stereotypes</w:t>
      </w:r>
    </w:p>
    <w:p>
      <w:pPr>
        <w:pStyle w:val="ListParagraph"/>
        <w:numPr>
          <w:ilvl w:val="0"/>
          <w:numId w:val="2"/>
        </w:numPr>
        <w:spacing w:before="50" w:after="50"/>
      </w:pPr>
      <w:r>
        <w:rPr>
          <w:rFonts w:ascii="Arial" w:cs="Arial" w:eastAsia="Arial" w:hAnsi="Arial"/>
          <w:color w:val="1E293B"/>
          <w:sz w:val="21"/>
          <w:szCs w:val="21"/>
        </w:rPr>
        <w:t xml:space="preserve">For activity diagrams use swim lanes: drag "Pool / Lane" from the General panel</w:t>
      </w:r>
    </w:p>
    <w:p>
      <w:pPr>
        <w:pStyle w:val="ListParagraph"/>
        <w:numPr>
          <w:ilvl w:val="0"/>
          <w:numId w:val="2"/>
        </w:numPr>
        <w:spacing w:before="50" w:after="50"/>
      </w:pPr>
      <w:r>
        <w:rPr>
          <w:rFonts w:ascii="Arial" w:cs="Arial" w:eastAsia="Arial" w:hAnsi="Arial"/>
          <w:color w:val="1E293B"/>
          <w:sz w:val="21"/>
          <w:szCs w:val="21"/>
        </w:rPr>
        <w:t xml:space="preserve">For ERDs use the Entity Relation shapes panel — the crow's foot connectors are in there</w:t>
      </w:r>
    </w:p>
    <w:p>
      <w:pPr>
        <w:pStyle w:val="ListParagraph"/>
        <w:numPr>
          <w:ilvl w:val="0"/>
          <w:numId w:val="2"/>
        </w:numPr>
        <w:spacing w:before="50" w:after="50"/>
      </w:pPr>
      <w:r>
        <w:rPr>
          <w:rFonts w:ascii="Arial" w:cs="Arial" w:eastAsia="Arial" w:hAnsi="Arial"/>
          <w:color w:val="1E293B"/>
          <w:sz w:val="21"/>
          <w:szCs w:val="21"/>
        </w:rPr>
        <w:t xml:space="preserve">Export: File → Export As → PDF (for submission). Also save the .drawio file</w:t>
      </w:r>
    </w:p>
    <w:p>
      <w:pPr>
        <w:pStyle w:val="ListParagraph"/>
        <w:numPr>
          <w:ilvl w:val="0"/>
          <w:numId w:val="2"/>
        </w:numPr>
        <w:spacing w:before="50" w:after="50"/>
      </w:pPr>
      <w:r>
        <w:rPr>
          <w:rFonts w:ascii="Arial" w:cs="Arial" w:eastAsia="Arial" w:hAnsi="Arial"/>
          <w:color w:val="1E293B"/>
          <w:sz w:val="21"/>
          <w:szCs w:val="21"/>
        </w:rPr>
        <w:t xml:space="preserve">Colour coding suggestion: Controller = blue, Service = green, Repository = grey, Kafka = amber, Entity = purple</w:t>
      </w:r>
    </w:p>
    <w:p>
      <w:r>
        <w:br w:type="page"/>
      </w:r>
    </w:p>
    <w:p>
      <w:pPr>
        <w:pStyle w:val="Heading1"/>
        <w:pBdr>
          <w:bottom w:val="single" w:color="1E2761" w:sz="8" w:space="6"/>
        </w:pBdr>
        <w:spacing w:before="480" w:after="180"/>
      </w:pPr>
      <w:r>
        <w:rPr>
          <w:rFonts w:ascii="Arial" w:cs="Arial" w:eastAsia="Arial" w:hAnsi="Arial"/>
          <w:b/>
          <w:bCs/>
          <w:color w:val="1E2761"/>
          <w:sz w:val="34"/>
          <w:szCs w:val="34"/>
        </w:rPr>
        <w:t xml:space="preserve">2. General Rules &amp; UML Standards</w:t>
      </w:r>
    </w:p>
    <w:p>
      <w:pPr>
        <w:spacing w:before="60" w:after="80"/>
        <w:jc w:val="both"/>
      </w:pPr>
      <w:r>
        <w:rPr>
          <w:rFonts w:ascii="Arial" w:cs="Arial" w:eastAsia="Arial" w:hAnsi="Arial"/>
          <w:color w:val="1E293B"/>
          <w:sz w:val="21"/>
          <w:szCs w:val="21"/>
        </w:rPr>
        <w:t xml:space="preserve">These rules apply to every diagram you submit, regardless of which service it covers. They reflect the UML standards used in professional software engineering practice.</w:t>
      </w:r>
    </w:p>
    <w:p>
      <w:pPr>
        <w:spacing w:before="120" w:after="0"/>
      </w:pPr>
      <w:r>
        <w:rPr>
          <w:rFonts w:ascii="Arial" w:cs="Arial" w:eastAsia="Arial" w:hAnsi="Arial"/>
        </w:rPr>
        <w:t xml:space="preserve"/>
      </w:r>
    </w:p>
    <w:p>
      <w:pPr>
        <w:pStyle w:val="Heading2"/>
        <w:spacing w:before="300" w:after="120"/>
      </w:pPr>
      <w:r>
        <w:rPr>
          <w:rFonts w:ascii="Arial" w:cs="Arial" w:eastAsia="Arial" w:hAnsi="Arial"/>
          <w:b/>
          <w:bCs/>
          <w:color w:val="1E293B"/>
          <w:sz w:val="26"/>
          <w:szCs w:val="26"/>
        </w:rPr>
        <w:t xml:space="preserve">2.1 Naming</w:t>
      </w:r>
    </w:p>
    <w:p>
      <w:pPr>
        <w:pStyle w:val="ListParagraph"/>
        <w:numPr>
          <w:ilvl w:val="0"/>
          <w:numId w:val="2"/>
        </w:numPr>
        <w:spacing w:before="50" w:after="50"/>
      </w:pPr>
      <w:r>
        <w:rPr>
          <w:rFonts w:ascii="Arial" w:cs="Arial" w:eastAsia="Arial" w:hAnsi="Arial"/>
          <w:color w:val="1E293B"/>
          <w:sz w:val="21"/>
          <w:szCs w:val="21"/>
        </w:rPr>
        <w:t xml:space="preserve">All class names, entity names, field names, and method names must exactly match the names given in Section 3 for each service — no abbreviations, no renaming</w:t>
      </w:r>
    </w:p>
    <w:p>
      <w:pPr>
        <w:pStyle w:val="ListParagraph"/>
        <w:numPr>
          <w:ilvl w:val="0"/>
          <w:numId w:val="2"/>
        </w:numPr>
        <w:spacing w:before="50" w:after="50"/>
      </w:pPr>
      <w:r>
        <w:rPr>
          <w:rFonts w:ascii="Arial" w:cs="Arial" w:eastAsia="Arial" w:hAnsi="Arial"/>
          <w:color w:val="1E293B"/>
          <w:sz w:val="21"/>
          <w:szCs w:val="21"/>
        </w:rPr>
        <w:t xml:space="preserve">Names must be consistent across all four of your diagrams. If you call it ProductRepository in your class diagram, it must be ProductRepository in your sequence diagram too</w:t>
      </w:r>
    </w:p>
    <w:p>
      <w:pPr>
        <w:pStyle w:val="ListParagraph"/>
        <w:numPr>
          <w:ilvl w:val="0"/>
          <w:numId w:val="2"/>
        </w:numPr>
        <w:spacing w:before="50" w:after="50"/>
      </w:pPr>
      <w:r>
        <w:rPr>
          <w:rFonts w:ascii="Arial" w:cs="Arial" w:eastAsia="Arial" w:hAnsi="Arial"/>
          <w:color w:val="1E293B"/>
          <w:sz w:val="21"/>
          <w:szCs w:val="21"/>
        </w:rPr>
        <w:t xml:space="preserve">Table names in your ERD must use snake_case (products, stock_reservations, wallet_transactions). Class names in your class diagram use PascalCase (Product, StockReservation, WalletTransaction)</w:t>
      </w:r>
    </w:p>
    <w:p>
      <w:pPr>
        <w:spacing w:before="160" w:after="0"/>
      </w:pPr>
      <w:r>
        <w:rPr>
          <w:rFonts w:ascii="Arial" w:cs="Arial" w:eastAsia="Arial" w:hAnsi="Arial"/>
        </w:rPr>
        <w:t xml:space="preserve"/>
      </w:r>
    </w:p>
    <w:p>
      <w:pPr>
        <w:pStyle w:val="Heading2"/>
        <w:spacing w:before="300" w:after="120"/>
      </w:pPr>
      <w:r>
        <w:rPr>
          <w:rFonts w:ascii="Arial" w:cs="Arial" w:eastAsia="Arial" w:hAnsi="Arial"/>
          <w:b/>
          <w:bCs/>
          <w:color w:val="1E293B"/>
          <w:sz w:val="26"/>
          <w:szCs w:val="26"/>
        </w:rPr>
        <w:t xml:space="preserve">2.2 UML notation rules</w:t>
      </w:r>
    </w:p>
    <w:p>
      <w:pPr>
        <w:pStyle w:val="ListParagraph"/>
        <w:numPr>
          <w:ilvl w:val="0"/>
          <w:numId w:val="2"/>
        </w:numPr>
        <w:spacing w:before="50" w:after="50"/>
      </w:pPr>
      <w:r>
        <w:rPr>
          <w:rFonts w:ascii="Arial" w:cs="Arial" w:eastAsia="Arial" w:hAnsi="Arial"/>
          <w:color w:val="1E293B"/>
          <w:sz w:val="21"/>
          <w:szCs w:val="21"/>
        </w:rPr>
        <w:t xml:space="preserve">Class Diagram: use «stereotype» labels on all classes — «entity», «service», «repository», «controller», «dto», «enum», «kafka listener», «kafka producer», «feign client», «scheduled»</w:t>
      </w:r>
    </w:p>
    <w:p>
      <w:pPr>
        <w:pStyle w:val="ListParagraph"/>
        <w:numPr>
          <w:ilvl w:val="0"/>
          <w:numId w:val="2"/>
        </w:numPr>
        <w:spacing w:before="50" w:after="50"/>
      </w:pPr>
      <w:r>
        <w:rPr>
          <w:rFonts w:ascii="Arial" w:cs="Arial" w:eastAsia="Arial" w:hAnsi="Arial"/>
          <w:color w:val="1E293B"/>
          <w:sz w:val="21"/>
          <w:szCs w:val="21"/>
        </w:rPr>
        <w:t xml:space="preserve">Class Diagram: label every relationship arrow — "uses", "manages", "has", "extends", "implements". An unlabelled arrow communicates nothing</w:t>
      </w:r>
    </w:p>
    <w:p>
      <w:pPr>
        <w:pStyle w:val="ListParagraph"/>
        <w:numPr>
          <w:ilvl w:val="0"/>
          <w:numId w:val="2"/>
        </w:numPr>
        <w:spacing w:before="50" w:after="50"/>
      </w:pPr>
      <w:r>
        <w:rPr>
          <w:rFonts w:ascii="Arial" w:cs="Arial" w:eastAsia="Arial" w:hAnsi="Arial"/>
          <w:color w:val="1E293B"/>
          <w:sz w:val="21"/>
          <w:szCs w:val="21"/>
        </w:rPr>
        <w:t xml:space="preserve">Class Diagram: show multiplicity where it applies — 1, 1..*, 0..* on associations</w:t>
      </w:r>
    </w:p>
    <w:p>
      <w:pPr>
        <w:pStyle w:val="ListParagraph"/>
        <w:numPr>
          <w:ilvl w:val="0"/>
          <w:numId w:val="2"/>
        </w:numPr>
        <w:spacing w:before="50" w:after="50"/>
      </w:pPr>
      <w:r>
        <w:rPr>
          <w:rFonts w:ascii="Arial" w:cs="Arial" w:eastAsia="Arial" w:hAnsi="Arial"/>
          <w:color w:val="1E293B"/>
          <w:sz w:val="21"/>
          <w:szCs w:val="21"/>
        </w:rPr>
        <w:t xml:space="preserve">Sequence Diagram: lifelines run top-to-bottom. Arrows go left-to-right for calls and right-to-left for returns. Return arrows are dashed</w:t>
      </w:r>
    </w:p>
    <w:p>
      <w:pPr>
        <w:pStyle w:val="ListParagraph"/>
        <w:numPr>
          <w:ilvl w:val="0"/>
          <w:numId w:val="2"/>
        </w:numPr>
        <w:spacing w:before="50" w:after="50"/>
      </w:pPr>
      <w:r>
        <w:rPr>
          <w:rFonts w:ascii="Arial" w:cs="Arial" w:eastAsia="Arial" w:hAnsi="Arial"/>
          <w:color w:val="1E293B"/>
          <w:sz w:val="21"/>
          <w:szCs w:val="21"/>
        </w:rPr>
        <w:t xml:space="preserve">Sequence Diagram: use "alt" frames to show alternative paths (error cases, conditional branches). Every sequence diagram must have at least one alt frame</w:t>
      </w:r>
    </w:p>
    <w:p>
      <w:pPr>
        <w:pStyle w:val="ListParagraph"/>
        <w:numPr>
          <w:ilvl w:val="0"/>
          <w:numId w:val="2"/>
        </w:numPr>
        <w:spacing w:before="50" w:after="50"/>
      </w:pPr>
      <w:r>
        <w:rPr>
          <w:rFonts w:ascii="Arial" w:cs="Arial" w:eastAsia="Arial" w:hAnsi="Arial"/>
          <w:color w:val="1E293B"/>
          <w:sz w:val="21"/>
          <w:szCs w:val="21"/>
        </w:rPr>
        <w:t xml:space="preserve">Activity Diagram: start with a filled circle. End with a bullseye. Every branch from a decision diamond must be labelled (Yes/No, or the condition)</w:t>
      </w:r>
    </w:p>
    <w:p>
      <w:pPr>
        <w:pStyle w:val="ListParagraph"/>
        <w:numPr>
          <w:ilvl w:val="0"/>
          <w:numId w:val="2"/>
        </w:numPr>
        <w:spacing w:before="50" w:after="50"/>
      </w:pPr>
      <w:r>
        <w:rPr>
          <w:rFonts w:ascii="Arial" w:cs="Arial" w:eastAsia="Arial" w:hAnsi="Arial"/>
          <w:color w:val="1E293B"/>
          <w:sz w:val="21"/>
          <w:szCs w:val="21"/>
        </w:rPr>
        <w:t xml:space="preserve">Activity Diagram: use swim lanes to separate responsibilities between classes or components</w:t>
      </w:r>
    </w:p>
    <w:p>
      <w:pPr>
        <w:pStyle w:val="ListParagraph"/>
        <w:numPr>
          <w:ilvl w:val="0"/>
          <w:numId w:val="2"/>
        </w:numPr>
        <w:spacing w:before="50" w:after="50"/>
      </w:pPr>
      <w:r>
        <w:rPr>
          <w:rFonts w:ascii="Arial" w:cs="Arial" w:eastAsia="Arial" w:hAnsi="Arial"/>
          <w:color w:val="1E293B"/>
          <w:sz w:val="21"/>
          <w:szCs w:val="21"/>
        </w:rPr>
        <w:t xml:space="preserve">ERD: use crow's foot notation for cardinality. Mark every PK and FK explicitly. Cross-service references must be labelled "logical FK — cross-service reference" — they are NOT physical foreign keys</w:t>
      </w:r>
    </w:p>
    <w:p>
      <w:pPr>
        <w:spacing w:before="160" w:after="0"/>
      </w:pPr>
      <w:r>
        <w:rPr>
          <w:rFonts w:ascii="Arial" w:cs="Arial" w:eastAsia="Arial" w:hAnsi="Arial"/>
        </w:rPr>
        <w:t xml:space="preserve"/>
      </w:r>
    </w:p>
    <w:p>
      <w:pPr>
        <w:pStyle w:val="Heading2"/>
        <w:spacing w:before="300" w:after="120"/>
      </w:pPr>
      <w:r>
        <w:rPr>
          <w:rFonts w:ascii="Arial" w:cs="Arial" w:eastAsia="Arial" w:hAnsi="Arial"/>
          <w:b/>
          <w:bCs/>
          <w:color w:val="1E293B"/>
          <w:sz w:val="26"/>
          <w:szCs w:val="26"/>
        </w:rPr>
        <w:t xml:space="preserve">2.3 The database-per-service rule</w:t>
      </w:r>
    </w:p>
    <w:p>
      <w:pPr>
        <w:spacing w:before="60" w:after="80"/>
        <w:jc w:val="both"/>
      </w:pPr>
      <w:r>
        <w:rPr>
          <w:rFonts w:ascii="Arial" w:cs="Arial" w:eastAsia="Arial" w:hAnsi="Arial"/>
          <w:color w:val="1E293B"/>
          <w:sz w:val="21"/>
          <w:szCs w:val="21"/>
        </w:rPr>
        <w:t xml:space="preserve">This is the most important architectural rule in ShopFlow and must be visible in your ERDs. Each service owns exactly one database. No service has a physical foreign key pointing to another service's table. When one service stores the ID of a record that lives in another service's database, this is a "logical FK" — a UUID reference that is not enforced at the database level.</w:t>
      </w:r>
    </w:p>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1"/>
              <w:bottom w:val="single" w:color="0EA5E9" w:sz="1"/>
              <w:right w:val="single" w:color="0EA5E9" w:sz="1"/>
            </w:tcBorders>
            <w:shd w:fill="FFFBEB" w:val="clear"/>
            <w:tcMar>
              <w:top w:type="dxa" w:w="140"/>
              <w:left w:type="dxa" w:w="200"/>
              <w:bottom w:type="dxa" w:w="140"/>
              <w:right w:type="dxa" w:w="200"/>
            </w:tcMar>
          </w:tcPr>
          <w:p>
            <w:pPr>
              <w:spacing w:before="0" w:after="60"/>
            </w:pPr>
            <w:r>
              <w:rPr>
                <w:rFonts w:ascii="Arial" w:cs="Arial" w:eastAsia="Arial" w:hAnsi="Arial"/>
                <w:b/>
                <w:bCs/>
                <w:color w:val="78350F"/>
                <w:sz w:val="19"/>
                <w:szCs w:val="19"/>
              </w:rPr>
              <w:t xml:space="preserve">In your ERDs, label cross-service references clearly:</w:t>
            </w:r>
          </w:p>
          <w:p>
            <w:pPr>
              <w:spacing w:before="0" w:after="40"/>
            </w:pPr>
            <w:r>
              <w:rPr>
                <w:rFonts w:ascii="Arial" w:cs="Arial" w:eastAsia="Arial" w:hAnsi="Arial"/>
                <w:color w:val="1E293B"/>
                <w:sz w:val="20"/>
                <w:szCs w:val="20"/>
              </w:rPr>
              <w:t xml:space="preserve">products.seller_id — logical FK → auth-service (user ID)</w:t>
            </w:r>
          </w:p>
          <w:p>
            <w:pPr>
              <w:spacing w:before="0" w:after="40"/>
            </w:pPr>
            <w:r>
              <w:rPr>
                <w:rFonts w:ascii="Arial" w:cs="Arial" w:eastAsia="Arial" w:hAnsi="Arial"/>
                <w:color w:val="1E293B"/>
                <w:sz w:val="20"/>
                <w:szCs w:val="20"/>
              </w:rPr>
              <w:t xml:space="preserve">inventory.product_id — logical FK → product-service</w:t>
            </w:r>
          </w:p>
          <w:p>
            <w:pPr>
              <w:spacing w:before="0" w:after="40"/>
            </w:pPr>
            <w:r>
              <w:rPr>
                <w:rFonts w:ascii="Arial" w:cs="Arial" w:eastAsia="Arial" w:hAnsi="Arial"/>
                <w:color w:val="1E293B"/>
                <w:sz w:val="20"/>
                <w:szCs w:val="20"/>
              </w:rPr>
              <w:t xml:space="preserve">stock_reservations.order_id — logical FK → order-service</w:t>
            </w:r>
          </w:p>
          <w:p>
            <w:pPr>
              <w:spacing w:before="0" w:after="40"/>
            </w:pPr>
            <w:r>
              <w:rPr>
                <w:rFonts w:ascii="Arial" w:cs="Arial" w:eastAsia="Arial" w:hAnsi="Arial"/>
                <w:color w:val="1E293B"/>
                <w:sz w:val="20"/>
                <w:szCs w:val="20"/>
              </w:rPr>
              <w:t xml:space="preserve">wallets.user_id — logical FK → auth-service (user ID)</w:t>
            </w:r>
          </w:p>
        </w:tc>
      </w:tr>
    </w:tbl>
    <w:p>
      <w:r>
        <w:br w:type="page"/>
      </w:r>
    </w:p>
    <w:p>
      <w:pPr>
        <w:pStyle w:val="Heading1"/>
        <w:pBdr>
          <w:bottom w:val="single" w:color="1E2761" w:sz="8" w:space="6"/>
        </w:pBdr>
        <w:spacing w:before="480" w:after="180"/>
      </w:pPr>
      <w:r>
        <w:rPr>
          <w:rFonts w:ascii="Arial" w:cs="Arial" w:eastAsia="Arial" w:hAnsi="Arial"/>
          <w:b/>
          <w:bCs/>
          <w:color w:val="1E2761"/>
          <w:sz w:val="34"/>
          <w:szCs w:val="34"/>
        </w:rPr>
        <w:t xml:space="preserve">3. Service Specifications &amp; Diagram Requirements</w:t>
      </w:r>
    </w:p>
    <w:p>
      <w:pPr>
        <w:spacing w:before="60" w:after="80"/>
        <w:jc w:val="both"/>
      </w:pPr>
      <w:r>
        <w:rPr>
          <w:rFonts w:ascii="Arial" w:cs="Arial" w:eastAsia="Arial" w:hAnsi="Arial"/>
          <w:color w:val="1E293B"/>
          <w:sz w:val="21"/>
          <w:szCs w:val="21"/>
        </w:rPr>
        <w:t xml:space="preserve">Each service section contains: (1) the entities and classes you must include, and (2) a specification table describing exactly what each diagram must show. Read the specification carefully before you start drawing — the "Must include" column lists the elements the instructor will check when marking.</w:t>
      </w:r>
    </w:p>
    <w:p>
      <w:pPr>
        <w:spacing w:before="20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0284C7" w:val="clear"/>
            <w:tcMar>
              <w:top w:type="dxa" w:w="180"/>
              <w:left w:type="dxa" w:w="240"/>
              <w:bottom w:type="dxa" w:w="180"/>
              <w:right w:type="dxa" w:w="240"/>
            </w:tcMar>
          </w:tcPr>
          <w:p>
            <w:pPr>
              <w:spacing w:before="0" w:after="60"/>
            </w:pPr>
            <w:r>
              <w:rPr>
                <w:rFonts w:ascii="Arial" w:cs="Arial" w:eastAsia="Arial" w:hAnsi="Arial"/>
                <w:b/>
                <w:bCs/>
                <w:color w:val="FFFFFF"/>
                <w:sz w:val="30"/>
                <w:szCs w:val="30"/>
              </w:rPr>
              <w:t xml:space="preserve">product-service</w:t>
            </w:r>
          </w:p>
          <w:p>
            <w:pPr>
              <w:spacing w:before="0" w:after="0"/>
            </w:pPr>
            <w:r>
              <w:rPr>
                <w:rFonts w:ascii="Arial" w:cs="Arial" w:eastAsia="Arial" w:hAnsi="Arial"/>
                <w:color w:val="BFDBFE"/>
                <w:sz w:val="18"/>
                <w:szCs w:val="18"/>
              </w:rPr>
              <w:t xml:space="preserve">Spring Boot 3  ·  Spring Data JPA  ·  PostgreSQL</w:t>
            </w:r>
          </w:p>
        </w:tc>
        <w:tc>
          <w:tcPr>
            <w:tcW w:type="dxa" w:w="2560"/>
            <w:tcBorders>
              <w:top w:val="none" w:color="FFFFFF" w:sz="0"/>
              <w:left w:val="none" w:color="FFFFFF" w:sz="0"/>
              <w:bottom w:val="none" w:color="FFFFFF" w:sz="0"/>
              <w:right w:val="none" w:color="FFFFFF" w:sz="0"/>
            </w:tcBorders>
            <w:shd w:fill="0284C7" w:val="clear"/>
            <w:tcMar>
              <w:top w:type="dxa" w:w="180"/>
              <w:left w:type="dxa" w:w="240"/>
              <w:bottom w:type="dxa" w:w="180"/>
              <w:right w:type="dxa" w:w="240"/>
            </w:tcMar>
            <w:vAlign w:val="center"/>
          </w:tcPr>
          <w:p>
            <w:pPr>
              <w:jc w:val="right"/>
            </w:pPr>
            <w:r>
              <w:rPr>
                <w:rFonts w:ascii="Arial" w:cs="Arial" w:eastAsia="Arial" w:hAnsi="Arial"/>
                <w:b/>
                <w:bCs/>
                <w:color w:val="BFDBFE"/>
                <w:sz w:val="19"/>
                <w:szCs w:val="19"/>
              </w:rPr>
              <w:t xml:space="preserve">Week 1  ·  Foundation service</w:t>
            </w:r>
          </w:p>
        </w:tc>
      </w:tr>
    </w:tbl>
    <w:p>
      <w:pPr>
        <w:spacing w:before="120" w:after="0"/>
      </w:pPr>
      <w:r>
        <w:rPr>
          <w:rFonts w:ascii="Arial" w:cs="Arial" w:eastAsia="Arial" w:hAnsi="Arial"/>
        </w:rPr>
        <w:t xml:space="preserve"/>
      </w:r>
    </w:p>
    <w:p>
      <w:pPr>
        <w:pStyle w:val="Heading2"/>
        <w:spacing w:before="300" w:after="120"/>
      </w:pPr>
      <w:r>
        <w:rPr>
          <w:rFonts w:ascii="Arial" w:cs="Arial" w:eastAsia="Arial" w:hAnsi="Arial"/>
          <w:b/>
          <w:bCs/>
          <w:color w:val="0284C7"/>
          <w:sz w:val="26"/>
          <w:szCs w:val="26"/>
        </w:rPr>
        <w:t xml:space="preserve">3.1  Background</w:t>
      </w:r>
    </w:p>
    <w:p>
      <w:pPr>
        <w:spacing w:before="60" w:after="80"/>
        <w:jc w:val="both"/>
      </w:pPr>
      <w:r>
        <w:rPr>
          <w:rFonts w:ascii="Arial" w:cs="Arial" w:eastAsia="Arial" w:hAnsi="Arial"/>
          <w:color w:val="1E293B"/>
          <w:sz w:val="21"/>
          <w:szCs w:val="21"/>
        </w:rPr>
        <w:t xml:space="preserve">product-service is the entry point to ShopFlow. It owns the product catalog — names, descriptions, prices (stored in kobo as integers, never as decimals), categories, image URLs, and seller ownership. It has no upstream service dependencies: it is the source of truth that every other service calls when it needs product data.</w:t>
      </w:r>
    </w:p>
    <w:p>
      <w:pPr>
        <w:spacing w:before="80" w:after="0"/>
      </w:pPr>
      <w:r>
        <w:rPr>
          <w:rFonts w:ascii="Arial" w:cs="Arial" w:eastAsia="Arial" w:hAnsi="Arial"/>
        </w:rPr>
        <w:t xml:space="preserve"/>
      </w:r>
    </w:p>
    <w:p>
      <w:pPr>
        <w:spacing w:before="60" w:after="80"/>
        <w:jc w:val="both"/>
      </w:pPr>
      <w:r>
        <w:rPr>
          <w:rFonts w:ascii="Arial" w:cs="Arial" w:eastAsia="Arial" w:hAnsi="Arial"/>
          <w:color w:val="1E293B"/>
          <w:sz w:val="21"/>
          <w:szCs w:val="21"/>
        </w:rPr>
        <w:t xml:space="preserve">Every student builds this service in Week 1. It teaches the three-layer Spring Boot pattern in its purest form. Your diagrams must reflect that simplicity — there is no Kafka, no Feign, no scheduled job. Just Controller → Service → Repository managing a single Product entity, with clean exception handling.</w:t>
      </w:r>
    </w:p>
    <w:p>
      <w:pPr>
        <w:spacing w:before="160" w:after="0"/>
      </w:pPr>
      <w:r>
        <w:rPr>
          <w:rFonts w:ascii="Arial" w:cs="Arial" w:eastAsia="Arial" w:hAnsi="Arial"/>
        </w:rPr>
        <w:t xml:space="preserve"/>
      </w:r>
    </w:p>
    <w:p>
      <w:pPr>
        <w:pStyle w:val="Heading2"/>
        <w:spacing w:before="300" w:after="120"/>
      </w:pPr>
      <w:r>
        <w:rPr>
          <w:rFonts w:ascii="Arial" w:cs="Arial" w:eastAsia="Arial" w:hAnsi="Arial"/>
          <w:b/>
          <w:bCs/>
          <w:color w:val="1E293B"/>
          <w:sz w:val="26"/>
          <w:szCs w:val="26"/>
        </w:rPr>
        <w:t xml:space="preserve">3.2  Entities &amp; classes to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60"/>
        <w:gridCol w:w="5800"/>
      </w:tblGrid>
      <w:tr>
        <w:tc>
          <w:tcPr>
            <w:tcW w:type="dxa" w:w="2300"/>
            <w:tcBorders>
              <w:top w:val="single" w:color="CBD5E1" w:sz="1"/>
              <w:left w:val="single" w:color="CBD5E1" w:sz="1"/>
              <w:bottom w:val="single" w:color="CBD5E1" w:sz="1"/>
              <w:right w:val="single" w:color="CBD5E1" w:sz="1"/>
            </w:tcBorders>
            <w:shd w:fill="1E2761" w:val="clear"/>
            <w:tcMar>
              <w:top w:type="dxa" w:w="80"/>
              <w:left w:type="dxa" w:w="110"/>
              <w:bottom w:type="dxa" w:w="80"/>
              <w:right w:type="dxa" w:w="110"/>
            </w:tcMar>
          </w:tcPr>
          <w:p>
            <w:r>
              <w:rPr>
                <w:rFonts w:ascii="Arial" w:cs="Arial" w:eastAsia="Arial" w:hAnsi="Arial"/>
                <w:b/>
                <w:bCs/>
                <w:color w:val="FFFFFF"/>
                <w:sz w:val="18"/>
                <w:szCs w:val="18"/>
              </w:rPr>
              <w:t xml:space="preserve">Entity / Class</w:t>
            </w:r>
          </w:p>
        </w:tc>
        <w:tc>
          <w:tcPr>
            <w:tcW w:type="dxa" w:w="1260"/>
            <w:tcBorders>
              <w:top w:val="single" w:color="CBD5E1" w:sz="1"/>
              <w:left w:val="single" w:color="CBD5E1" w:sz="1"/>
              <w:bottom w:val="single" w:color="CBD5E1" w:sz="1"/>
              <w:right w:val="single" w:color="CBD5E1" w:sz="1"/>
            </w:tcBorders>
            <w:shd w:fill="1E2761" w:val="clear"/>
            <w:tcMar>
              <w:top w:type="dxa" w:w="80"/>
              <w:left w:type="dxa" w:w="110"/>
              <w:bottom w:type="dxa" w:w="80"/>
              <w:right w:type="dxa" w:w="110"/>
            </w:tcMar>
          </w:tcPr>
          <w:p>
            <w:r>
              <w:rPr>
                <w:rFonts w:ascii="Arial" w:cs="Arial" w:eastAsia="Arial" w:hAnsi="Arial"/>
                <w:b/>
                <w:bCs/>
                <w:color w:val="FFFFFF"/>
                <w:sz w:val="18"/>
                <w:szCs w:val="18"/>
              </w:rPr>
              <w:t xml:space="preserve">Stereotype</w:t>
            </w:r>
          </w:p>
        </w:tc>
        <w:tc>
          <w:tcPr>
            <w:tcW w:type="dxa" w:w="5800"/>
            <w:tcBorders>
              <w:top w:val="single" w:color="CBD5E1" w:sz="1"/>
              <w:left w:val="single" w:color="CBD5E1" w:sz="1"/>
              <w:bottom w:val="single" w:color="CBD5E1" w:sz="1"/>
              <w:right w:val="single" w:color="CBD5E1" w:sz="1"/>
            </w:tcBorders>
            <w:shd w:fill="1E2761" w:val="clear"/>
            <w:tcMar>
              <w:top w:type="dxa" w:w="80"/>
              <w:left w:type="dxa" w:w="110"/>
              <w:bottom w:type="dxa" w:w="80"/>
              <w:right w:type="dxa" w:w="110"/>
            </w:tcMar>
          </w:tcPr>
          <w:p>
            <w:r>
              <w:rPr>
                <w:rFonts w:ascii="Arial" w:cs="Arial" w:eastAsia="Arial" w:hAnsi="Arial"/>
                <w:b/>
                <w:bCs/>
                <w:color w:val="FFFFFF"/>
                <w:sz w:val="18"/>
                <w:szCs w:val="18"/>
              </w:rPr>
              <w:t xml:space="preserve">Key responsibilities</w:t>
            </w:r>
          </w:p>
        </w:tc>
      </w:tr>
      <w:tr>
        <w:tc>
          <w:tcPr>
            <w:tcW w:type="dxa" w:w="2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Courier New" w:cs="Courier New" w:eastAsia="Courier New" w:hAnsi="Courier New"/>
                <w:color w:val="0EA5E9"/>
                <w:sz w:val="18"/>
                <w:szCs w:val="18"/>
              </w:rPr>
              <w:t xml:space="preserve">ProductController</w:t>
            </w:r>
          </w:p>
        </w:tc>
        <w:tc>
          <w:tcPr>
            <w:tcW w:type="dxa" w:w="12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b/>
                <w:bCs/>
                <w:color w:val="475569"/>
                <w:sz w:val="17"/>
                <w:szCs w:val="17"/>
              </w:rPr>
              <w:t xml:space="preserve">«controller»</w:t>
            </w:r>
          </w:p>
        </w:tc>
        <w:tc>
          <w:tcPr>
            <w:tcW w:type="dxa" w:w="5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E293B"/>
                <w:sz w:val="18"/>
                <w:szCs w:val="18"/>
              </w:rPr>
              <w:t xml:space="preserve">HTTP entry point. Handles GET, POST, PUT, PATCH, DELETE for /products/**. Validates request body with @Valid. Returns 201 with Location header on creation.</w:t>
            </w:r>
          </w:p>
        </w:tc>
      </w:tr>
      <w:tr>
        <w:tc>
          <w:tcPr>
            <w:tcW w:type="dxa" w:w="23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Courier New" w:cs="Courier New" w:eastAsia="Courier New" w:hAnsi="Courier New"/>
                <w:color w:val="0EA5E9"/>
                <w:sz w:val="18"/>
                <w:szCs w:val="18"/>
              </w:rPr>
              <w:t xml:space="preserve">ProductService</w:t>
            </w:r>
          </w:p>
        </w:tc>
        <w:tc>
          <w:tcPr>
            <w:tcW w:type="dxa" w:w="12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Arial" w:cs="Arial" w:eastAsia="Arial" w:hAnsi="Arial"/>
                <w:b/>
                <w:bCs/>
                <w:color w:val="475569"/>
                <w:sz w:val="17"/>
                <w:szCs w:val="17"/>
              </w:rPr>
              <w:t xml:space="preserve">«service»</w:t>
            </w:r>
          </w:p>
        </w:tc>
        <w:tc>
          <w:tcPr>
            <w:tcW w:type="dxa" w:w="58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Arial" w:cs="Arial" w:eastAsia="Arial" w:hAnsi="Arial"/>
                <w:color w:val="1E293B"/>
                <w:sz w:val="18"/>
                <w:szCs w:val="18"/>
              </w:rPr>
              <w:t xml:space="preserve">Business logic layer. Enforces seller ownership (sellerId must match X-User-Id header). Enforces 500-product limit per seller. Calls repository and maps entities to DTOs.</w:t>
            </w:r>
          </w:p>
        </w:tc>
      </w:tr>
      <w:tr>
        <w:tc>
          <w:tcPr>
            <w:tcW w:type="dxa" w:w="2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Courier New" w:cs="Courier New" w:eastAsia="Courier New" w:hAnsi="Courier New"/>
                <w:color w:val="0EA5E9"/>
                <w:sz w:val="18"/>
                <w:szCs w:val="18"/>
              </w:rPr>
              <w:t xml:space="preserve">ProductRepository</w:t>
            </w:r>
          </w:p>
        </w:tc>
        <w:tc>
          <w:tcPr>
            <w:tcW w:type="dxa" w:w="12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b/>
                <w:bCs/>
                <w:color w:val="475569"/>
                <w:sz w:val="17"/>
                <w:szCs w:val="17"/>
              </w:rPr>
              <w:t xml:space="preserve">«repository»</w:t>
            </w:r>
          </w:p>
        </w:tc>
        <w:tc>
          <w:tcPr>
            <w:tcW w:type="dxa" w:w="5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E293B"/>
                <w:sz w:val="18"/>
                <w:szCs w:val="18"/>
              </w:rPr>
              <w:t xml:space="preserve">Spring Data JPA interface. Custom methods: findByIdAndIsActiveTrue, findByCategoryAndIsActiveTrue, findBySellerIdWithPagination, countBySellerIdAndIsActiveTrue.</w:t>
            </w:r>
          </w:p>
        </w:tc>
      </w:tr>
      <w:tr>
        <w:tc>
          <w:tcPr>
            <w:tcW w:type="dxa" w:w="23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Courier New" w:cs="Courier New" w:eastAsia="Courier New" w:hAnsi="Courier New"/>
                <w:color w:val="0EA5E9"/>
                <w:sz w:val="18"/>
                <w:szCs w:val="18"/>
              </w:rPr>
              <w:t xml:space="preserve">Product</w:t>
            </w:r>
          </w:p>
        </w:tc>
        <w:tc>
          <w:tcPr>
            <w:tcW w:type="dxa" w:w="12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Arial" w:cs="Arial" w:eastAsia="Arial" w:hAnsi="Arial"/>
                <w:b/>
                <w:bCs/>
                <w:color w:val="475569"/>
                <w:sz w:val="17"/>
                <w:szCs w:val="17"/>
              </w:rPr>
              <w:t xml:space="preserve">«entity»</w:t>
            </w:r>
          </w:p>
        </w:tc>
        <w:tc>
          <w:tcPr>
            <w:tcW w:type="dxa" w:w="58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Arial" w:cs="Arial" w:eastAsia="Arial" w:hAnsi="Arial"/>
                <w:color w:val="1E293B"/>
                <w:sz w:val="18"/>
                <w:szCs w:val="18"/>
              </w:rPr>
              <w:t xml:space="preserve">JPA entity. Fields: id (UUID), name, description, price (Long in kobo), currency, category (enum), sellerId (UUID), imageUrls (List&lt;String&gt;), tags (List&lt;String&gt;), isActive (Boolean), createdAt, updatedAt.</w:t>
            </w:r>
          </w:p>
        </w:tc>
      </w:tr>
      <w:tr>
        <w:tc>
          <w:tcPr>
            <w:tcW w:type="dxa" w:w="2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Courier New" w:cs="Courier New" w:eastAsia="Courier New" w:hAnsi="Courier New"/>
                <w:color w:val="0EA5E9"/>
                <w:sz w:val="18"/>
                <w:szCs w:val="18"/>
              </w:rPr>
              <w:t xml:space="preserve">ProductCategory</w:t>
            </w:r>
          </w:p>
        </w:tc>
        <w:tc>
          <w:tcPr>
            <w:tcW w:type="dxa" w:w="12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b/>
                <w:bCs/>
                <w:color w:val="475569"/>
                <w:sz w:val="17"/>
                <w:szCs w:val="17"/>
              </w:rPr>
              <w:t xml:space="preserve">«enum»</w:t>
            </w:r>
          </w:p>
        </w:tc>
        <w:tc>
          <w:tcPr>
            <w:tcW w:type="dxa" w:w="5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E293B"/>
                <w:sz w:val="18"/>
                <w:szCs w:val="18"/>
              </w:rPr>
              <w:t xml:space="preserve">Enum values: ELECTRONICS, FOOTWEAR, CLOTHING, FOOD_BEVERAGE, HOME_APPLIANCES, BEAUTY_HEALTH, SPORTS, BOOKS, AUTOMOTIVE, TOYS, OTHERS.</w:t>
            </w:r>
          </w:p>
        </w:tc>
      </w:tr>
      <w:tr>
        <w:tc>
          <w:tcPr>
            <w:tcW w:type="dxa" w:w="23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Courier New" w:cs="Courier New" w:eastAsia="Courier New" w:hAnsi="Courier New"/>
                <w:color w:val="0EA5E9"/>
                <w:sz w:val="18"/>
                <w:szCs w:val="18"/>
              </w:rPr>
              <w:t xml:space="preserve">CreateProductRequest</w:t>
            </w:r>
          </w:p>
        </w:tc>
        <w:tc>
          <w:tcPr>
            <w:tcW w:type="dxa" w:w="12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Arial" w:cs="Arial" w:eastAsia="Arial" w:hAnsi="Arial"/>
                <w:b/>
                <w:bCs/>
                <w:color w:val="475569"/>
                <w:sz w:val="17"/>
                <w:szCs w:val="17"/>
              </w:rPr>
              <w:t xml:space="preserve">«dto»</w:t>
            </w:r>
          </w:p>
        </w:tc>
        <w:tc>
          <w:tcPr>
            <w:tcW w:type="dxa" w:w="58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Arial" w:cs="Arial" w:eastAsia="Arial" w:hAnsi="Arial"/>
                <w:color w:val="1E293B"/>
                <w:sz w:val="18"/>
                <w:szCs w:val="18"/>
              </w:rPr>
              <w:t xml:space="preserve">Inbound request body. Fields: name, description, price, currency, category, imageUrls, tags. All validated with Bean Validation annotations.</w:t>
            </w:r>
          </w:p>
        </w:tc>
      </w:tr>
      <w:tr>
        <w:tc>
          <w:tcPr>
            <w:tcW w:type="dxa" w:w="2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Courier New" w:cs="Courier New" w:eastAsia="Courier New" w:hAnsi="Courier New"/>
                <w:color w:val="0EA5E9"/>
                <w:sz w:val="18"/>
                <w:szCs w:val="18"/>
              </w:rPr>
              <w:t xml:space="preserve">ProductResponse</w:t>
            </w:r>
          </w:p>
        </w:tc>
        <w:tc>
          <w:tcPr>
            <w:tcW w:type="dxa" w:w="12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b/>
                <w:bCs/>
                <w:color w:val="475569"/>
                <w:sz w:val="17"/>
                <w:szCs w:val="17"/>
              </w:rPr>
              <w:t xml:space="preserve">«dto»</w:t>
            </w:r>
          </w:p>
        </w:tc>
        <w:tc>
          <w:tcPr>
            <w:tcW w:type="dxa" w:w="5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E293B"/>
                <w:sz w:val="18"/>
                <w:szCs w:val="18"/>
              </w:rPr>
              <w:t xml:space="preserve">Outbound response. All product fields plus createdAt and updatedAt. The price field is a Long (kobo) — never a decimal.</w:t>
            </w:r>
          </w:p>
        </w:tc>
      </w:tr>
      <w:tr>
        <w:tc>
          <w:tcPr>
            <w:tcW w:type="dxa" w:w="23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Courier New" w:cs="Courier New" w:eastAsia="Courier New" w:hAnsi="Courier New"/>
                <w:color w:val="0EA5E9"/>
                <w:sz w:val="18"/>
                <w:szCs w:val="18"/>
              </w:rPr>
              <w:t xml:space="preserve">PagedResponse&lt;T&gt;</w:t>
            </w:r>
          </w:p>
        </w:tc>
        <w:tc>
          <w:tcPr>
            <w:tcW w:type="dxa" w:w="12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Arial" w:cs="Arial" w:eastAsia="Arial" w:hAnsi="Arial"/>
                <w:b/>
                <w:bCs/>
                <w:color w:val="475569"/>
                <w:sz w:val="17"/>
                <w:szCs w:val="17"/>
              </w:rPr>
              <w:t xml:space="preserve">«dto»</w:t>
            </w:r>
          </w:p>
        </w:tc>
        <w:tc>
          <w:tcPr>
            <w:tcW w:type="dxa" w:w="58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Arial" w:cs="Arial" w:eastAsia="Arial" w:hAnsi="Arial"/>
                <w:color w:val="1E293B"/>
                <w:sz w:val="18"/>
                <w:szCs w:val="18"/>
              </w:rPr>
              <w:t xml:space="preserve">Generic paginated wrapper used by list endpoints. Fields: data (List&lt;T&gt;), page, pageSize, totalPages, totalElements.</w:t>
            </w:r>
          </w:p>
        </w:tc>
      </w:tr>
      <w:tr>
        <w:tc>
          <w:tcPr>
            <w:tcW w:type="dxa" w:w="2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Courier New" w:cs="Courier New" w:eastAsia="Courier New" w:hAnsi="Courier New"/>
                <w:color w:val="0EA5E9"/>
                <w:sz w:val="18"/>
                <w:szCs w:val="18"/>
              </w:rPr>
              <w:t xml:space="preserve">ProductNotFoundException</w:t>
            </w:r>
          </w:p>
        </w:tc>
        <w:tc>
          <w:tcPr>
            <w:tcW w:type="dxa" w:w="12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b/>
                <w:bCs/>
                <w:color w:val="475569"/>
                <w:sz w:val="17"/>
                <w:szCs w:val="17"/>
              </w:rPr>
              <w:t xml:space="preserve">«exception»</w:t>
            </w:r>
          </w:p>
        </w:tc>
        <w:tc>
          <w:tcPr>
            <w:tcW w:type="dxa" w:w="5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E293B"/>
                <w:sz w:val="18"/>
                <w:szCs w:val="18"/>
              </w:rPr>
              <w:t xml:space="preserve">Thrown when a product ID does not exist or isActive = false. Mapped to HTTP 404 by GlobalExceptionHandler.</w:t>
            </w:r>
          </w:p>
        </w:tc>
      </w:tr>
      <w:tr>
        <w:tc>
          <w:tcPr>
            <w:tcW w:type="dxa" w:w="23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Courier New" w:cs="Courier New" w:eastAsia="Courier New" w:hAnsi="Courier New"/>
                <w:color w:val="0EA5E9"/>
                <w:sz w:val="18"/>
                <w:szCs w:val="18"/>
              </w:rPr>
              <w:t xml:space="preserve">SellerOwnershipException</w:t>
            </w:r>
          </w:p>
        </w:tc>
        <w:tc>
          <w:tcPr>
            <w:tcW w:type="dxa" w:w="12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Arial" w:cs="Arial" w:eastAsia="Arial" w:hAnsi="Arial"/>
                <w:b/>
                <w:bCs/>
                <w:color w:val="475569"/>
                <w:sz w:val="17"/>
                <w:szCs w:val="17"/>
              </w:rPr>
              <w:t xml:space="preserve">«exception»</w:t>
            </w:r>
          </w:p>
        </w:tc>
        <w:tc>
          <w:tcPr>
            <w:tcW w:type="dxa" w:w="58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Arial" w:cs="Arial" w:eastAsia="Arial" w:hAnsi="Arial"/>
                <w:color w:val="1E293B"/>
                <w:sz w:val="18"/>
                <w:szCs w:val="18"/>
              </w:rPr>
              <w:t xml:space="preserve">Thrown when the authenticated seller attempts to mutate a product they do not own. Mapped to HTTP 403 by GlobalExceptionHandler.</w:t>
            </w:r>
          </w:p>
        </w:tc>
      </w:tr>
      <w:tr>
        <w:tc>
          <w:tcPr>
            <w:tcW w:type="dxa" w:w="2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Courier New" w:cs="Courier New" w:eastAsia="Courier New" w:hAnsi="Courier New"/>
                <w:color w:val="0EA5E9"/>
                <w:sz w:val="18"/>
                <w:szCs w:val="18"/>
              </w:rPr>
              <w:t xml:space="preserve">GlobalExceptionHandler</w:t>
            </w:r>
          </w:p>
        </w:tc>
        <w:tc>
          <w:tcPr>
            <w:tcW w:type="dxa" w:w="12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b/>
                <w:bCs/>
                <w:color w:val="475569"/>
                <w:sz w:val="17"/>
                <w:szCs w:val="17"/>
              </w:rPr>
              <w:t xml:space="preserve">«advice»</w:t>
            </w:r>
          </w:p>
        </w:tc>
        <w:tc>
          <w:tcPr>
            <w:tcW w:type="dxa" w:w="5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E293B"/>
                <w:sz w:val="18"/>
                <w:szCs w:val="18"/>
              </w:rPr>
              <w:t xml:space="preserve">@RestControllerAdvice. Catches domain exceptions and returns structured error responses: { code, message, field }.</w:t>
            </w:r>
          </w:p>
        </w:tc>
      </w:tr>
    </w:tbl>
    <w:p>
      <w:pPr>
        <w:spacing w:before="160" w:after="0"/>
      </w:pPr>
      <w:r>
        <w:rPr>
          <w:rFonts w:ascii="Arial" w:cs="Arial" w:eastAsia="Arial" w:hAnsi="Arial"/>
        </w:rPr>
        <w:t xml:space="preserve"/>
      </w:r>
    </w:p>
    <w:p>
      <w:pPr>
        <w:pStyle w:val="Heading2"/>
        <w:spacing w:before="300" w:after="120"/>
      </w:pPr>
      <w:r>
        <w:rPr>
          <w:rFonts w:ascii="Arial" w:cs="Arial" w:eastAsia="Arial" w:hAnsi="Arial"/>
          <w:b/>
          <w:bCs/>
          <w:color w:val="1E293B"/>
          <w:sz w:val="26"/>
          <w:szCs w:val="26"/>
        </w:rPr>
        <w:t xml:space="preserve">3.3  Diagram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20"/>
        <w:gridCol w:w="3700"/>
        <w:gridCol w:w="4240"/>
      </w:tblGrid>
      <w:tr>
        <w:tc>
          <w:tcPr>
            <w:tcW w:type="dxa" w:w="1420"/>
            <w:tcBorders>
              <w:top w:val="single" w:color="CBD5E1" w:sz="1"/>
              <w:left w:val="single" w:color="CBD5E1" w:sz="1"/>
              <w:bottom w:val="single" w:color="CBD5E1" w:sz="1"/>
              <w:right w:val="single" w:color="CBD5E1" w:sz="1"/>
            </w:tcBorders>
            <w:shd w:fill="0F172A" w:val="clear"/>
            <w:tcMar>
              <w:top w:type="dxa" w:w="80"/>
              <w:left w:type="dxa" w:w="110"/>
              <w:bottom w:type="dxa" w:w="80"/>
              <w:right w:type="dxa" w:w="110"/>
            </w:tcMar>
          </w:tcPr>
          <w:p>
            <w:r>
              <w:rPr>
                <w:rFonts w:ascii="Arial" w:cs="Arial" w:eastAsia="Arial" w:hAnsi="Arial"/>
                <w:b/>
                <w:bCs/>
                <w:color w:val="FFFFFF"/>
                <w:sz w:val="18"/>
                <w:szCs w:val="18"/>
              </w:rPr>
              <w:t xml:space="preserve">Diagram</w:t>
            </w:r>
          </w:p>
        </w:tc>
        <w:tc>
          <w:tcPr>
            <w:tcW w:type="dxa" w:w="3700"/>
            <w:tcBorders>
              <w:top w:val="single" w:color="CBD5E1" w:sz="1"/>
              <w:left w:val="single" w:color="CBD5E1" w:sz="1"/>
              <w:bottom w:val="single" w:color="CBD5E1" w:sz="1"/>
              <w:right w:val="single" w:color="CBD5E1" w:sz="1"/>
            </w:tcBorders>
            <w:shd w:fill="0F172A" w:val="clear"/>
            <w:tcMar>
              <w:top w:type="dxa" w:w="80"/>
              <w:left w:type="dxa" w:w="110"/>
              <w:bottom w:type="dxa" w:w="80"/>
              <w:right w:type="dxa" w:w="110"/>
            </w:tcMar>
          </w:tcPr>
          <w:p>
            <w:r>
              <w:rPr>
                <w:rFonts w:ascii="Arial" w:cs="Arial" w:eastAsia="Arial" w:hAnsi="Arial"/>
                <w:b/>
                <w:bCs/>
                <w:color w:val="FFFFFF"/>
                <w:sz w:val="18"/>
                <w:szCs w:val="18"/>
              </w:rPr>
              <w:t xml:space="preserve">Scenario to model</w:t>
            </w:r>
          </w:p>
        </w:tc>
        <w:tc>
          <w:tcPr>
            <w:tcW w:type="dxa" w:w="4240"/>
            <w:tcBorders>
              <w:top w:val="single" w:color="CBD5E1" w:sz="1"/>
              <w:left w:val="single" w:color="CBD5E1" w:sz="1"/>
              <w:bottom w:val="single" w:color="CBD5E1" w:sz="1"/>
              <w:right w:val="single" w:color="CBD5E1" w:sz="1"/>
            </w:tcBorders>
            <w:shd w:fill="0F172A" w:val="clear"/>
            <w:tcMar>
              <w:top w:type="dxa" w:w="80"/>
              <w:left w:type="dxa" w:w="110"/>
              <w:bottom w:type="dxa" w:w="80"/>
              <w:right w:type="dxa" w:w="110"/>
            </w:tcMar>
          </w:tcPr>
          <w:p>
            <w:r>
              <w:rPr>
                <w:rFonts w:ascii="Arial" w:cs="Arial" w:eastAsia="Arial" w:hAnsi="Arial"/>
                <w:b/>
                <w:bCs/>
                <w:color w:val="FFFFFF"/>
                <w:sz w:val="18"/>
                <w:szCs w:val="18"/>
              </w:rPr>
              <w:t xml:space="preserve">Must include</w:t>
            </w:r>
          </w:p>
        </w:tc>
      </w:tr>
      <w:tr>
        <w:tc>
          <w:tcPr>
            <w:tcW w:type="dxa" w:w="1420"/>
            <w:tcBorders>
              <w:top w:val="single" w:color="CBD5E1" w:sz="1"/>
              <w:left w:val="single" w:color="CBD5E1" w:sz="1"/>
              <w:bottom w:val="single" w:color="CBD5E1" w:sz="1"/>
              <w:right w:val="single" w:color="CBD5E1" w:sz="1"/>
            </w:tcBorders>
            <w:shd w:fill="EFF6FF" w:val="clear"/>
            <w:tcMar>
              <w:top w:type="dxa" w:w="80"/>
              <w:left w:type="dxa" w:w="110"/>
              <w:bottom w:type="dxa" w:w="80"/>
              <w:right w:type="dxa" w:w="110"/>
            </w:tcMar>
          </w:tcPr>
          <w:p>
            <w:r>
              <w:rPr>
                <w:rFonts w:ascii="Arial" w:cs="Arial" w:eastAsia="Arial" w:hAnsi="Arial"/>
                <w:b/>
                <w:bCs/>
                <w:color w:val="1E40AF"/>
                <w:sz w:val="18"/>
                <w:szCs w:val="18"/>
              </w:rPr>
              <w:t xml:space="preserve">Class</w:t>
            </w:r>
          </w:p>
        </w:tc>
        <w:tc>
          <w:tcPr>
            <w:tcW w:type="dxa" w:w="37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color w:val="1E293B"/>
                <w:sz w:val="18"/>
                <w:szCs w:val="18"/>
              </w:rPr>
              <w:t xml:space="preserve">The full class structure of product-service</w:t>
            </w:r>
          </w:p>
        </w:tc>
        <w:tc>
          <w:tcPr>
            <w:tcW w:type="dxa" w:w="424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color w:val="475569"/>
                <w:sz w:val="17"/>
                <w:szCs w:val="17"/>
              </w:rPr>
              <w:t xml:space="preserve">All 11 classes above with correct stereotypes. ProductController → ProductService (uses). ProductService → ProductRepository (uses). ProductRepository → Product (manages). CreateProductRequest and ProductResponse shown as DTOs used by Controller. Exception classes linked to GlobalExceptionHandler. ProductCategory enum linked to Product. All key methods shown on each class.</w:t>
            </w:r>
          </w:p>
        </w:tc>
      </w:tr>
      <w:tr>
        <w:tc>
          <w:tcPr>
            <w:tcW w:type="dxa" w:w="1420"/>
            <w:tcBorders>
              <w:top w:val="single" w:color="CBD5E1" w:sz="1"/>
              <w:left w:val="single" w:color="CBD5E1" w:sz="1"/>
              <w:bottom w:val="single" w:color="CBD5E1" w:sz="1"/>
              <w:right w:val="single" w:color="CBD5E1" w:sz="1"/>
            </w:tcBorders>
            <w:shd w:fill="ECFDF5" w:val="clear"/>
            <w:tcMar>
              <w:top w:type="dxa" w:w="80"/>
              <w:left w:type="dxa" w:w="110"/>
              <w:bottom w:type="dxa" w:w="80"/>
              <w:right w:type="dxa" w:w="110"/>
            </w:tcMar>
          </w:tcPr>
          <w:p>
            <w:r>
              <w:rPr>
                <w:rFonts w:ascii="Arial" w:cs="Arial" w:eastAsia="Arial" w:hAnsi="Arial"/>
                <w:b/>
                <w:bCs/>
                <w:color w:val="065F46"/>
                <w:sz w:val="18"/>
                <w:szCs w:val="18"/>
              </w:rPr>
              <w:t xml:space="preserve">Sequence</w:t>
            </w:r>
          </w:p>
        </w:tc>
        <w:tc>
          <w:tcPr>
            <w:tcW w:type="dxa" w:w="37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color w:val="1E293B"/>
                <w:sz w:val="18"/>
                <w:szCs w:val="18"/>
              </w:rPr>
              <w:t xml:space="preserve">POST /products — seller creates a new product, including the seller-limit error alt frame</w:t>
            </w:r>
          </w:p>
        </w:tc>
        <w:tc>
          <w:tcPr>
            <w:tcW w:type="dxa" w:w="424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color w:val="475569"/>
                <w:sz w:val="17"/>
                <w:szCs w:val="17"/>
              </w:rPr>
              <w:t xml:space="preserve">Lifelines: Client, API Gateway, ProductController, ProductService, ProductRepository. Gateway injects X-User-Id header. Alt frame 1: body validation fails → 400 before Service is called. Alt frame 2: seller product count = 500 → SellerOwnershipException → 409. Happy path: save() → 201 + Location header. Return arrows are dashed.</w:t>
            </w:r>
          </w:p>
        </w:tc>
      </w:tr>
      <w:tr>
        <w:tc>
          <w:tcPr>
            <w:tcW w:type="dxa" w:w="1420"/>
            <w:tcBorders>
              <w:top w:val="single" w:color="CBD5E1" w:sz="1"/>
              <w:left w:val="single" w:color="CBD5E1" w:sz="1"/>
              <w:bottom w:val="single" w:color="CBD5E1" w:sz="1"/>
              <w:right w:val="single" w:color="CBD5E1" w:sz="1"/>
            </w:tcBorders>
            <w:shd w:fill="FFFBEB" w:val="clear"/>
            <w:tcMar>
              <w:top w:type="dxa" w:w="80"/>
              <w:left w:type="dxa" w:w="110"/>
              <w:bottom w:type="dxa" w:w="80"/>
              <w:right w:type="dxa" w:w="110"/>
            </w:tcMar>
          </w:tcPr>
          <w:p>
            <w:r>
              <w:rPr>
                <w:rFonts w:ascii="Arial" w:cs="Arial" w:eastAsia="Arial" w:hAnsi="Arial"/>
                <w:b/>
                <w:bCs/>
                <w:color w:val="78350F"/>
                <w:sz w:val="18"/>
                <w:szCs w:val="18"/>
              </w:rPr>
              <w:t xml:space="preserve">Activity</w:t>
            </w:r>
          </w:p>
        </w:tc>
        <w:tc>
          <w:tcPr>
            <w:tcW w:type="dxa" w:w="37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color w:val="1E293B"/>
                <w:sz w:val="18"/>
                <w:szCs w:val="18"/>
              </w:rPr>
              <w:t xml:space="preserve">The createProduct business process from request received to response returned</w:t>
            </w:r>
          </w:p>
        </w:tc>
        <w:tc>
          <w:tcPr>
            <w:tcW w:type="dxa" w:w="424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color w:val="475569"/>
                <w:sz w:val="17"/>
                <w:szCs w:val="17"/>
              </w:rPr>
              <w:t xml:space="preserve">3 swim lanes: ProductController, ProductService, ProductRepository. Start node. Decision 1: is request body valid? No → 400. Decision 2: has seller reached 500 product limit? No → 409. Decision 3: are all imageUrls valid https:// URLs? No → 422. Happy path: save entity → map to DTO → 201. End node.</w:t>
            </w:r>
          </w:p>
        </w:tc>
      </w:tr>
      <w:tr>
        <w:tc>
          <w:tcPr>
            <w:tcW w:type="dxa" w:w="1420"/>
            <w:tcBorders>
              <w:top w:val="single" w:color="CBD5E1" w:sz="1"/>
              <w:left w:val="single" w:color="CBD5E1" w:sz="1"/>
              <w:bottom w:val="single" w:color="CBD5E1" w:sz="1"/>
              <w:right w:val="single" w:color="CBD5E1" w:sz="1"/>
            </w:tcBorders>
            <w:shd w:fill="F5F3FF" w:val="clear"/>
            <w:tcMar>
              <w:top w:type="dxa" w:w="80"/>
              <w:left w:type="dxa" w:w="110"/>
              <w:bottom w:type="dxa" w:w="80"/>
              <w:right w:type="dxa" w:w="110"/>
            </w:tcMar>
          </w:tcPr>
          <w:p>
            <w:r>
              <w:rPr>
                <w:rFonts w:ascii="Arial" w:cs="Arial" w:eastAsia="Arial" w:hAnsi="Arial"/>
                <w:b/>
                <w:bCs/>
                <w:color w:val="4C1D95"/>
                <w:sz w:val="18"/>
                <w:szCs w:val="18"/>
              </w:rPr>
              <w:t xml:space="preserve">ERD</w:t>
            </w:r>
          </w:p>
        </w:tc>
        <w:tc>
          <w:tcPr>
            <w:tcW w:type="dxa" w:w="37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color w:val="1E293B"/>
                <w:sz w:val="18"/>
                <w:szCs w:val="18"/>
              </w:rPr>
              <w:t xml:space="preserve">The complete products database schema for this service</w:t>
            </w:r>
          </w:p>
        </w:tc>
        <w:tc>
          <w:tcPr>
            <w:tcW w:type="dxa" w:w="424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color w:val="475569"/>
                <w:sz w:val="17"/>
                <w:szCs w:val="17"/>
              </w:rPr>
              <w:t xml:space="preserve">One table: products. All columns with types: id (UUID PK), name (VARCHAR 120), description (TEXT), price (BIGINT NOT NULL CHECK &gt; 0), currency (VARCHAR 3 DEFAULT NGN), category (VARCHAR 50), seller_id (UUID NOT NULL — label as logical FK cross-service), image_urls (TEXT[]), tags (TEXT[]), is_active (BOOLEAN DEFAULT TRUE), created_at (TIMESTAMP), updated_at (TIMESTAMP). Note: no physical FK to any other service.</w:t>
            </w:r>
          </w:p>
        </w:tc>
      </w:tr>
    </w:tbl>
    <w:p>
      <w:pPr>
        <w:spacing w:before="30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059669" w:val="clear"/>
            <w:tcMar>
              <w:top w:type="dxa" w:w="180"/>
              <w:left w:type="dxa" w:w="240"/>
              <w:bottom w:type="dxa" w:w="180"/>
              <w:right w:type="dxa" w:w="240"/>
            </w:tcMar>
          </w:tcPr>
          <w:p>
            <w:pPr>
              <w:spacing w:before="0" w:after="60"/>
            </w:pPr>
            <w:r>
              <w:rPr>
                <w:rFonts w:ascii="Arial" w:cs="Arial" w:eastAsia="Arial" w:hAnsi="Arial"/>
                <w:b/>
                <w:bCs/>
                <w:color w:val="FFFFFF"/>
                <w:sz w:val="30"/>
                <w:szCs w:val="30"/>
              </w:rPr>
              <w:t xml:space="preserve">inventory-service</w:t>
            </w:r>
          </w:p>
          <w:p>
            <w:pPr>
              <w:spacing w:before="0" w:after="0"/>
            </w:pPr>
            <w:r>
              <w:rPr>
                <w:rFonts w:ascii="Arial" w:cs="Arial" w:eastAsia="Arial" w:hAnsi="Arial"/>
                <w:color w:val="BFDBFE"/>
                <w:sz w:val="18"/>
                <w:szCs w:val="18"/>
              </w:rPr>
              <w:t xml:space="preserve">Spring Boot 3  ·  Spring Data JPA  ·  PostgreSQL  ·  OpenFeign  ·  Kafka</w:t>
            </w:r>
          </w:p>
        </w:tc>
        <w:tc>
          <w:tcPr>
            <w:tcW w:type="dxa" w:w="2560"/>
            <w:tcBorders>
              <w:top w:val="none" w:color="FFFFFF" w:sz="0"/>
              <w:left w:val="none" w:color="FFFFFF" w:sz="0"/>
              <w:bottom w:val="none" w:color="FFFFFF" w:sz="0"/>
              <w:right w:val="none" w:color="FFFFFF" w:sz="0"/>
            </w:tcBorders>
            <w:shd w:fill="059669" w:val="clear"/>
            <w:tcMar>
              <w:top w:type="dxa" w:w="180"/>
              <w:left w:type="dxa" w:w="240"/>
              <w:bottom w:type="dxa" w:w="180"/>
              <w:right w:type="dxa" w:w="240"/>
            </w:tcMar>
            <w:vAlign w:val="center"/>
          </w:tcPr>
          <w:p>
            <w:pPr>
              <w:jc w:val="right"/>
            </w:pPr>
            <w:r>
              <w:rPr>
                <w:rFonts w:ascii="Arial" w:cs="Arial" w:eastAsia="Arial" w:hAnsi="Arial"/>
                <w:b/>
                <w:bCs/>
                <w:color w:val="BFDBFE"/>
                <w:sz w:val="19"/>
                <w:szCs w:val="19"/>
              </w:rPr>
              <w:t xml:space="preserve">Week 2  ·  Inter-service communication</w:t>
            </w:r>
          </w:p>
        </w:tc>
      </w:tr>
    </w:tbl>
    <w:p>
      <w:pPr>
        <w:spacing w:before="120" w:after="0"/>
      </w:pPr>
      <w:r>
        <w:rPr>
          <w:rFonts w:ascii="Arial" w:cs="Arial" w:eastAsia="Arial" w:hAnsi="Arial"/>
        </w:rPr>
        <w:t xml:space="preserve"/>
      </w:r>
    </w:p>
    <w:p>
      <w:pPr>
        <w:pStyle w:val="Heading2"/>
        <w:spacing w:before="300" w:after="120"/>
      </w:pPr>
      <w:r>
        <w:rPr>
          <w:rFonts w:ascii="Arial" w:cs="Arial" w:eastAsia="Arial" w:hAnsi="Arial"/>
          <w:b/>
          <w:bCs/>
          <w:color w:val="059669"/>
          <w:sz w:val="26"/>
          <w:szCs w:val="26"/>
        </w:rPr>
        <w:t xml:space="preserve">3.4  Background</w:t>
      </w:r>
    </w:p>
    <w:p>
      <w:pPr>
        <w:spacing w:before="60" w:after="80"/>
        <w:jc w:val="both"/>
      </w:pPr>
      <w:r>
        <w:rPr>
          <w:rFonts w:ascii="Arial" w:cs="Arial" w:eastAsia="Arial" w:hAnsi="Arial"/>
          <w:color w:val="1E293B"/>
          <w:sz w:val="21"/>
          <w:szCs w:val="21"/>
        </w:rPr>
        <w:t xml:space="preserve">inventory-service is the most architecturally complex of the three services in this assignment. It must: validate product IDs by calling product-service via Feign, maintain two linked database tables, apply a pessimistic lock on stock reads to prevent race conditions under concurrent requests, publish a Kafka event when stock drops low, and run a scheduled job every 60 seconds to release expired reservations.</w:t>
      </w:r>
    </w:p>
    <w:p>
      <w:pPr>
        <w:spacing w:before="80" w:after="0"/>
      </w:pPr>
      <w:r>
        <w:rPr>
          <w:rFonts w:ascii="Arial" w:cs="Arial" w:eastAsia="Arial" w:hAnsi="Arial"/>
        </w:rPr>
        <w:t xml:space="preserve"/>
      </w:r>
    </w:p>
    <w:p>
      <w:pPr>
        <w:spacing w:before="60" w:after="80"/>
        <w:jc w:val="both"/>
      </w:pPr>
      <w:r>
        <w:rPr>
          <w:rFonts w:ascii="Arial" w:cs="Arial" w:eastAsia="Arial" w:hAnsi="Arial"/>
          <w:color w:val="1E293B"/>
          <w:sz w:val="21"/>
          <w:szCs w:val="21"/>
        </w:rPr>
        <w:t xml:space="preserve">The core teaching point of this service is the reservation pattern. Stock is never immediately decremented when an order is placed. Instead it is "reserved" — moved from available_qty to reserved_qty — and only confirmed (moved to sold_qty) when payment is completed. If payment fails, the reservation is released and available_qty is restored. Your sequence and activity diagrams must show this clearly.</w:t>
      </w:r>
    </w:p>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1"/>
              <w:bottom w:val="single" w:color="0EA5E9" w:sz="1"/>
              <w:right w:val="single" w:color="0EA5E9" w:sz="1"/>
            </w:tcBorders>
            <w:shd w:fill="D1FAE5" w:val="clear"/>
            <w:tcMar>
              <w:top w:type="dxa" w:w="140"/>
              <w:left w:type="dxa" w:w="200"/>
              <w:bottom w:type="dxa" w:w="140"/>
              <w:right w:type="dxa" w:w="200"/>
            </w:tcMar>
          </w:tcPr>
          <w:p>
            <w:pPr>
              <w:spacing w:before="0" w:after="60"/>
            </w:pPr>
            <w:r>
              <w:rPr>
                <w:rFonts w:ascii="Arial" w:cs="Arial" w:eastAsia="Arial" w:hAnsi="Arial"/>
                <w:b/>
                <w:bCs/>
                <w:color w:val="065F46"/>
                <w:sz w:val="19"/>
                <w:szCs w:val="19"/>
              </w:rPr>
              <w:t xml:space="preserve">The pessimistic lock — why it matters</w:t>
            </w:r>
          </w:p>
          <w:p>
            <w:pPr>
              <w:spacing w:before="0" w:after="40"/>
            </w:pPr>
            <w:r>
              <w:rPr>
                <w:rFonts w:ascii="Arial" w:cs="Arial" w:eastAsia="Arial" w:hAnsi="Arial"/>
                <w:color w:val="1E293B"/>
                <w:sz w:val="20"/>
                <w:szCs w:val="20"/>
              </w:rPr>
              <w:t xml:space="preserve">When two order-service instances both try to reserve the last unit of a product at the same moment, both will read available_qty = 1, both will decide they can proceed, and both will decrement to 0 — resulting in available_qty = -1 and an oversold product.</w:t>
            </w:r>
          </w:p>
          <w:p>
            <w:pPr>
              <w:spacing w:before="0" w:after="40"/>
            </w:pPr>
            <w:r>
              <w:rPr>
                <w:rFonts w:ascii="Arial" w:cs="Arial" w:eastAsia="Arial" w:hAnsi="Arial"/>
                <w:color w:val="1E293B"/>
                <w:sz w:val="20"/>
                <w:szCs w:val="20"/>
              </w:rPr>
              <w:t xml:space="preserve">The fix is: SELECT ... FOR UPDATE (pessimistic write lock). The first request acquires the lock and the second request waits until the first transaction commits. After the first commits, available_qty = 0 and the second sees it is out of stock.</w:t>
            </w:r>
          </w:p>
          <w:p>
            <w:pPr>
              <w:spacing w:before="0" w:after="40"/>
            </w:pPr>
            <w:r>
              <w:rPr>
                <w:rFonts w:ascii="Arial" w:cs="Arial" w:eastAsia="Arial" w:hAnsi="Arial"/>
                <w:color w:val="1E293B"/>
                <w:sz w:val="20"/>
                <w:szCs w:val="20"/>
              </w:rPr>
              <w:t xml:space="preserve">In Spring Data JPA this is written as @Lock(LockModeType.PESSIMISTIC_WRITE) on the repository query method. Your class diagram must show this annotation. Your sequence diagram must show the lock as a visible step.</w:t>
            </w:r>
          </w:p>
        </w:tc>
      </w:tr>
    </w:tbl>
    <w:p>
      <w:pPr>
        <w:spacing w:before="160" w:after="0"/>
      </w:pPr>
      <w:r>
        <w:rPr>
          <w:rFonts w:ascii="Arial" w:cs="Arial" w:eastAsia="Arial" w:hAnsi="Arial"/>
        </w:rPr>
        <w:t xml:space="preserve"/>
      </w:r>
    </w:p>
    <w:p>
      <w:pPr>
        <w:pStyle w:val="Heading2"/>
        <w:spacing w:before="300" w:after="120"/>
      </w:pPr>
      <w:r>
        <w:rPr>
          <w:rFonts w:ascii="Arial" w:cs="Arial" w:eastAsia="Arial" w:hAnsi="Arial"/>
          <w:b/>
          <w:bCs/>
          <w:color w:val="1E293B"/>
          <w:sz w:val="26"/>
          <w:szCs w:val="26"/>
        </w:rPr>
        <w:t xml:space="preserve">3.5  Entities &amp; classes to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60"/>
        <w:gridCol w:w="5800"/>
      </w:tblGrid>
      <w:tr>
        <w:tc>
          <w:tcPr>
            <w:tcW w:type="dxa" w:w="2300"/>
            <w:tcBorders>
              <w:top w:val="single" w:color="CBD5E1" w:sz="1"/>
              <w:left w:val="single" w:color="CBD5E1" w:sz="1"/>
              <w:bottom w:val="single" w:color="CBD5E1" w:sz="1"/>
              <w:right w:val="single" w:color="CBD5E1" w:sz="1"/>
            </w:tcBorders>
            <w:shd w:fill="1E2761" w:val="clear"/>
            <w:tcMar>
              <w:top w:type="dxa" w:w="80"/>
              <w:left w:type="dxa" w:w="110"/>
              <w:bottom w:type="dxa" w:w="80"/>
              <w:right w:type="dxa" w:w="110"/>
            </w:tcMar>
          </w:tcPr>
          <w:p>
            <w:r>
              <w:rPr>
                <w:rFonts w:ascii="Arial" w:cs="Arial" w:eastAsia="Arial" w:hAnsi="Arial"/>
                <w:b/>
                <w:bCs/>
                <w:color w:val="FFFFFF"/>
                <w:sz w:val="18"/>
                <w:szCs w:val="18"/>
              </w:rPr>
              <w:t xml:space="preserve">Entity / Class</w:t>
            </w:r>
          </w:p>
        </w:tc>
        <w:tc>
          <w:tcPr>
            <w:tcW w:type="dxa" w:w="1260"/>
            <w:tcBorders>
              <w:top w:val="single" w:color="CBD5E1" w:sz="1"/>
              <w:left w:val="single" w:color="CBD5E1" w:sz="1"/>
              <w:bottom w:val="single" w:color="CBD5E1" w:sz="1"/>
              <w:right w:val="single" w:color="CBD5E1" w:sz="1"/>
            </w:tcBorders>
            <w:shd w:fill="1E2761" w:val="clear"/>
            <w:tcMar>
              <w:top w:type="dxa" w:w="80"/>
              <w:left w:type="dxa" w:w="110"/>
              <w:bottom w:type="dxa" w:w="80"/>
              <w:right w:type="dxa" w:w="110"/>
            </w:tcMar>
          </w:tcPr>
          <w:p>
            <w:r>
              <w:rPr>
                <w:rFonts w:ascii="Arial" w:cs="Arial" w:eastAsia="Arial" w:hAnsi="Arial"/>
                <w:b/>
                <w:bCs/>
                <w:color w:val="FFFFFF"/>
                <w:sz w:val="18"/>
                <w:szCs w:val="18"/>
              </w:rPr>
              <w:t xml:space="preserve">Stereotype</w:t>
            </w:r>
          </w:p>
        </w:tc>
        <w:tc>
          <w:tcPr>
            <w:tcW w:type="dxa" w:w="5800"/>
            <w:tcBorders>
              <w:top w:val="single" w:color="CBD5E1" w:sz="1"/>
              <w:left w:val="single" w:color="CBD5E1" w:sz="1"/>
              <w:bottom w:val="single" w:color="CBD5E1" w:sz="1"/>
              <w:right w:val="single" w:color="CBD5E1" w:sz="1"/>
            </w:tcBorders>
            <w:shd w:fill="1E2761" w:val="clear"/>
            <w:tcMar>
              <w:top w:type="dxa" w:w="80"/>
              <w:left w:type="dxa" w:w="110"/>
              <w:bottom w:type="dxa" w:w="80"/>
              <w:right w:type="dxa" w:w="110"/>
            </w:tcMar>
          </w:tcPr>
          <w:p>
            <w:r>
              <w:rPr>
                <w:rFonts w:ascii="Arial" w:cs="Arial" w:eastAsia="Arial" w:hAnsi="Arial"/>
                <w:b/>
                <w:bCs/>
                <w:color w:val="FFFFFF"/>
                <w:sz w:val="18"/>
                <w:szCs w:val="18"/>
              </w:rPr>
              <w:t xml:space="preserve">Key responsibilities</w:t>
            </w:r>
          </w:p>
        </w:tc>
      </w:tr>
      <w:tr>
        <w:tc>
          <w:tcPr>
            <w:tcW w:type="dxa" w:w="2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Courier New" w:cs="Courier New" w:eastAsia="Courier New" w:hAnsi="Courier New"/>
                <w:color w:val="0EA5E9"/>
                <w:sz w:val="18"/>
                <w:szCs w:val="18"/>
              </w:rPr>
              <w:t xml:space="preserve">InventoryController</w:t>
            </w:r>
          </w:p>
        </w:tc>
        <w:tc>
          <w:tcPr>
            <w:tcW w:type="dxa" w:w="12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b/>
                <w:bCs/>
                <w:color w:val="475569"/>
                <w:sz w:val="17"/>
                <w:szCs w:val="17"/>
              </w:rPr>
              <w:t xml:space="preserve">«controller»</w:t>
            </w:r>
          </w:p>
        </w:tc>
        <w:tc>
          <w:tcPr>
            <w:tcW w:type="dxa" w:w="5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E293B"/>
                <w:sz w:val="18"/>
                <w:szCs w:val="18"/>
              </w:rPr>
              <w:t xml:space="preserve">Handles: POST /inventory (create), GET /inventory/{productId} (get stock), PUT /inventory/{productId}/stock (set level), POST /inventory/reserve, POST /inventory/release, POST /inventory/confirm, GET /inventory/low-stock.</w:t>
            </w:r>
          </w:p>
        </w:tc>
      </w:tr>
      <w:tr>
        <w:tc>
          <w:tcPr>
            <w:tcW w:type="dxa" w:w="23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Courier New" w:cs="Courier New" w:eastAsia="Courier New" w:hAnsi="Courier New"/>
                <w:color w:val="0EA5E9"/>
                <w:sz w:val="18"/>
                <w:szCs w:val="18"/>
              </w:rPr>
              <w:t xml:space="preserve">InventoryService</w:t>
            </w:r>
          </w:p>
        </w:tc>
        <w:tc>
          <w:tcPr>
            <w:tcW w:type="dxa" w:w="12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Arial" w:cs="Arial" w:eastAsia="Arial" w:hAnsi="Arial"/>
                <w:b/>
                <w:bCs/>
                <w:color w:val="475569"/>
                <w:sz w:val="17"/>
                <w:szCs w:val="17"/>
              </w:rPr>
              <w:t xml:space="preserve">«service»</w:t>
            </w:r>
          </w:p>
        </w:tc>
        <w:tc>
          <w:tcPr>
            <w:tcW w:type="dxa" w:w="58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Arial" w:cs="Arial" w:eastAsia="Arial" w:hAnsi="Arial"/>
                <w:color w:val="1E293B"/>
                <w:sz w:val="18"/>
                <w:szCs w:val="18"/>
              </w:rPr>
              <w:t xml:space="preserve">Core logic. createInventory() validates productId via ProductClient before saving. reserve() calls findByProductIdForUpdate() to acquire pessimistic lock, checks availableQty, saves StockReservation, then checks if threshold is breached.</w:t>
            </w:r>
          </w:p>
        </w:tc>
      </w:tr>
      <w:tr>
        <w:tc>
          <w:tcPr>
            <w:tcW w:type="dxa" w:w="2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Courier New" w:cs="Courier New" w:eastAsia="Courier New" w:hAnsi="Courier New"/>
                <w:color w:val="0EA5E9"/>
                <w:sz w:val="18"/>
                <w:szCs w:val="18"/>
              </w:rPr>
              <w:t xml:space="preserve">InventoryRepository</w:t>
            </w:r>
          </w:p>
        </w:tc>
        <w:tc>
          <w:tcPr>
            <w:tcW w:type="dxa" w:w="12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b/>
                <w:bCs/>
                <w:color w:val="475569"/>
                <w:sz w:val="17"/>
                <w:szCs w:val="17"/>
              </w:rPr>
              <w:t xml:space="preserve">«repository»</w:t>
            </w:r>
          </w:p>
        </w:tc>
        <w:tc>
          <w:tcPr>
            <w:tcW w:type="dxa" w:w="5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E293B"/>
                <w:sz w:val="18"/>
                <w:szCs w:val="18"/>
              </w:rPr>
              <w:t xml:space="preserve">findByProductId(productId). findByProductIdForUpdate(productId) annotated with @Lock(PESSIMISTIC_WRITE) — this is the critical method that prevents overselling.</w:t>
            </w:r>
          </w:p>
        </w:tc>
      </w:tr>
      <w:tr>
        <w:tc>
          <w:tcPr>
            <w:tcW w:type="dxa" w:w="23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Courier New" w:cs="Courier New" w:eastAsia="Courier New" w:hAnsi="Courier New"/>
                <w:color w:val="0EA5E9"/>
                <w:sz w:val="18"/>
                <w:szCs w:val="18"/>
              </w:rPr>
              <w:t xml:space="preserve">ReservationRepository</w:t>
            </w:r>
          </w:p>
        </w:tc>
        <w:tc>
          <w:tcPr>
            <w:tcW w:type="dxa" w:w="12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Arial" w:cs="Arial" w:eastAsia="Arial" w:hAnsi="Arial"/>
                <w:b/>
                <w:bCs/>
                <w:color w:val="475569"/>
                <w:sz w:val="17"/>
                <w:szCs w:val="17"/>
              </w:rPr>
              <w:t xml:space="preserve">«repository»</w:t>
            </w:r>
          </w:p>
        </w:tc>
        <w:tc>
          <w:tcPr>
            <w:tcW w:type="dxa" w:w="58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Arial" w:cs="Arial" w:eastAsia="Arial" w:hAnsi="Arial"/>
                <w:color w:val="1E293B"/>
                <w:sz w:val="18"/>
                <w:szCs w:val="18"/>
              </w:rPr>
              <w:t xml:space="preserve">findByOrderId(orderId). findExpiredReservations(now) — returns reservations where status=RESERVED and expiresAt &lt; now. findByInventoryIdAndStatus(inventoryId, status).</w:t>
            </w:r>
          </w:p>
        </w:tc>
      </w:tr>
      <w:tr>
        <w:tc>
          <w:tcPr>
            <w:tcW w:type="dxa" w:w="2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Courier New" w:cs="Courier New" w:eastAsia="Courier New" w:hAnsi="Courier New"/>
                <w:color w:val="0EA5E9"/>
                <w:sz w:val="18"/>
                <w:szCs w:val="18"/>
              </w:rPr>
              <w:t xml:space="preserve">Inventory</w:t>
            </w:r>
          </w:p>
        </w:tc>
        <w:tc>
          <w:tcPr>
            <w:tcW w:type="dxa" w:w="12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b/>
                <w:bCs/>
                <w:color w:val="475569"/>
                <w:sz w:val="17"/>
                <w:szCs w:val="17"/>
              </w:rPr>
              <w:t xml:space="preserve">«entity»</w:t>
            </w:r>
          </w:p>
        </w:tc>
        <w:tc>
          <w:tcPr>
            <w:tcW w:type="dxa" w:w="5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E293B"/>
                <w:sz w:val="18"/>
                <w:szCs w:val="18"/>
              </w:rPr>
              <w:t xml:space="preserve">id (UUID), productId (UUID — logical FK cross-service), availableQty (int ≥ 0), reservedQty (int ≥ 0), soldQty (int ≥ 0), lowStockThreshold (int DEFAULT 5), createdAt, updatedAt.</w:t>
            </w:r>
          </w:p>
        </w:tc>
      </w:tr>
      <w:tr>
        <w:tc>
          <w:tcPr>
            <w:tcW w:type="dxa" w:w="23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Courier New" w:cs="Courier New" w:eastAsia="Courier New" w:hAnsi="Courier New"/>
                <w:color w:val="0EA5E9"/>
                <w:sz w:val="18"/>
                <w:szCs w:val="18"/>
              </w:rPr>
              <w:t xml:space="preserve">StockReservation</w:t>
            </w:r>
          </w:p>
        </w:tc>
        <w:tc>
          <w:tcPr>
            <w:tcW w:type="dxa" w:w="12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Arial" w:cs="Arial" w:eastAsia="Arial" w:hAnsi="Arial"/>
                <w:b/>
                <w:bCs/>
                <w:color w:val="475569"/>
                <w:sz w:val="17"/>
                <w:szCs w:val="17"/>
              </w:rPr>
              <w:t xml:space="preserve">«entity»</w:t>
            </w:r>
          </w:p>
        </w:tc>
        <w:tc>
          <w:tcPr>
            <w:tcW w:type="dxa" w:w="58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Arial" w:cs="Arial" w:eastAsia="Arial" w:hAnsi="Arial"/>
                <w:color w:val="1E293B"/>
                <w:sz w:val="18"/>
                <w:szCs w:val="18"/>
              </w:rPr>
              <w:t xml:space="preserve">id (UUID), inventoryId (UUID FK → inventory.id), orderId (UUID — logical FK cross-service), qty (int &gt; 0), status (ReservationStatus enum), expiresAt (Timestamp — set to now + 15 minutes), createdAt.</w:t>
            </w:r>
          </w:p>
        </w:tc>
      </w:tr>
      <w:tr>
        <w:tc>
          <w:tcPr>
            <w:tcW w:type="dxa" w:w="2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Courier New" w:cs="Courier New" w:eastAsia="Courier New" w:hAnsi="Courier New"/>
                <w:color w:val="0EA5E9"/>
                <w:sz w:val="18"/>
                <w:szCs w:val="18"/>
              </w:rPr>
              <w:t xml:space="preserve">ReservationStatus</w:t>
            </w:r>
          </w:p>
        </w:tc>
        <w:tc>
          <w:tcPr>
            <w:tcW w:type="dxa" w:w="12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b/>
                <w:bCs/>
                <w:color w:val="475569"/>
                <w:sz w:val="17"/>
                <w:szCs w:val="17"/>
              </w:rPr>
              <w:t xml:space="preserve">«enum»</w:t>
            </w:r>
          </w:p>
        </w:tc>
        <w:tc>
          <w:tcPr>
            <w:tcW w:type="dxa" w:w="5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E293B"/>
                <w:sz w:val="18"/>
                <w:szCs w:val="18"/>
              </w:rPr>
              <w:t xml:space="preserve">RESERVED — active reservation. CONFIRMED — stock sold (payment completed). RELEASED — reservation cancelled or expired.</w:t>
            </w:r>
          </w:p>
        </w:tc>
      </w:tr>
      <w:tr>
        <w:tc>
          <w:tcPr>
            <w:tcW w:type="dxa" w:w="23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Courier New" w:cs="Courier New" w:eastAsia="Courier New" w:hAnsi="Courier New"/>
                <w:color w:val="0EA5E9"/>
                <w:sz w:val="18"/>
                <w:szCs w:val="18"/>
              </w:rPr>
              <w:t xml:space="preserve">ProductClient</w:t>
            </w:r>
          </w:p>
        </w:tc>
        <w:tc>
          <w:tcPr>
            <w:tcW w:type="dxa" w:w="12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Arial" w:cs="Arial" w:eastAsia="Arial" w:hAnsi="Arial"/>
                <w:b/>
                <w:bCs/>
                <w:color w:val="475569"/>
                <w:sz w:val="17"/>
                <w:szCs w:val="17"/>
              </w:rPr>
              <w:t xml:space="preserve">«feign client»</w:t>
            </w:r>
          </w:p>
        </w:tc>
        <w:tc>
          <w:tcPr>
            <w:tcW w:type="dxa" w:w="58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Arial" w:cs="Arial" w:eastAsia="Arial" w:hAnsi="Arial"/>
                <w:color w:val="1E293B"/>
                <w:sz w:val="18"/>
                <w:szCs w:val="18"/>
              </w:rPr>
              <w:t xml:space="preserve">Feign interface calling product-service. existsById(productId): boolean maps to GET /products/{productId}. Used in InventoryService.createInventory() to validate the product exists before creating an inventory record.</w:t>
            </w:r>
          </w:p>
        </w:tc>
      </w:tr>
      <w:tr>
        <w:tc>
          <w:tcPr>
            <w:tcW w:type="dxa" w:w="2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Courier New" w:cs="Courier New" w:eastAsia="Courier New" w:hAnsi="Courier New"/>
                <w:color w:val="0EA5E9"/>
                <w:sz w:val="18"/>
                <w:szCs w:val="18"/>
              </w:rPr>
              <w:t xml:space="preserve">StockEventProducer</w:t>
            </w:r>
          </w:p>
        </w:tc>
        <w:tc>
          <w:tcPr>
            <w:tcW w:type="dxa" w:w="12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b/>
                <w:bCs/>
                <w:color w:val="475569"/>
                <w:sz w:val="17"/>
                <w:szCs w:val="17"/>
              </w:rPr>
              <w:t xml:space="preserve">«kafka producer»</w:t>
            </w:r>
          </w:p>
        </w:tc>
        <w:tc>
          <w:tcPr>
            <w:tcW w:type="dxa" w:w="5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E293B"/>
                <w:sz w:val="18"/>
                <w:szCs w:val="18"/>
              </w:rPr>
              <w:t xml:space="preserve">publishStockLow(productId, currentQty, threshold). Writes to Kafka topic STOCK_LOW with productId as the message key. Called when availableQty drops below lowStockThreshold after a reserve or confirm operation.</w:t>
            </w:r>
          </w:p>
        </w:tc>
      </w:tr>
      <w:tr>
        <w:tc>
          <w:tcPr>
            <w:tcW w:type="dxa" w:w="23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Courier New" w:cs="Courier New" w:eastAsia="Courier New" w:hAnsi="Courier New"/>
                <w:color w:val="0EA5E9"/>
                <w:sz w:val="18"/>
                <w:szCs w:val="18"/>
              </w:rPr>
              <w:t xml:space="preserve">ReservationExpiryJob</w:t>
            </w:r>
          </w:p>
        </w:tc>
        <w:tc>
          <w:tcPr>
            <w:tcW w:type="dxa" w:w="12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Arial" w:cs="Arial" w:eastAsia="Arial" w:hAnsi="Arial"/>
                <w:b/>
                <w:bCs/>
                <w:color w:val="475569"/>
                <w:sz w:val="17"/>
                <w:szCs w:val="17"/>
              </w:rPr>
              <w:t xml:space="preserve">«scheduled»</w:t>
            </w:r>
          </w:p>
        </w:tc>
        <w:tc>
          <w:tcPr>
            <w:tcW w:type="dxa" w:w="58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Arial" w:cs="Arial" w:eastAsia="Arial" w:hAnsi="Arial"/>
                <w:color w:val="1E293B"/>
                <w:sz w:val="18"/>
                <w:szCs w:val="18"/>
              </w:rPr>
              <w:t xml:space="preserve">@Scheduled(fixedRate = 60000). Calls InventoryService.expireStaleReservations(). Finds all reservations with status=RESERVED and expiresAt &lt; now(), sets status=RELEASED, and restores availableQty on the parent Inventory record.</w:t>
            </w:r>
          </w:p>
        </w:tc>
      </w:tr>
      <w:tr>
        <w:tc>
          <w:tcPr>
            <w:tcW w:type="dxa" w:w="2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Courier New" w:cs="Courier New" w:eastAsia="Courier New" w:hAnsi="Courier New"/>
                <w:color w:val="0EA5E9"/>
                <w:sz w:val="18"/>
                <w:szCs w:val="18"/>
              </w:rPr>
              <w:t xml:space="preserve">ReserveRequest</w:t>
            </w:r>
          </w:p>
        </w:tc>
        <w:tc>
          <w:tcPr>
            <w:tcW w:type="dxa" w:w="12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b/>
                <w:bCs/>
                <w:color w:val="475569"/>
                <w:sz w:val="17"/>
                <w:szCs w:val="17"/>
              </w:rPr>
              <w:t xml:space="preserve">«dto»</w:t>
            </w:r>
          </w:p>
        </w:tc>
        <w:tc>
          <w:tcPr>
            <w:tcW w:type="dxa" w:w="5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E293B"/>
                <w:sz w:val="18"/>
                <w:szCs w:val="18"/>
              </w:rPr>
              <w:t xml:space="preserve">productId (UUID), orderId (UUID), qty (int &gt; 0). The request body for POST /inventory/reserve.</w:t>
            </w:r>
          </w:p>
        </w:tc>
      </w:tr>
      <w:tr>
        <w:tc>
          <w:tcPr>
            <w:tcW w:type="dxa" w:w="23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Courier New" w:cs="Courier New" w:eastAsia="Courier New" w:hAnsi="Courier New"/>
                <w:color w:val="0EA5E9"/>
                <w:sz w:val="18"/>
                <w:szCs w:val="18"/>
              </w:rPr>
              <w:t xml:space="preserve">StockResponse</w:t>
            </w:r>
          </w:p>
        </w:tc>
        <w:tc>
          <w:tcPr>
            <w:tcW w:type="dxa" w:w="12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Arial" w:cs="Arial" w:eastAsia="Arial" w:hAnsi="Arial"/>
                <w:b/>
                <w:bCs/>
                <w:color w:val="475569"/>
                <w:sz w:val="17"/>
                <w:szCs w:val="17"/>
              </w:rPr>
              <w:t xml:space="preserve">«dto»</w:t>
            </w:r>
          </w:p>
        </w:tc>
        <w:tc>
          <w:tcPr>
            <w:tcW w:type="dxa" w:w="58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Arial" w:cs="Arial" w:eastAsia="Arial" w:hAnsi="Arial"/>
                <w:color w:val="1E293B"/>
                <w:sz w:val="18"/>
                <w:szCs w:val="18"/>
              </w:rPr>
              <w:t xml:space="preserve">productId, availableQty, reservedQty, soldQty, lowStockThreshold. Returned by GET /inventory/{productId}.</w:t>
            </w:r>
          </w:p>
        </w:tc>
      </w:tr>
    </w:tbl>
    <w:p>
      <w:pPr>
        <w:spacing w:before="160" w:after="0"/>
      </w:pPr>
      <w:r>
        <w:rPr>
          <w:rFonts w:ascii="Arial" w:cs="Arial" w:eastAsia="Arial" w:hAnsi="Arial"/>
        </w:rPr>
        <w:t xml:space="preserve"/>
      </w:r>
    </w:p>
    <w:p>
      <w:pPr>
        <w:pStyle w:val="Heading2"/>
        <w:spacing w:before="300" w:after="120"/>
      </w:pPr>
      <w:r>
        <w:rPr>
          <w:rFonts w:ascii="Arial" w:cs="Arial" w:eastAsia="Arial" w:hAnsi="Arial"/>
          <w:b/>
          <w:bCs/>
          <w:color w:val="1E293B"/>
          <w:sz w:val="26"/>
          <w:szCs w:val="26"/>
        </w:rPr>
        <w:t xml:space="preserve">3.6  Diagram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20"/>
        <w:gridCol w:w="3700"/>
        <w:gridCol w:w="4240"/>
      </w:tblGrid>
      <w:tr>
        <w:tc>
          <w:tcPr>
            <w:tcW w:type="dxa" w:w="1420"/>
            <w:tcBorders>
              <w:top w:val="single" w:color="CBD5E1" w:sz="1"/>
              <w:left w:val="single" w:color="CBD5E1" w:sz="1"/>
              <w:bottom w:val="single" w:color="CBD5E1" w:sz="1"/>
              <w:right w:val="single" w:color="CBD5E1" w:sz="1"/>
            </w:tcBorders>
            <w:shd w:fill="0F172A" w:val="clear"/>
            <w:tcMar>
              <w:top w:type="dxa" w:w="80"/>
              <w:left w:type="dxa" w:w="110"/>
              <w:bottom w:type="dxa" w:w="80"/>
              <w:right w:type="dxa" w:w="110"/>
            </w:tcMar>
          </w:tcPr>
          <w:p>
            <w:r>
              <w:rPr>
                <w:rFonts w:ascii="Arial" w:cs="Arial" w:eastAsia="Arial" w:hAnsi="Arial"/>
                <w:b/>
                <w:bCs/>
                <w:color w:val="FFFFFF"/>
                <w:sz w:val="18"/>
                <w:szCs w:val="18"/>
              </w:rPr>
              <w:t xml:space="preserve">Diagram</w:t>
            </w:r>
          </w:p>
        </w:tc>
        <w:tc>
          <w:tcPr>
            <w:tcW w:type="dxa" w:w="3700"/>
            <w:tcBorders>
              <w:top w:val="single" w:color="CBD5E1" w:sz="1"/>
              <w:left w:val="single" w:color="CBD5E1" w:sz="1"/>
              <w:bottom w:val="single" w:color="CBD5E1" w:sz="1"/>
              <w:right w:val="single" w:color="CBD5E1" w:sz="1"/>
            </w:tcBorders>
            <w:shd w:fill="0F172A" w:val="clear"/>
            <w:tcMar>
              <w:top w:type="dxa" w:w="80"/>
              <w:left w:type="dxa" w:w="110"/>
              <w:bottom w:type="dxa" w:w="80"/>
              <w:right w:type="dxa" w:w="110"/>
            </w:tcMar>
          </w:tcPr>
          <w:p>
            <w:r>
              <w:rPr>
                <w:rFonts w:ascii="Arial" w:cs="Arial" w:eastAsia="Arial" w:hAnsi="Arial"/>
                <w:b/>
                <w:bCs/>
                <w:color w:val="FFFFFF"/>
                <w:sz w:val="18"/>
                <w:szCs w:val="18"/>
              </w:rPr>
              <w:t xml:space="preserve">Scenario to model</w:t>
            </w:r>
          </w:p>
        </w:tc>
        <w:tc>
          <w:tcPr>
            <w:tcW w:type="dxa" w:w="4240"/>
            <w:tcBorders>
              <w:top w:val="single" w:color="CBD5E1" w:sz="1"/>
              <w:left w:val="single" w:color="CBD5E1" w:sz="1"/>
              <w:bottom w:val="single" w:color="CBD5E1" w:sz="1"/>
              <w:right w:val="single" w:color="CBD5E1" w:sz="1"/>
            </w:tcBorders>
            <w:shd w:fill="0F172A" w:val="clear"/>
            <w:tcMar>
              <w:top w:type="dxa" w:w="80"/>
              <w:left w:type="dxa" w:w="110"/>
              <w:bottom w:type="dxa" w:w="80"/>
              <w:right w:type="dxa" w:w="110"/>
            </w:tcMar>
          </w:tcPr>
          <w:p>
            <w:r>
              <w:rPr>
                <w:rFonts w:ascii="Arial" w:cs="Arial" w:eastAsia="Arial" w:hAnsi="Arial"/>
                <w:b/>
                <w:bCs/>
                <w:color w:val="FFFFFF"/>
                <w:sz w:val="18"/>
                <w:szCs w:val="18"/>
              </w:rPr>
              <w:t xml:space="preserve">Must include</w:t>
            </w:r>
          </w:p>
        </w:tc>
      </w:tr>
      <w:tr>
        <w:tc>
          <w:tcPr>
            <w:tcW w:type="dxa" w:w="1420"/>
            <w:tcBorders>
              <w:top w:val="single" w:color="CBD5E1" w:sz="1"/>
              <w:left w:val="single" w:color="CBD5E1" w:sz="1"/>
              <w:bottom w:val="single" w:color="CBD5E1" w:sz="1"/>
              <w:right w:val="single" w:color="CBD5E1" w:sz="1"/>
            </w:tcBorders>
            <w:shd w:fill="EFF6FF" w:val="clear"/>
            <w:tcMar>
              <w:top w:type="dxa" w:w="80"/>
              <w:left w:type="dxa" w:w="110"/>
              <w:bottom w:type="dxa" w:w="80"/>
              <w:right w:type="dxa" w:w="110"/>
            </w:tcMar>
          </w:tcPr>
          <w:p>
            <w:r>
              <w:rPr>
                <w:rFonts w:ascii="Arial" w:cs="Arial" w:eastAsia="Arial" w:hAnsi="Arial"/>
                <w:b/>
                <w:bCs/>
                <w:color w:val="1E40AF"/>
                <w:sz w:val="18"/>
                <w:szCs w:val="18"/>
              </w:rPr>
              <w:t xml:space="preserve">Class</w:t>
            </w:r>
          </w:p>
        </w:tc>
        <w:tc>
          <w:tcPr>
            <w:tcW w:type="dxa" w:w="37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color w:val="1E293B"/>
                <w:sz w:val="18"/>
                <w:szCs w:val="18"/>
              </w:rPr>
              <w:t xml:space="preserve">The full class structure of inventory-service</w:t>
            </w:r>
          </w:p>
        </w:tc>
        <w:tc>
          <w:tcPr>
            <w:tcW w:type="dxa" w:w="424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color w:val="475569"/>
                <w:sz w:val="17"/>
                <w:szCs w:val="17"/>
              </w:rPr>
              <w:t xml:space="preserve">All 12 classes with stereotypes. InventoryService → InventoryRepository (uses), → ReservationRepository (uses), → StockEventProducer (uses), → ProductClient (uses). Inventory has-many StockReservation (1..*). @Lock annotation visible as a note on findByProductIdForUpdate. ReservationExpiryJob → InventoryService (calls). ProductClient shown as «feign client» calling product-service (external boundary box).</w:t>
            </w:r>
          </w:p>
        </w:tc>
      </w:tr>
      <w:tr>
        <w:tc>
          <w:tcPr>
            <w:tcW w:type="dxa" w:w="1420"/>
            <w:tcBorders>
              <w:top w:val="single" w:color="CBD5E1" w:sz="1"/>
              <w:left w:val="single" w:color="CBD5E1" w:sz="1"/>
              <w:bottom w:val="single" w:color="CBD5E1" w:sz="1"/>
              <w:right w:val="single" w:color="CBD5E1" w:sz="1"/>
            </w:tcBorders>
            <w:shd w:fill="ECFDF5" w:val="clear"/>
            <w:tcMar>
              <w:top w:type="dxa" w:w="80"/>
              <w:left w:type="dxa" w:w="110"/>
              <w:bottom w:type="dxa" w:w="80"/>
              <w:right w:type="dxa" w:w="110"/>
            </w:tcMar>
          </w:tcPr>
          <w:p>
            <w:r>
              <w:rPr>
                <w:rFonts w:ascii="Arial" w:cs="Arial" w:eastAsia="Arial" w:hAnsi="Arial"/>
                <w:b/>
                <w:bCs/>
                <w:color w:val="065F46"/>
                <w:sz w:val="18"/>
                <w:szCs w:val="18"/>
              </w:rPr>
              <w:t xml:space="preserve">Sequence</w:t>
            </w:r>
          </w:p>
        </w:tc>
        <w:tc>
          <w:tcPr>
            <w:tcW w:type="dxa" w:w="37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color w:val="1E293B"/>
                <w:sz w:val="18"/>
                <w:szCs w:val="18"/>
              </w:rPr>
              <w:t xml:space="preserve">POST /inventory/reserve — order-service reserves 3 units. Show the pessimistic lock, the insufficient-stock error alt frame, and the STOCK_LOW event.</w:t>
            </w:r>
          </w:p>
        </w:tc>
        <w:tc>
          <w:tcPr>
            <w:tcW w:type="dxa" w:w="424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color w:val="475569"/>
                <w:sz w:val="17"/>
                <w:szCs w:val="17"/>
              </w:rPr>
              <w:t xml:space="preserve">Lifelines: order-service, InventoryController, InventoryService, InventoryRepository, StockEventProducer. Alt frame 1: ProductClient.existsById returns false → 404. Alt frame 2: availableQty &lt; requested qty → 409 INSUFFICIENT_STOCK (no lock released, transaction rolled back). Happy path: SELECT FOR UPDATE (note on repo call), decrement availableQty, save StockReservation, conditionally call StockEventProducer.publishStockLow(), return 200 with reservationId.</w:t>
            </w:r>
          </w:p>
        </w:tc>
      </w:tr>
      <w:tr>
        <w:tc>
          <w:tcPr>
            <w:tcW w:type="dxa" w:w="1420"/>
            <w:tcBorders>
              <w:top w:val="single" w:color="CBD5E1" w:sz="1"/>
              <w:left w:val="single" w:color="CBD5E1" w:sz="1"/>
              <w:bottom w:val="single" w:color="CBD5E1" w:sz="1"/>
              <w:right w:val="single" w:color="CBD5E1" w:sz="1"/>
            </w:tcBorders>
            <w:shd w:fill="FFFBEB" w:val="clear"/>
            <w:tcMar>
              <w:top w:type="dxa" w:w="80"/>
              <w:left w:type="dxa" w:w="110"/>
              <w:bottom w:type="dxa" w:w="80"/>
              <w:right w:type="dxa" w:w="110"/>
            </w:tcMar>
          </w:tcPr>
          <w:p>
            <w:r>
              <w:rPr>
                <w:rFonts w:ascii="Arial" w:cs="Arial" w:eastAsia="Arial" w:hAnsi="Arial"/>
                <w:b/>
                <w:bCs/>
                <w:color w:val="78350F"/>
                <w:sz w:val="18"/>
                <w:szCs w:val="18"/>
              </w:rPr>
              <w:t xml:space="preserve">Activity</w:t>
            </w:r>
          </w:p>
        </w:tc>
        <w:tc>
          <w:tcPr>
            <w:tcW w:type="dxa" w:w="37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color w:val="1E293B"/>
                <w:sz w:val="18"/>
                <w:szCs w:val="18"/>
              </w:rPr>
              <w:t xml:space="preserve">The full reserve() business process AND the scheduler expiry flow</w:t>
            </w:r>
          </w:p>
        </w:tc>
        <w:tc>
          <w:tcPr>
            <w:tcW w:type="dxa" w:w="424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color w:val="475569"/>
                <w:sz w:val="17"/>
                <w:szCs w:val="17"/>
              </w:rPr>
              <w:t xml:space="preserve">3 swim lanes: InventoryService, InventoryRepository, Kafka/Scheduler. Part 1 — reserve: Decision 1: productId valid? No → 404. SELECT FOR UPDATE. Decision 2: availableQty &gt;= qty? No → 409. Decrement qty. Save StockReservation (status=RESERVED, expiresAt=now+15min). Decision 3: availableQty &lt; threshold? Yes → publish STOCK_LOW. Part 2 — scheduler: @Scheduled fires. findExpiredReservations(). For each expired reservation: set status=RELEASED, restore availableQty. Fork/join for batch processing multiple expired reservations.</w:t>
            </w:r>
          </w:p>
        </w:tc>
      </w:tr>
      <w:tr>
        <w:tc>
          <w:tcPr>
            <w:tcW w:type="dxa" w:w="1420"/>
            <w:tcBorders>
              <w:top w:val="single" w:color="CBD5E1" w:sz="1"/>
              <w:left w:val="single" w:color="CBD5E1" w:sz="1"/>
              <w:bottom w:val="single" w:color="CBD5E1" w:sz="1"/>
              <w:right w:val="single" w:color="CBD5E1" w:sz="1"/>
            </w:tcBorders>
            <w:shd w:fill="F5F3FF" w:val="clear"/>
            <w:tcMar>
              <w:top w:type="dxa" w:w="80"/>
              <w:left w:type="dxa" w:w="110"/>
              <w:bottom w:type="dxa" w:w="80"/>
              <w:right w:type="dxa" w:w="110"/>
            </w:tcMar>
          </w:tcPr>
          <w:p>
            <w:r>
              <w:rPr>
                <w:rFonts w:ascii="Arial" w:cs="Arial" w:eastAsia="Arial" w:hAnsi="Arial"/>
                <w:b/>
                <w:bCs/>
                <w:color w:val="4C1D95"/>
                <w:sz w:val="18"/>
                <w:szCs w:val="18"/>
              </w:rPr>
              <w:t xml:space="preserve">ERD</w:t>
            </w:r>
          </w:p>
        </w:tc>
        <w:tc>
          <w:tcPr>
            <w:tcW w:type="dxa" w:w="37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color w:val="1E293B"/>
                <w:sz w:val="18"/>
                <w:szCs w:val="18"/>
              </w:rPr>
              <w:t xml:space="preserve">Both tables: inventory and stock_reservations</w:t>
            </w:r>
          </w:p>
        </w:tc>
        <w:tc>
          <w:tcPr>
            <w:tcW w:type="dxa" w:w="424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color w:val="475569"/>
                <w:sz w:val="17"/>
                <w:szCs w:val="17"/>
              </w:rPr>
              <w:t xml:space="preserve">inventory table: id (UUID PK), product_id (UUID UNIQUE, label "logical FK → product-service"), available_qty (INT NOT NULL CHECK &gt;= 0), reserved_qty (INT DEFAULT 0), sold_qty (INT DEFAULT 0), low_stock_threshold (INT DEFAULT 5), created_at, updated_at. stock_reservations table: id (UUID PK), inventory_id (UUID FK → inventory.id — this IS a physical FK within the same database), order_id (UUID label "logical FK → order-service"), qty (INT NOT NULL), status (VARCHAR NOT NULL), expires_at (TIMESTAMP NOT NULL), created_at. Relationship: inventory ||--o{ stock_reservations with crow's foot one-to-many notation.</w:t>
            </w:r>
          </w:p>
        </w:tc>
      </w:tr>
    </w:tbl>
    <w:p>
      <w:pPr>
        <w:spacing w:before="30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shd w:fill="BE123A" w:val="clear"/>
            <w:tcMar>
              <w:top w:type="dxa" w:w="180"/>
              <w:left w:type="dxa" w:w="240"/>
              <w:bottom w:type="dxa" w:w="180"/>
              <w:right w:type="dxa" w:w="240"/>
            </w:tcMar>
          </w:tcPr>
          <w:p>
            <w:pPr>
              <w:spacing w:before="0" w:after="60"/>
            </w:pPr>
            <w:r>
              <w:rPr>
                <w:rFonts w:ascii="Arial" w:cs="Arial" w:eastAsia="Arial" w:hAnsi="Arial"/>
                <w:b/>
                <w:bCs/>
                <w:color w:val="FFFFFF"/>
                <w:sz w:val="30"/>
                <w:szCs w:val="30"/>
              </w:rPr>
              <w:t xml:space="preserve">wallet-service</w:t>
            </w:r>
          </w:p>
          <w:p>
            <w:pPr>
              <w:spacing w:before="0" w:after="0"/>
            </w:pPr>
            <w:r>
              <w:rPr>
                <w:rFonts w:ascii="Arial" w:cs="Arial" w:eastAsia="Arial" w:hAnsi="Arial"/>
                <w:color w:val="BFDBFE"/>
                <w:sz w:val="18"/>
                <w:szCs w:val="18"/>
              </w:rPr>
              <w:t xml:space="preserve">Spring Boot 3  ·  Spring Data JPA  ·  PostgreSQL  ·  Kafka</w:t>
            </w:r>
          </w:p>
        </w:tc>
        <w:tc>
          <w:tcPr>
            <w:tcW w:type="dxa" w:w="2560"/>
            <w:tcBorders>
              <w:top w:val="none" w:color="FFFFFF" w:sz="0"/>
              <w:left w:val="none" w:color="FFFFFF" w:sz="0"/>
              <w:bottom w:val="none" w:color="FFFFFF" w:sz="0"/>
              <w:right w:val="none" w:color="FFFFFF" w:sz="0"/>
            </w:tcBorders>
            <w:shd w:fill="BE123A" w:val="clear"/>
            <w:tcMar>
              <w:top w:type="dxa" w:w="180"/>
              <w:left w:type="dxa" w:w="240"/>
              <w:bottom w:type="dxa" w:w="180"/>
              <w:right w:type="dxa" w:w="240"/>
            </w:tcMar>
            <w:vAlign w:val="center"/>
          </w:tcPr>
          <w:p>
            <w:pPr>
              <w:jc w:val="right"/>
            </w:pPr>
            <w:r>
              <w:rPr>
                <w:rFonts w:ascii="Arial" w:cs="Arial" w:eastAsia="Arial" w:hAnsi="Arial"/>
                <w:b/>
                <w:bCs/>
                <w:color w:val="BFDBFE"/>
                <w:sz w:val="19"/>
                <w:szCs w:val="19"/>
              </w:rPr>
              <w:t xml:space="preserve">Week 3  ·  Financial service design</w:t>
            </w:r>
          </w:p>
        </w:tc>
      </w:tr>
    </w:tbl>
    <w:p>
      <w:pPr>
        <w:spacing w:before="120" w:after="0"/>
      </w:pPr>
      <w:r>
        <w:rPr>
          <w:rFonts w:ascii="Arial" w:cs="Arial" w:eastAsia="Arial" w:hAnsi="Arial"/>
        </w:rPr>
        <w:t xml:space="preserve"/>
      </w:r>
    </w:p>
    <w:p>
      <w:pPr>
        <w:pStyle w:val="Heading2"/>
        <w:spacing w:before="300" w:after="120"/>
      </w:pPr>
      <w:r>
        <w:rPr>
          <w:rFonts w:ascii="Arial" w:cs="Arial" w:eastAsia="Arial" w:hAnsi="Arial"/>
          <w:b/>
          <w:bCs/>
          <w:color w:val="BE123A"/>
          <w:sz w:val="26"/>
          <w:szCs w:val="26"/>
        </w:rPr>
        <w:t xml:space="preserve">3.7  Background</w:t>
      </w:r>
    </w:p>
    <w:p>
      <w:pPr>
        <w:spacing w:before="60" w:after="80"/>
        <w:jc w:val="both"/>
      </w:pPr>
      <w:r>
        <w:rPr>
          <w:rFonts w:ascii="Arial" w:cs="Arial" w:eastAsia="Arial" w:hAnsi="Arial"/>
          <w:color w:val="1E293B"/>
          <w:sz w:val="21"/>
          <w:szCs w:val="21"/>
        </w:rPr>
        <w:t xml:space="preserve">wallet-service is the most financially critical service in ShopFlow. It stores user balances, processes payments triggered by Kafka events from order-service, and publishes payment outcomes back to Kafka for order-service and notification-service to consume. Every design decision in this service has a financial consequence — overselling is bad, but letting a user pay twice for the same order would be catastrophic.</w:t>
      </w:r>
    </w:p>
    <w:p>
      <w:pPr>
        <w:spacing w:before="80" w:after="0"/>
      </w:pPr>
      <w:r>
        <w:rPr>
          <w:rFonts w:ascii="Arial" w:cs="Arial" w:eastAsia="Arial" w:hAnsi="Arial"/>
        </w:rPr>
        <w:t xml:space="preserve"/>
      </w:r>
    </w:p>
    <w:p>
      <w:pPr>
        <w:spacing w:before="60" w:after="80"/>
        <w:jc w:val="both"/>
      </w:pPr>
      <w:r>
        <w:rPr>
          <w:rFonts w:ascii="Arial" w:cs="Arial" w:eastAsia="Arial" w:hAnsi="Arial"/>
          <w:color w:val="1E293B"/>
          <w:sz w:val="21"/>
          <w:szCs w:val="21"/>
        </w:rPr>
        <w:t xml:space="preserve">This service introduces three critical design patterns that your diagrams must show clearly: (1) idempotency — every payment deduction carries an orderId as a unique reference; the service must check whether this reference has already been processed before doing anything. (2) Pessimistic locking — the balance field is read and written inside a transaction with a SELECT FOR UPDATE to prevent two concurrent deductions from both seeing a sufficient balance and both proceeding. (3) The immutable ledger — WalletTransaction records are never updated or deleted; they are append-only with a balanceBefore and balanceAfter snapshot so the full history of every balance change is auditable.</w:t>
      </w:r>
    </w:p>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1"/>
              <w:bottom w:val="single" w:color="0EA5E9" w:sz="1"/>
              <w:right w:val="single" w:color="0EA5E9" w:sz="1"/>
            </w:tcBorders>
            <w:shd w:fill="FFE4E6" w:val="clear"/>
            <w:tcMar>
              <w:top w:type="dxa" w:w="140"/>
              <w:left w:type="dxa" w:w="200"/>
              <w:bottom w:type="dxa" w:w="140"/>
              <w:right w:type="dxa" w:w="200"/>
            </w:tcMar>
          </w:tcPr>
          <w:p>
            <w:pPr>
              <w:spacing w:before="0" w:after="60"/>
            </w:pPr>
            <w:r>
              <w:rPr>
                <w:rFonts w:ascii="Arial" w:cs="Arial" w:eastAsia="Arial" w:hAnsi="Arial"/>
                <w:b/>
                <w:bCs/>
                <w:color w:val="BE123A"/>
                <w:sz w:val="19"/>
                <w:szCs w:val="19"/>
              </w:rPr>
              <w:t xml:space="preserve">Three patterns your diagrams must show</w:t>
            </w:r>
          </w:p>
          <w:p>
            <w:pPr>
              <w:spacing w:before="0" w:after="40"/>
            </w:pPr>
            <w:r>
              <w:rPr>
                <w:rFonts w:ascii="Arial" w:cs="Arial" w:eastAsia="Arial" w:hAnsi="Arial"/>
                <w:color w:val="1E293B"/>
                <w:sz w:val="20"/>
                <w:szCs w:val="20"/>
              </w:rPr>
              <w:t xml:space="preserve">Idempotency guard: before any deduction, check TransactionRepository.existsByReference(orderId). If true, return without processing — the same payment has already been handled (Kafka may redeliver messages on retry).</w:t>
            </w:r>
          </w:p>
          <w:p>
            <w:pPr>
              <w:spacing w:before="0" w:after="40"/>
            </w:pPr>
            <w:r>
              <w:rPr>
                <w:rFonts w:ascii="Arial" w:cs="Arial" w:eastAsia="Arial" w:hAnsi="Arial"/>
                <w:color w:val="1E293B"/>
                <w:sz w:val="20"/>
                <w:szCs w:val="20"/>
              </w:rPr>
              <w:t xml:space="preserve">Pessimistic lock: WalletRepository.findByUserIdForUpdate() uses @Lock(PESSIMISTIC_WRITE). This ensures two concurrent deductions for the same user cannot both read the same balance and both proceed — the second waits for the first to commit.</w:t>
            </w:r>
          </w:p>
          <w:p>
            <w:pPr>
              <w:spacing w:before="0" w:after="40"/>
            </w:pPr>
            <w:r>
              <w:rPr>
                <w:rFonts w:ascii="Arial" w:cs="Arial" w:eastAsia="Arial" w:hAnsi="Arial"/>
                <w:color w:val="1E293B"/>
                <w:sz w:val="20"/>
                <w:szCs w:val="20"/>
              </w:rPr>
              <w:t xml:space="preserve">Immutable ledger: WalletTransaction has a createdAt field but NO updatedAt field. Transactions are insert-only. The balance_before and balance_after columns create an auditable chain of every balance change.</w:t>
            </w:r>
          </w:p>
        </w:tc>
      </w:tr>
    </w:tbl>
    <w:p>
      <w:pPr>
        <w:spacing w:before="160" w:after="0"/>
      </w:pPr>
      <w:r>
        <w:rPr>
          <w:rFonts w:ascii="Arial" w:cs="Arial" w:eastAsia="Arial" w:hAnsi="Arial"/>
        </w:rPr>
        <w:t xml:space="preserve"/>
      </w:r>
    </w:p>
    <w:p>
      <w:pPr>
        <w:pStyle w:val="Heading2"/>
        <w:spacing w:before="300" w:after="120"/>
      </w:pPr>
      <w:r>
        <w:rPr>
          <w:rFonts w:ascii="Arial" w:cs="Arial" w:eastAsia="Arial" w:hAnsi="Arial"/>
          <w:b/>
          <w:bCs/>
          <w:color w:val="1E293B"/>
          <w:sz w:val="26"/>
          <w:szCs w:val="26"/>
        </w:rPr>
        <w:t xml:space="preserve">3.8  Entities &amp; classes to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60"/>
        <w:gridCol w:w="5800"/>
      </w:tblGrid>
      <w:tr>
        <w:tc>
          <w:tcPr>
            <w:tcW w:type="dxa" w:w="2300"/>
            <w:tcBorders>
              <w:top w:val="single" w:color="CBD5E1" w:sz="1"/>
              <w:left w:val="single" w:color="CBD5E1" w:sz="1"/>
              <w:bottom w:val="single" w:color="CBD5E1" w:sz="1"/>
              <w:right w:val="single" w:color="CBD5E1" w:sz="1"/>
            </w:tcBorders>
            <w:shd w:fill="1E2761" w:val="clear"/>
            <w:tcMar>
              <w:top w:type="dxa" w:w="80"/>
              <w:left w:type="dxa" w:w="110"/>
              <w:bottom w:type="dxa" w:w="80"/>
              <w:right w:type="dxa" w:w="110"/>
            </w:tcMar>
          </w:tcPr>
          <w:p>
            <w:r>
              <w:rPr>
                <w:rFonts w:ascii="Arial" w:cs="Arial" w:eastAsia="Arial" w:hAnsi="Arial"/>
                <w:b/>
                <w:bCs/>
                <w:color w:val="FFFFFF"/>
                <w:sz w:val="18"/>
                <w:szCs w:val="18"/>
              </w:rPr>
              <w:t xml:space="preserve">Entity / Class</w:t>
            </w:r>
          </w:p>
        </w:tc>
        <w:tc>
          <w:tcPr>
            <w:tcW w:type="dxa" w:w="1260"/>
            <w:tcBorders>
              <w:top w:val="single" w:color="CBD5E1" w:sz="1"/>
              <w:left w:val="single" w:color="CBD5E1" w:sz="1"/>
              <w:bottom w:val="single" w:color="CBD5E1" w:sz="1"/>
              <w:right w:val="single" w:color="CBD5E1" w:sz="1"/>
            </w:tcBorders>
            <w:shd w:fill="1E2761" w:val="clear"/>
            <w:tcMar>
              <w:top w:type="dxa" w:w="80"/>
              <w:left w:type="dxa" w:w="110"/>
              <w:bottom w:type="dxa" w:w="80"/>
              <w:right w:type="dxa" w:w="110"/>
            </w:tcMar>
          </w:tcPr>
          <w:p>
            <w:r>
              <w:rPr>
                <w:rFonts w:ascii="Arial" w:cs="Arial" w:eastAsia="Arial" w:hAnsi="Arial"/>
                <w:b/>
                <w:bCs/>
                <w:color w:val="FFFFFF"/>
                <w:sz w:val="18"/>
                <w:szCs w:val="18"/>
              </w:rPr>
              <w:t xml:space="preserve">Stereotype</w:t>
            </w:r>
          </w:p>
        </w:tc>
        <w:tc>
          <w:tcPr>
            <w:tcW w:type="dxa" w:w="5800"/>
            <w:tcBorders>
              <w:top w:val="single" w:color="CBD5E1" w:sz="1"/>
              <w:left w:val="single" w:color="CBD5E1" w:sz="1"/>
              <w:bottom w:val="single" w:color="CBD5E1" w:sz="1"/>
              <w:right w:val="single" w:color="CBD5E1" w:sz="1"/>
            </w:tcBorders>
            <w:shd w:fill="1E2761" w:val="clear"/>
            <w:tcMar>
              <w:top w:type="dxa" w:w="80"/>
              <w:left w:type="dxa" w:w="110"/>
              <w:bottom w:type="dxa" w:w="80"/>
              <w:right w:type="dxa" w:w="110"/>
            </w:tcMar>
          </w:tcPr>
          <w:p>
            <w:r>
              <w:rPr>
                <w:rFonts w:ascii="Arial" w:cs="Arial" w:eastAsia="Arial" w:hAnsi="Arial"/>
                <w:b/>
                <w:bCs/>
                <w:color w:val="FFFFFF"/>
                <w:sz w:val="18"/>
                <w:szCs w:val="18"/>
              </w:rPr>
              <w:t xml:space="preserve">Key responsibilities</w:t>
            </w:r>
          </w:p>
        </w:tc>
      </w:tr>
      <w:tr>
        <w:tc>
          <w:tcPr>
            <w:tcW w:type="dxa" w:w="2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Courier New" w:cs="Courier New" w:eastAsia="Courier New" w:hAnsi="Courier New"/>
                <w:color w:val="0EA5E9"/>
                <w:sz w:val="18"/>
                <w:szCs w:val="18"/>
              </w:rPr>
              <w:t xml:space="preserve">WalletController</w:t>
            </w:r>
          </w:p>
        </w:tc>
        <w:tc>
          <w:tcPr>
            <w:tcW w:type="dxa" w:w="12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b/>
                <w:bCs/>
                <w:color w:val="475569"/>
                <w:sz w:val="17"/>
                <w:szCs w:val="17"/>
              </w:rPr>
              <w:t xml:space="preserve">«controller»</w:t>
            </w:r>
          </w:p>
        </w:tc>
        <w:tc>
          <w:tcPr>
            <w:tcW w:type="dxa" w:w="5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E293B"/>
                <w:sz w:val="18"/>
                <w:szCs w:val="18"/>
              </w:rPr>
              <w:t xml:space="preserve">POST /wallets/fund (add funds), GET /wallets/balance (get balance), GET /wallets/transactions (paginated history), POST /wallets/transfer (P2P transfer). All endpoints require a valid X-User-Id header injected by the API Gateway.</w:t>
            </w:r>
          </w:p>
        </w:tc>
      </w:tr>
      <w:tr>
        <w:tc>
          <w:tcPr>
            <w:tcW w:type="dxa" w:w="23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Courier New" w:cs="Courier New" w:eastAsia="Courier New" w:hAnsi="Courier New"/>
                <w:color w:val="0EA5E9"/>
                <w:sz w:val="18"/>
                <w:szCs w:val="18"/>
              </w:rPr>
              <w:t xml:space="preserve">WalletService</w:t>
            </w:r>
          </w:p>
        </w:tc>
        <w:tc>
          <w:tcPr>
            <w:tcW w:type="dxa" w:w="12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Arial" w:cs="Arial" w:eastAsia="Arial" w:hAnsi="Arial"/>
                <w:b/>
                <w:bCs/>
                <w:color w:val="475569"/>
                <w:sz w:val="17"/>
                <w:szCs w:val="17"/>
              </w:rPr>
              <w:t xml:space="preserve">«service»</w:t>
            </w:r>
          </w:p>
        </w:tc>
        <w:tc>
          <w:tcPr>
            <w:tcW w:type="dxa" w:w="58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Arial" w:cs="Arial" w:eastAsia="Arial" w:hAnsi="Arial"/>
                <w:color w:val="1E293B"/>
                <w:sz w:val="18"/>
                <w:szCs w:val="18"/>
              </w:rPr>
              <w:t xml:space="preserve">@Transactional methods: deductBalance(userId, amount, reference), fundWallet(userId, amount, reference), transfer(fromUserId, toUserId, amount). All mutating methods call checkIdempotency(reference) first. deductBalance and fundWallet call findByUserIdForUpdate() to acquire the pessimistic lock before reading or modifying the balance.</w:t>
            </w:r>
          </w:p>
        </w:tc>
      </w:tr>
      <w:tr>
        <w:tc>
          <w:tcPr>
            <w:tcW w:type="dxa" w:w="2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Courier New" w:cs="Courier New" w:eastAsia="Courier New" w:hAnsi="Courier New"/>
                <w:color w:val="0EA5E9"/>
                <w:sz w:val="18"/>
                <w:szCs w:val="18"/>
              </w:rPr>
              <w:t xml:space="preserve">WalletRepository</w:t>
            </w:r>
          </w:p>
        </w:tc>
        <w:tc>
          <w:tcPr>
            <w:tcW w:type="dxa" w:w="12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b/>
                <w:bCs/>
                <w:color w:val="475569"/>
                <w:sz w:val="17"/>
                <w:szCs w:val="17"/>
              </w:rPr>
              <w:t xml:space="preserve">«repository»</w:t>
            </w:r>
          </w:p>
        </w:tc>
        <w:tc>
          <w:tcPr>
            <w:tcW w:type="dxa" w:w="5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E293B"/>
                <w:sz w:val="18"/>
                <w:szCs w:val="18"/>
              </w:rPr>
              <w:t xml:space="preserve">findByUserId(userId). findByUserIdForUpdate(userId) — annotated with @Lock(PESSIMISTIC_WRITE). This is the lock that prevents concurrent overdrafts. Both return Optional&lt;Wallet&gt;.</w:t>
            </w:r>
          </w:p>
        </w:tc>
      </w:tr>
      <w:tr>
        <w:tc>
          <w:tcPr>
            <w:tcW w:type="dxa" w:w="23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Courier New" w:cs="Courier New" w:eastAsia="Courier New" w:hAnsi="Courier New"/>
                <w:color w:val="0EA5E9"/>
                <w:sz w:val="18"/>
                <w:szCs w:val="18"/>
              </w:rPr>
              <w:t xml:space="preserve">TransactionRepository</w:t>
            </w:r>
          </w:p>
        </w:tc>
        <w:tc>
          <w:tcPr>
            <w:tcW w:type="dxa" w:w="12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Arial" w:cs="Arial" w:eastAsia="Arial" w:hAnsi="Arial"/>
                <w:b/>
                <w:bCs/>
                <w:color w:val="475569"/>
                <w:sz w:val="17"/>
                <w:szCs w:val="17"/>
              </w:rPr>
              <w:t xml:space="preserve">«repository»</w:t>
            </w:r>
          </w:p>
        </w:tc>
        <w:tc>
          <w:tcPr>
            <w:tcW w:type="dxa" w:w="58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Arial" w:cs="Arial" w:eastAsia="Arial" w:hAnsi="Arial"/>
                <w:color w:val="1E293B"/>
                <w:sz w:val="18"/>
                <w:szCs w:val="18"/>
              </w:rPr>
              <w:t xml:space="preserve">findByWalletIdOrderByCreatedAtDesc(walletId, pageable). existsByReference(reference) — the idempotency check. save(WalletTransaction).</w:t>
            </w:r>
          </w:p>
        </w:tc>
      </w:tr>
      <w:tr>
        <w:tc>
          <w:tcPr>
            <w:tcW w:type="dxa" w:w="2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Courier New" w:cs="Courier New" w:eastAsia="Courier New" w:hAnsi="Courier New"/>
                <w:color w:val="0EA5E9"/>
                <w:sz w:val="18"/>
                <w:szCs w:val="18"/>
              </w:rPr>
              <w:t xml:space="preserve">Wallet</w:t>
            </w:r>
          </w:p>
        </w:tc>
        <w:tc>
          <w:tcPr>
            <w:tcW w:type="dxa" w:w="12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b/>
                <w:bCs/>
                <w:color w:val="475569"/>
                <w:sz w:val="17"/>
                <w:szCs w:val="17"/>
              </w:rPr>
              <w:t xml:space="preserve">«entity»</w:t>
            </w:r>
          </w:p>
        </w:tc>
        <w:tc>
          <w:tcPr>
            <w:tcW w:type="dxa" w:w="5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E293B"/>
                <w:sz w:val="18"/>
                <w:szCs w:val="18"/>
              </w:rPr>
              <w:t xml:space="preserve">id (UUID), userId (UUID UNIQUE — logical FK cross-service), balance (Long in kobo, CHECK &gt;= 0), currency (String DEFAULT NGN), isActive (Boolean DEFAULT true), version (Long — used by Spring's optimistic lock as a fallback), createdAt, updatedAt.</w:t>
            </w:r>
          </w:p>
        </w:tc>
      </w:tr>
      <w:tr>
        <w:tc>
          <w:tcPr>
            <w:tcW w:type="dxa" w:w="23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Courier New" w:cs="Courier New" w:eastAsia="Courier New" w:hAnsi="Courier New"/>
                <w:color w:val="0EA5E9"/>
                <w:sz w:val="18"/>
                <w:szCs w:val="18"/>
              </w:rPr>
              <w:t xml:space="preserve">WalletTransaction</w:t>
            </w:r>
          </w:p>
        </w:tc>
        <w:tc>
          <w:tcPr>
            <w:tcW w:type="dxa" w:w="12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Arial" w:cs="Arial" w:eastAsia="Arial" w:hAnsi="Arial"/>
                <w:b/>
                <w:bCs/>
                <w:color w:val="475569"/>
                <w:sz w:val="17"/>
                <w:szCs w:val="17"/>
              </w:rPr>
              <w:t xml:space="preserve">«entity»</w:t>
            </w:r>
          </w:p>
        </w:tc>
        <w:tc>
          <w:tcPr>
            <w:tcW w:type="dxa" w:w="58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Arial" w:cs="Arial" w:eastAsia="Arial" w:hAnsi="Arial"/>
                <w:color w:val="1E293B"/>
                <w:sz w:val="18"/>
                <w:szCs w:val="18"/>
              </w:rPr>
              <w:t xml:space="preserve">id (UUID), walletId (UUID FK → wallets.id — physical FK within same DB), type (TransactionType enum), amount (Long &gt; 0), balanceBefore (Long), balanceAfter (Long), reference (String UNIQUE — the idempotency key), description (String nullable), createdAt ONLY — NO updatedAt field (immutable ledger record).</w:t>
            </w:r>
          </w:p>
        </w:tc>
      </w:tr>
      <w:tr>
        <w:tc>
          <w:tcPr>
            <w:tcW w:type="dxa" w:w="2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Courier New" w:cs="Courier New" w:eastAsia="Courier New" w:hAnsi="Courier New"/>
                <w:color w:val="0EA5E9"/>
                <w:sz w:val="18"/>
                <w:szCs w:val="18"/>
              </w:rPr>
              <w:t xml:space="preserve">TransactionType</w:t>
            </w:r>
          </w:p>
        </w:tc>
        <w:tc>
          <w:tcPr>
            <w:tcW w:type="dxa" w:w="12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b/>
                <w:bCs/>
                <w:color w:val="475569"/>
                <w:sz w:val="17"/>
                <w:szCs w:val="17"/>
              </w:rPr>
              <w:t xml:space="preserve">«enum»</w:t>
            </w:r>
          </w:p>
        </w:tc>
        <w:tc>
          <w:tcPr>
            <w:tcW w:type="dxa" w:w="5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E293B"/>
                <w:sz w:val="18"/>
                <w:szCs w:val="18"/>
              </w:rPr>
              <w:t xml:space="preserve">CREDIT (funds added), DEBIT (funds deducted for order payment), TRANSFER_IN (received from another user), TRANSFER_OUT (sent to another user).</w:t>
            </w:r>
          </w:p>
        </w:tc>
      </w:tr>
      <w:tr>
        <w:tc>
          <w:tcPr>
            <w:tcW w:type="dxa" w:w="23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Courier New" w:cs="Courier New" w:eastAsia="Courier New" w:hAnsi="Courier New"/>
                <w:color w:val="0EA5E9"/>
                <w:sz w:val="18"/>
                <w:szCs w:val="18"/>
              </w:rPr>
              <w:t xml:space="preserve">OrderEventConsumer</w:t>
            </w:r>
          </w:p>
        </w:tc>
        <w:tc>
          <w:tcPr>
            <w:tcW w:type="dxa" w:w="12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Arial" w:cs="Arial" w:eastAsia="Arial" w:hAnsi="Arial"/>
                <w:b/>
                <w:bCs/>
                <w:color w:val="475569"/>
                <w:sz w:val="17"/>
                <w:szCs w:val="17"/>
              </w:rPr>
              <w:t xml:space="preserve">«kafka listener»</w:t>
            </w:r>
          </w:p>
        </w:tc>
        <w:tc>
          <w:tcPr>
            <w:tcW w:type="dxa" w:w="58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Arial" w:cs="Arial" w:eastAsia="Arial" w:hAnsi="Arial"/>
                <w:color w:val="1E293B"/>
                <w:sz w:val="18"/>
                <w:szCs w:val="18"/>
              </w:rPr>
              <w:t xml:space="preserve">@KafkaListener(topics="ORDER_PLACED", groupId="wallet-group"). Receives OrderPlacedEvent payload. Extracts orderId as the idempotency reference. Calls WalletService.deductBalance(). Idempotency guard prevents duplicate processing on Kafka redelivery.</w:t>
            </w:r>
          </w:p>
        </w:tc>
      </w:tr>
      <w:tr>
        <w:tc>
          <w:tcPr>
            <w:tcW w:type="dxa" w:w="2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Courier New" w:cs="Courier New" w:eastAsia="Courier New" w:hAnsi="Courier New"/>
                <w:color w:val="0EA5E9"/>
                <w:sz w:val="18"/>
                <w:szCs w:val="18"/>
              </w:rPr>
              <w:t xml:space="preserve">PaymentEventProducer</w:t>
            </w:r>
          </w:p>
        </w:tc>
        <w:tc>
          <w:tcPr>
            <w:tcW w:type="dxa" w:w="12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b/>
                <w:bCs/>
                <w:color w:val="475569"/>
                <w:sz w:val="17"/>
                <w:szCs w:val="17"/>
              </w:rPr>
              <w:t xml:space="preserve">«kafka producer»</w:t>
            </w:r>
          </w:p>
        </w:tc>
        <w:tc>
          <w:tcPr>
            <w:tcW w:type="dxa" w:w="5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E293B"/>
                <w:sz w:val="18"/>
                <w:szCs w:val="18"/>
              </w:rPr>
              <w:t xml:space="preserve">publishCompleted(orderId, userId, amount, walletTransactionId) → writes to topic PAYMENT_COMPLETED. publishFailed(orderId, userId, reason) → writes to topic PAYMENT_FAILED. Both use orderId as the Kafka message key for ordering.</w:t>
            </w:r>
          </w:p>
        </w:tc>
      </w:tr>
      <w:tr>
        <w:tc>
          <w:tcPr>
            <w:tcW w:type="dxa" w:w="23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Courier New" w:cs="Courier New" w:eastAsia="Courier New" w:hAnsi="Courier New"/>
                <w:color w:val="0EA5E9"/>
                <w:sz w:val="18"/>
                <w:szCs w:val="18"/>
              </w:rPr>
              <w:t xml:space="preserve">FundWalletRequest</w:t>
            </w:r>
          </w:p>
        </w:tc>
        <w:tc>
          <w:tcPr>
            <w:tcW w:type="dxa" w:w="12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Arial" w:cs="Arial" w:eastAsia="Arial" w:hAnsi="Arial"/>
                <w:b/>
                <w:bCs/>
                <w:color w:val="475569"/>
                <w:sz w:val="17"/>
                <w:szCs w:val="17"/>
              </w:rPr>
              <w:t xml:space="preserve">«dto»</w:t>
            </w:r>
          </w:p>
        </w:tc>
        <w:tc>
          <w:tcPr>
            <w:tcW w:type="dxa" w:w="58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Arial" w:cs="Arial" w:eastAsia="Arial" w:hAnsi="Arial"/>
                <w:color w:val="1E293B"/>
                <w:sz w:val="18"/>
                <w:szCs w:val="18"/>
              </w:rPr>
              <w:t xml:space="preserve">amount (Long &gt; 0), currency (String). Requires X-Idempotency-Key header from the caller.</w:t>
            </w:r>
          </w:p>
        </w:tc>
      </w:tr>
      <w:tr>
        <w:tc>
          <w:tcPr>
            <w:tcW w:type="dxa" w:w="2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Courier New" w:cs="Courier New" w:eastAsia="Courier New" w:hAnsi="Courier New"/>
                <w:color w:val="0EA5E9"/>
                <w:sz w:val="18"/>
                <w:szCs w:val="18"/>
              </w:rPr>
              <w:t xml:space="preserve">BalanceResponse</w:t>
            </w:r>
          </w:p>
        </w:tc>
        <w:tc>
          <w:tcPr>
            <w:tcW w:type="dxa" w:w="12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b/>
                <w:bCs/>
                <w:color w:val="475569"/>
                <w:sz w:val="17"/>
                <w:szCs w:val="17"/>
              </w:rPr>
              <w:t xml:space="preserve">«dto»</w:t>
            </w:r>
          </w:p>
        </w:tc>
        <w:tc>
          <w:tcPr>
            <w:tcW w:type="dxa" w:w="5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E293B"/>
                <w:sz w:val="18"/>
                <w:szCs w:val="18"/>
              </w:rPr>
              <w:t xml:space="preserve">userId, balance (Long in kobo), currency, isActive.</w:t>
            </w:r>
          </w:p>
        </w:tc>
      </w:tr>
      <w:tr>
        <w:tc>
          <w:tcPr>
            <w:tcW w:type="dxa" w:w="23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Courier New" w:cs="Courier New" w:eastAsia="Courier New" w:hAnsi="Courier New"/>
                <w:color w:val="0EA5E9"/>
                <w:sz w:val="18"/>
                <w:szCs w:val="18"/>
              </w:rPr>
              <w:t xml:space="preserve">PaymentCompletedEvent</w:t>
            </w:r>
          </w:p>
        </w:tc>
        <w:tc>
          <w:tcPr>
            <w:tcW w:type="dxa" w:w="12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Arial" w:cs="Arial" w:eastAsia="Arial" w:hAnsi="Arial"/>
                <w:b/>
                <w:bCs/>
                <w:color w:val="475569"/>
                <w:sz w:val="17"/>
                <w:szCs w:val="17"/>
              </w:rPr>
              <w:t xml:space="preserve">«event»</w:t>
            </w:r>
          </w:p>
        </w:tc>
        <w:tc>
          <w:tcPr>
            <w:tcW w:type="dxa" w:w="58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rFonts w:ascii="Arial" w:cs="Arial" w:eastAsia="Arial" w:hAnsi="Arial"/>
                <w:color w:val="1E293B"/>
                <w:sz w:val="18"/>
                <w:szCs w:val="18"/>
              </w:rPr>
              <w:t xml:space="preserve">Kafka payload published on successful deduction: orderId, userId, amount, walletTransactionId, timestamp.</w:t>
            </w:r>
          </w:p>
        </w:tc>
      </w:tr>
    </w:tbl>
    <w:p>
      <w:pPr>
        <w:spacing w:before="160" w:after="0"/>
      </w:pPr>
      <w:r>
        <w:rPr>
          <w:rFonts w:ascii="Arial" w:cs="Arial" w:eastAsia="Arial" w:hAnsi="Arial"/>
        </w:rPr>
        <w:t xml:space="preserve"/>
      </w:r>
    </w:p>
    <w:p>
      <w:pPr>
        <w:pStyle w:val="Heading2"/>
        <w:spacing w:before="300" w:after="120"/>
      </w:pPr>
      <w:r>
        <w:rPr>
          <w:rFonts w:ascii="Arial" w:cs="Arial" w:eastAsia="Arial" w:hAnsi="Arial"/>
          <w:b/>
          <w:bCs/>
          <w:color w:val="1E293B"/>
          <w:sz w:val="26"/>
          <w:szCs w:val="26"/>
        </w:rPr>
        <w:t xml:space="preserve">3.9  Diagram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20"/>
        <w:gridCol w:w="3700"/>
        <w:gridCol w:w="4240"/>
      </w:tblGrid>
      <w:tr>
        <w:tc>
          <w:tcPr>
            <w:tcW w:type="dxa" w:w="1420"/>
            <w:tcBorders>
              <w:top w:val="single" w:color="CBD5E1" w:sz="1"/>
              <w:left w:val="single" w:color="CBD5E1" w:sz="1"/>
              <w:bottom w:val="single" w:color="CBD5E1" w:sz="1"/>
              <w:right w:val="single" w:color="CBD5E1" w:sz="1"/>
            </w:tcBorders>
            <w:shd w:fill="0F172A" w:val="clear"/>
            <w:tcMar>
              <w:top w:type="dxa" w:w="80"/>
              <w:left w:type="dxa" w:w="110"/>
              <w:bottom w:type="dxa" w:w="80"/>
              <w:right w:type="dxa" w:w="110"/>
            </w:tcMar>
          </w:tcPr>
          <w:p>
            <w:r>
              <w:rPr>
                <w:rFonts w:ascii="Arial" w:cs="Arial" w:eastAsia="Arial" w:hAnsi="Arial"/>
                <w:b/>
                <w:bCs/>
                <w:color w:val="FFFFFF"/>
                <w:sz w:val="18"/>
                <w:szCs w:val="18"/>
              </w:rPr>
              <w:t xml:space="preserve">Diagram</w:t>
            </w:r>
          </w:p>
        </w:tc>
        <w:tc>
          <w:tcPr>
            <w:tcW w:type="dxa" w:w="3700"/>
            <w:tcBorders>
              <w:top w:val="single" w:color="CBD5E1" w:sz="1"/>
              <w:left w:val="single" w:color="CBD5E1" w:sz="1"/>
              <w:bottom w:val="single" w:color="CBD5E1" w:sz="1"/>
              <w:right w:val="single" w:color="CBD5E1" w:sz="1"/>
            </w:tcBorders>
            <w:shd w:fill="0F172A" w:val="clear"/>
            <w:tcMar>
              <w:top w:type="dxa" w:w="80"/>
              <w:left w:type="dxa" w:w="110"/>
              <w:bottom w:type="dxa" w:w="80"/>
              <w:right w:type="dxa" w:w="110"/>
            </w:tcMar>
          </w:tcPr>
          <w:p>
            <w:r>
              <w:rPr>
                <w:rFonts w:ascii="Arial" w:cs="Arial" w:eastAsia="Arial" w:hAnsi="Arial"/>
                <w:b/>
                <w:bCs/>
                <w:color w:val="FFFFFF"/>
                <w:sz w:val="18"/>
                <w:szCs w:val="18"/>
              </w:rPr>
              <w:t xml:space="preserve">Scenario to model</w:t>
            </w:r>
          </w:p>
        </w:tc>
        <w:tc>
          <w:tcPr>
            <w:tcW w:type="dxa" w:w="4240"/>
            <w:tcBorders>
              <w:top w:val="single" w:color="CBD5E1" w:sz="1"/>
              <w:left w:val="single" w:color="CBD5E1" w:sz="1"/>
              <w:bottom w:val="single" w:color="CBD5E1" w:sz="1"/>
              <w:right w:val="single" w:color="CBD5E1" w:sz="1"/>
            </w:tcBorders>
            <w:shd w:fill="0F172A" w:val="clear"/>
            <w:tcMar>
              <w:top w:type="dxa" w:w="80"/>
              <w:left w:type="dxa" w:w="110"/>
              <w:bottom w:type="dxa" w:w="80"/>
              <w:right w:type="dxa" w:w="110"/>
            </w:tcMar>
          </w:tcPr>
          <w:p>
            <w:r>
              <w:rPr>
                <w:rFonts w:ascii="Arial" w:cs="Arial" w:eastAsia="Arial" w:hAnsi="Arial"/>
                <w:b/>
                <w:bCs/>
                <w:color w:val="FFFFFF"/>
                <w:sz w:val="18"/>
                <w:szCs w:val="18"/>
              </w:rPr>
              <w:t xml:space="preserve">Must include</w:t>
            </w:r>
          </w:p>
        </w:tc>
      </w:tr>
      <w:tr>
        <w:tc>
          <w:tcPr>
            <w:tcW w:type="dxa" w:w="1420"/>
            <w:tcBorders>
              <w:top w:val="single" w:color="CBD5E1" w:sz="1"/>
              <w:left w:val="single" w:color="CBD5E1" w:sz="1"/>
              <w:bottom w:val="single" w:color="CBD5E1" w:sz="1"/>
              <w:right w:val="single" w:color="CBD5E1" w:sz="1"/>
            </w:tcBorders>
            <w:shd w:fill="EFF6FF" w:val="clear"/>
            <w:tcMar>
              <w:top w:type="dxa" w:w="80"/>
              <w:left w:type="dxa" w:w="110"/>
              <w:bottom w:type="dxa" w:w="80"/>
              <w:right w:type="dxa" w:w="110"/>
            </w:tcMar>
          </w:tcPr>
          <w:p>
            <w:r>
              <w:rPr>
                <w:rFonts w:ascii="Arial" w:cs="Arial" w:eastAsia="Arial" w:hAnsi="Arial"/>
                <w:b/>
                <w:bCs/>
                <w:color w:val="1E40AF"/>
                <w:sz w:val="18"/>
                <w:szCs w:val="18"/>
              </w:rPr>
              <w:t xml:space="preserve">Class</w:t>
            </w:r>
          </w:p>
        </w:tc>
        <w:tc>
          <w:tcPr>
            <w:tcW w:type="dxa" w:w="37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color w:val="1E293B"/>
                <w:sz w:val="18"/>
                <w:szCs w:val="18"/>
              </w:rPr>
              <w:t xml:space="preserve">The full class structure of wallet-service</w:t>
            </w:r>
          </w:p>
        </w:tc>
        <w:tc>
          <w:tcPr>
            <w:tcW w:type="dxa" w:w="424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color w:val="475569"/>
                <w:sz w:val="17"/>
                <w:szCs w:val="17"/>
              </w:rPr>
              <w:t xml:space="preserve">All 12 classes with correct stereotypes. WalletController → WalletService (uses). WalletService → WalletRepository (uses, @Lock visible as note on findByUserIdForUpdate), → TransactionRepository (uses), → PaymentEventProducer (uses). OrderEventConsumer → WalletService (calls). Wallet has-many WalletTransaction (1..*). Note that WalletTransaction has NO updatedAt — label this as "immutable record". TransactionType enum linked to WalletTransaction. PaymentCompletedEvent shown as output of PaymentEventProducer.</w:t>
            </w:r>
          </w:p>
        </w:tc>
      </w:tr>
      <w:tr>
        <w:tc>
          <w:tcPr>
            <w:tcW w:type="dxa" w:w="1420"/>
            <w:tcBorders>
              <w:top w:val="single" w:color="CBD5E1" w:sz="1"/>
              <w:left w:val="single" w:color="CBD5E1" w:sz="1"/>
              <w:bottom w:val="single" w:color="CBD5E1" w:sz="1"/>
              <w:right w:val="single" w:color="CBD5E1" w:sz="1"/>
            </w:tcBorders>
            <w:shd w:fill="ECFDF5" w:val="clear"/>
            <w:tcMar>
              <w:top w:type="dxa" w:w="80"/>
              <w:left w:type="dxa" w:w="110"/>
              <w:bottom w:type="dxa" w:w="80"/>
              <w:right w:type="dxa" w:w="110"/>
            </w:tcMar>
          </w:tcPr>
          <w:p>
            <w:r>
              <w:rPr>
                <w:rFonts w:ascii="Arial" w:cs="Arial" w:eastAsia="Arial" w:hAnsi="Arial"/>
                <w:b/>
                <w:bCs/>
                <w:color w:val="065F46"/>
                <w:sz w:val="18"/>
                <w:szCs w:val="18"/>
              </w:rPr>
              <w:t xml:space="preserve">Sequence</w:t>
            </w:r>
          </w:p>
        </w:tc>
        <w:tc>
          <w:tcPr>
            <w:tcW w:type="dxa" w:w="37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color w:val="1E293B"/>
                <w:sz w:val="18"/>
                <w:szCs w:val="18"/>
              </w:rPr>
              <w:t xml:space="preserve">ORDER_PLACED Kafka event → deductBalance → publish PAYMENT_COMPLETED or PAYMENT_FAILED. Show both the idempotency skip alt frame and the insufficient-balance alt frame.</w:t>
            </w:r>
          </w:p>
        </w:tc>
        <w:tc>
          <w:tcPr>
            <w:tcW w:type="dxa" w:w="424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color w:val="475569"/>
                <w:sz w:val="17"/>
                <w:szCs w:val="17"/>
              </w:rPr>
              <w:t xml:space="preserve">Lifelines: Kafka, OrderEventConsumer, WalletService, WalletRepository, TransactionRepository, PaymentEventProducer. Step 1: Kafka delivers ORDER_PLACED to OrderEventConsumer. Step 2: existsByReference(orderId). Alt frame 1: reference exists → return without processing (idempotent skip). Step 3 (else): findByUserIdForUpdate() — note the lock. Step 4: check wallet.isActive. Alt frame 2: wallet frozen → publishFailed(). Step 5: check balance &gt;= amount. Alt frame 3: insufficient balance → publishFailed(). Happy path: balance -= amount, save(wallet), save(WalletTransaction), publishCompleted().</w:t>
            </w:r>
          </w:p>
        </w:tc>
      </w:tr>
      <w:tr>
        <w:tc>
          <w:tcPr>
            <w:tcW w:type="dxa" w:w="1420"/>
            <w:tcBorders>
              <w:top w:val="single" w:color="CBD5E1" w:sz="1"/>
              <w:left w:val="single" w:color="CBD5E1" w:sz="1"/>
              <w:bottom w:val="single" w:color="CBD5E1" w:sz="1"/>
              <w:right w:val="single" w:color="CBD5E1" w:sz="1"/>
            </w:tcBorders>
            <w:shd w:fill="FFFBEB" w:val="clear"/>
            <w:tcMar>
              <w:top w:type="dxa" w:w="80"/>
              <w:left w:type="dxa" w:w="110"/>
              <w:bottom w:type="dxa" w:w="80"/>
              <w:right w:type="dxa" w:w="110"/>
            </w:tcMar>
          </w:tcPr>
          <w:p>
            <w:r>
              <w:rPr>
                <w:rFonts w:ascii="Arial" w:cs="Arial" w:eastAsia="Arial" w:hAnsi="Arial"/>
                <w:b/>
                <w:bCs/>
                <w:color w:val="78350F"/>
                <w:sz w:val="18"/>
                <w:szCs w:val="18"/>
              </w:rPr>
              <w:t xml:space="preserve">Activity</w:t>
            </w:r>
          </w:p>
        </w:tc>
        <w:tc>
          <w:tcPr>
            <w:tcW w:type="dxa" w:w="37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color w:val="1E293B"/>
                <w:sz w:val="18"/>
                <w:szCs w:val="18"/>
              </w:rPr>
              <w:t xml:space="preserve">The deductBalance process in full, with the scheduler / lock concurrency note</w:t>
            </w:r>
          </w:p>
        </w:tc>
        <w:tc>
          <w:tcPr>
            <w:tcW w:type="dxa" w:w="424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color w:val="475569"/>
                <w:sz w:val="17"/>
                <w:szCs w:val="17"/>
              </w:rPr>
              <w:t xml:space="preserve">3 swim lanes: OrderEventConsumer, WalletService, WalletRepository. Start: receive ORDER_PLACED event. Decision 1: reference already processed? Yes → SKIP (idempotent). No → acquire pessimistic lock (SELECT FOR UPDATE). Decision 2: wallet isActive? No → publish FAILED, end. Decision 3: balance &gt;= amount? No → release lock, publish FAILED, end. Yes → balance -= amount. Save wallet. Save WalletTransaction (balanceBefore, balanceAfter snapshots). Release lock. Publish PAYMENT_COMPLETED. End. Add a note box explaining why the lock is needed (concurrent requests scenario).</w:t>
            </w:r>
          </w:p>
        </w:tc>
      </w:tr>
      <w:tr>
        <w:tc>
          <w:tcPr>
            <w:tcW w:type="dxa" w:w="1420"/>
            <w:tcBorders>
              <w:top w:val="single" w:color="CBD5E1" w:sz="1"/>
              <w:left w:val="single" w:color="CBD5E1" w:sz="1"/>
              <w:bottom w:val="single" w:color="CBD5E1" w:sz="1"/>
              <w:right w:val="single" w:color="CBD5E1" w:sz="1"/>
            </w:tcBorders>
            <w:shd w:fill="F5F3FF" w:val="clear"/>
            <w:tcMar>
              <w:top w:type="dxa" w:w="80"/>
              <w:left w:type="dxa" w:w="110"/>
              <w:bottom w:type="dxa" w:w="80"/>
              <w:right w:type="dxa" w:w="110"/>
            </w:tcMar>
          </w:tcPr>
          <w:p>
            <w:r>
              <w:rPr>
                <w:rFonts w:ascii="Arial" w:cs="Arial" w:eastAsia="Arial" w:hAnsi="Arial"/>
                <w:b/>
                <w:bCs/>
                <w:color w:val="4C1D95"/>
                <w:sz w:val="18"/>
                <w:szCs w:val="18"/>
              </w:rPr>
              <w:t xml:space="preserve">ERD</w:t>
            </w:r>
          </w:p>
        </w:tc>
        <w:tc>
          <w:tcPr>
            <w:tcW w:type="dxa" w:w="37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color w:val="1E293B"/>
                <w:sz w:val="18"/>
                <w:szCs w:val="18"/>
              </w:rPr>
              <w:t xml:space="preserve">Both tables: wallets and wallet_transactions</w:t>
            </w:r>
          </w:p>
        </w:tc>
        <w:tc>
          <w:tcPr>
            <w:tcW w:type="dxa" w:w="424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color w:val="475569"/>
                <w:sz w:val="17"/>
                <w:szCs w:val="17"/>
              </w:rPr>
              <w:t xml:space="preserve">wallets table: id (UUID PK), user_id (UUID UNIQUE, label "logical FK → auth-service"), balance (BIGINT NOT NULL CHECK &gt;= 0), currency (VARCHAR 3 DEFAULT NGN), is_active (BOOLEAN DEFAULT TRUE), version (BIGINT), created_at, updated_at. wallet_transactions table: id (UUID PK), wallet_id (UUID FK → wallets.id — physical FK), type (VARCHAR NOT NULL), amount (BIGINT NOT NULL CHECK &gt; 0), balance_before (BIGINT NOT NULL), balance_after (BIGINT NOT NULL), reference (VARCHAR UNIQUE NOT NULL — idempotency key), description (TEXT nullable), created_at ONLY — no updated_at column (label "immutable ledger entry"). Relationship: wallets ||--o{ wallet_transactions. Note on wallet_transactions: "Append-only. No UPDATE or DELETE permitted."</w:t>
            </w:r>
          </w:p>
        </w:tc>
      </w:tr>
    </w:tbl>
    <w:p>
      <w:r>
        <w:br w:type="page"/>
      </w:r>
    </w:p>
    <w:p>
      <w:pPr>
        <w:pStyle w:val="Heading1"/>
        <w:pBdr>
          <w:bottom w:val="single" w:color="1E2761" w:sz="8" w:space="6"/>
        </w:pBdr>
        <w:spacing w:before="480" w:after="180"/>
      </w:pPr>
      <w:r>
        <w:rPr>
          <w:rFonts w:ascii="Arial" w:cs="Arial" w:eastAsia="Arial" w:hAnsi="Arial"/>
          <w:b/>
          <w:bCs/>
          <w:color w:val="1E2761"/>
          <w:sz w:val="34"/>
          <w:szCs w:val="34"/>
        </w:rPr>
        <w:t xml:space="preserve">4. Deliverables &amp; Submission</w:t>
      </w:r>
    </w:p>
    <w:p>
      <w:pPr>
        <w:pStyle w:val="Heading2"/>
        <w:spacing w:before="300" w:after="120"/>
      </w:pPr>
      <w:r>
        <w:rPr>
          <w:rFonts w:ascii="Arial" w:cs="Arial" w:eastAsia="Arial" w:hAnsi="Arial"/>
          <w:b/>
          <w:bCs/>
          <w:color w:val="1E293B"/>
          <w:sz w:val="26"/>
          <w:szCs w:val="26"/>
        </w:rPr>
        <w:t xml:space="preserve">4.1  What to submit</w:t>
      </w:r>
    </w:p>
    <w:p>
      <w:pPr>
        <w:pStyle w:val="ListParagraph"/>
        <w:numPr>
          <w:ilvl w:val="0"/>
          <w:numId w:val="3"/>
        </w:numPr>
        <w:spacing w:before="60" w:after="60"/>
      </w:pPr>
      <w:r>
        <w:rPr>
          <w:rFonts w:ascii="Arial" w:cs="Arial" w:eastAsia="Arial" w:hAnsi="Arial"/>
          <w:color w:val="1E293B"/>
          <w:sz w:val="21"/>
          <w:szCs w:val="21"/>
        </w:rPr>
        <w:t xml:space="preserve">A single PDF file containing all 12 diagrams. Each diagram must be on its own page, clearly labelled with: diagram type, service name, your name, and date.</w:t>
      </w:r>
    </w:p>
    <w:p>
      <w:pPr>
        <w:pStyle w:val="ListParagraph"/>
        <w:numPr>
          <w:ilvl w:val="0"/>
          <w:numId w:val="3"/>
        </w:numPr>
        <w:spacing w:before="60" w:after="60"/>
      </w:pPr>
      <w:r>
        <w:rPr>
          <w:rFonts w:ascii="Arial" w:cs="Arial" w:eastAsia="Arial" w:hAnsi="Arial"/>
          <w:color w:val="1E293B"/>
          <w:sz w:val="21"/>
          <w:szCs w:val="21"/>
        </w:rPr>
        <w:t xml:space="preserve">The .drawio source file so the instructor can open and inspect your work directly.</w:t>
      </w:r>
    </w:p>
    <w:p>
      <w:pPr>
        <w:pStyle w:val="ListParagraph"/>
        <w:numPr>
          <w:ilvl w:val="0"/>
          <w:numId w:val="3"/>
        </w:numPr>
        <w:spacing w:before="60" w:after="60"/>
      </w:pPr>
      <w:r>
        <w:rPr>
          <w:rFonts w:ascii="Arial" w:cs="Arial" w:eastAsia="Arial" w:hAnsi="Arial"/>
          <w:color w:val="1E293B"/>
          <w:sz w:val="21"/>
          <w:szCs w:val="21"/>
        </w:rPr>
        <w:t xml:space="preserve">A written reflection for each diagram (max 150 words per diagram, 12 reflections total). Each reflection must answer: what design decision did you make here, and why? E.g. "I chose to show the @Lock annotation on findByUserIdForUpdate as a UML note because it is the most important method in the service and easy to miss if it is just listed in the method signature."</w:t>
      </w:r>
    </w:p>
    <w:p>
      <w:pPr>
        <w:spacing w:before="160" w:after="0"/>
      </w:pPr>
      <w:r>
        <w:rPr>
          <w:rFonts w:ascii="Arial" w:cs="Arial" w:eastAsia="Arial" w:hAnsi="Arial"/>
        </w:rPr>
        <w:t xml:space="preserve"/>
      </w:r>
    </w:p>
    <w:p>
      <w:pPr>
        <w:pStyle w:val="Heading2"/>
        <w:spacing w:before="300" w:after="120"/>
      </w:pPr>
      <w:r>
        <w:rPr>
          <w:rFonts w:ascii="Arial" w:cs="Arial" w:eastAsia="Arial" w:hAnsi="Arial"/>
          <w:b/>
          <w:bCs/>
          <w:color w:val="1E293B"/>
          <w:sz w:val="26"/>
          <w:szCs w:val="26"/>
        </w:rPr>
        <w:t xml:space="preserve">4.2  Pre-submission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1"/>
              <w:bottom w:val="single" w:color="0EA5E9" w:sz="1"/>
              <w:right w:val="single" w:color="0EA5E9" w:sz="1"/>
            </w:tcBorders>
            <w:shd w:fill="D1FAE5" w:val="clear"/>
            <w:tcMar>
              <w:top w:type="dxa" w:w="140"/>
              <w:left w:type="dxa" w:w="200"/>
              <w:bottom w:type="dxa" w:w="140"/>
              <w:right w:type="dxa" w:w="200"/>
            </w:tcMar>
          </w:tcPr>
          <w:p>
            <w:pPr>
              <w:spacing w:before="0" w:after="60"/>
            </w:pPr>
            <w:r>
              <w:rPr>
                <w:rFonts w:ascii="Arial" w:cs="Arial" w:eastAsia="Arial" w:hAnsi="Arial"/>
                <w:b/>
                <w:bCs/>
                <w:color w:val="065F46"/>
                <w:sz w:val="19"/>
                <w:szCs w:val="19"/>
              </w:rPr>
              <w:t xml:space="preserve">Check every item before you submit</w:t>
            </w:r>
          </w:p>
          <w:p>
            <w:pPr>
              <w:spacing w:before="0" w:after="40"/>
            </w:pPr>
            <w:r>
              <w:rPr>
                <w:rFonts w:ascii="Arial" w:cs="Arial" w:eastAsia="Arial" w:hAnsi="Arial"/>
                <w:color w:val="1E293B"/>
                <w:sz w:val="20"/>
                <w:szCs w:val="20"/>
              </w:rPr>
              <w:t xml:space="preserve">[ ]  All 12 diagrams are present (4 per service × 3 services)</w:t>
            </w:r>
          </w:p>
          <w:p>
            <w:pPr>
              <w:spacing w:before="0" w:after="40"/>
            </w:pPr>
            <w:r>
              <w:rPr>
                <w:rFonts w:ascii="Arial" w:cs="Arial" w:eastAsia="Arial" w:hAnsi="Arial"/>
                <w:color w:val="1E293B"/>
                <w:sz w:val="20"/>
                <w:szCs w:val="20"/>
              </w:rPr>
              <w:t xml:space="preserve">[ ]  Your name appears in the title area of every diagram</w:t>
            </w:r>
          </w:p>
          <w:p>
            <w:pPr>
              <w:spacing w:before="0" w:after="40"/>
            </w:pPr>
            <w:r>
              <w:rPr>
                <w:rFonts w:ascii="Arial" w:cs="Arial" w:eastAsia="Arial" w:hAnsi="Arial"/>
                <w:color w:val="1E293B"/>
                <w:sz w:val="20"/>
                <w:szCs w:val="20"/>
              </w:rPr>
              <w:t xml:space="preserve">[ ]  Class names exactly match Section 3 (no abbreviations, no renaming)</w:t>
            </w:r>
          </w:p>
          <w:p>
            <w:pPr>
              <w:spacing w:before="0" w:after="40"/>
            </w:pPr>
            <w:r>
              <w:rPr>
                <w:rFonts w:ascii="Arial" w:cs="Arial" w:eastAsia="Arial" w:hAnsi="Arial"/>
                <w:color w:val="1E293B"/>
                <w:sz w:val="20"/>
                <w:szCs w:val="20"/>
              </w:rPr>
              <w:t xml:space="preserve">[ ]  Every class in every Class Diagram has a «stereotype» label</w:t>
            </w:r>
          </w:p>
          <w:p>
            <w:pPr>
              <w:spacing w:before="0" w:after="40"/>
            </w:pPr>
            <w:r>
              <w:rPr>
                <w:rFonts w:ascii="Arial" w:cs="Arial" w:eastAsia="Arial" w:hAnsi="Arial"/>
                <w:color w:val="1E293B"/>
                <w:sz w:val="20"/>
                <w:szCs w:val="20"/>
              </w:rPr>
              <w:t xml:space="preserve">[ ]  Every relationship arrow in every Class Diagram is labelled</w:t>
            </w:r>
          </w:p>
          <w:p>
            <w:pPr>
              <w:spacing w:before="0" w:after="40"/>
            </w:pPr>
            <w:r>
              <w:rPr>
                <w:rFonts w:ascii="Arial" w:cs="Arial" w:eastAsia="Arial" w:hAnsi="Arial"/>
                <w:color w:val="1E293B"/>
                <w:sz w:val="20"/>
                <w:szCs w:val="20"/>
              </w:rPr>
              <w:t xml:space="preserve">[ ]  Every Sequence Diagram has at least one alt frame showing an error path</w:t>
            </w:r>
          </w:p>
          <w:p>
            <w:pPr>
              <w:spacing w:before="0" w:after="40"/>
            </w:pPr>
            <w:r>
              <w:rPr>
                <w:rFonts w:ascii="Arial" w:cs="Arial" w:eastAsia="Arial" w:hAnsi="Arial"/>
                <w:color w:val="1E293B"/>
                <w:sz w:val="20"/>
                <w:szCs w:val="20"/>
              </w:rPr>
              <w:t xml:space="preserve">[ ]  Every Activity Diagram has swim lanes and at least two labelled decision diamonds</w:t>
            </w:r>
          </w:p>
          <w:p>
            <w:pPr>
              <w:spacing w:before="0" w:after="40"/>
            </w:pPr>
            <w:r>
              <w:rPr>
                <w:rFonts w:ascii="Arial" w:cs="Arial" w:eastAsia="Arial" w:hAnsi="Arial"/>
                <w:color w:val="1E293B"/>
                <w:sz w:val="20"/>
                <w:szCs w:val="20"/>
              </w:rPr>
              <w:t xml:space="preserve">[ ]  The @Lock annotation appears in the inventory-service and wallet-service class diagrams</w:t>
            </w:r>
          </w:p>
          <w:p>
            <w:pPr>
              <w:spacing w:before="0" w:after="40"/>
            </w:pPr>
            <w:r>
              <w:rPr>
                <w:rFonts w:ascii="Arial" w:cs="Arial" w:eastAsia="Arial" w:hAnsi="Arial"/>
                <w:color w:val="1E293B"/>
                <w:sz w:val="20"/>
                <w:szCs w:val="20"/>
              </w:rPr>
              <w:t xml:space="preserve">[ ]  The idempotency guard appears in the wallet-service sequence diagram and activity diagram</w:t>
            </w:r>
          </w:p>
          <w:p>
            <w:pPr>
              <w:spacing w:before="0" w:after="40"/>
            </w:pPr>
            <w:r>
              <w:rPr>
                <w:rFonts w:ascii="Arial" w:cs="Arial" w:eastAsia="Arial" w:hAnsi="Arial"/>
                <w:color w:val="1E293B"/>
                <w:sz w:val="20"/>
                <w:szCs w:val="20"/>
              </w:rPr>
              <w:t xml:space="preserve">[ ]  WalletTransaction has NO updatedAt field in the wallet-service class diagram and ERD</w:t>
            </w:r>
          </w:p>
          <w:p>
            <w:pPr>
              <w:spacing w:before="0" w:after="40"/>
            </w:pPr>
            <w:r>
              <w:rPr>
                <w:rFonts w:ascii="Arial" w:cs="Arial" w:eastAsia="Arial" w:hAnsi="Arial"/>
                <w:color w:val="1E293B"/>
                <w:sz w:val="20"/>
                <w:szCs w:val="20"/>
              </w:rPr>
              <w:t xml:space="preserve">[ ]  inventory.product_id is labelled "logical FK — cross-service" in the inventory-service ERD</w:t>
            </w:r>
          </w:p>
          <w:p>
            <w:pPr>
              <w:spacing w:before="0" w:after="40"/>
            </w:pPr>
            <w:r>
              <w:rPr>
                <w:rFonts w:ascii="Arial" w:cs="Arial" w:eastAsia="Arial" w:hAnsi="Arial"/>
                <w:color w:val="1E293B"/>
                <w:sz w:val="20"/>
                <w:szCs w:val="20"/>
              </w:rPr>
              <w:t xml:space="preserve">[ ]  inventory_id in stock_reservations is labelled as a physical FK (within same DB)</w:t>
            </w:r>
          </w:p>
          <w:p>
            <w:pPr>
              <w:spacing w:before="0" w:after="40"/>
            </w:pPr>
            <w:r>
              <w:rPr>
                <w:rFonts w:ascii="Arial" w:cs="Arial" w:eastAsia="Arial" w:hAnsi="Arial"/>
                <w:color w:val="1E293B"/>
                <w:sz w:val="20"/>
                <w:szCs w:val="20"/>
              </w:rPr>
              <w:t xml:space="preserve">[ ]  Crow's foot notation is used consistently throughout all ERDs</w:t>
            </w:r>
          </w:p>
          <w:p>
            <w:pPr>
              <w:spacing w:before="0" w:after="40"/>
            </w:pPr>
            <w:r>
              <w:rPr>
                <w:rFonts w:ascii="Arial" w:cs="Arial" w:eastAsia="Arial" w:hAnsi="Arial"/>
                <w:color w:val="1E293B"/>
                <w:sz w:val="20"/>
                <w:szCs w:val="20"/>
              </w:rPr>
              <w:t xml:space="preserve">[ ]  .drawio source file is included</w:t>
            </w:r>
          </w:p>
          <w:p>
            <w:pPr>
              <w:spacing w:before="0" w:after="40"/>
            </w:pPr>
            <w:r>
              <w:rPr>
                <w:rFonts w:ascii="Arial" w:cs="Arial" w:eastAsia="Arial" w:hAnsi="Arial"/>
                <w:color w:val="1E293B"/>
                <w:sz w:val="20"/>
                <w:szCs w:val="20"/>
              </w:rPr>
              <w:t xml:space="preserve">[ ]  Written reflections (150 words max each) are included in the PDF</w:t>
            </w:r>
          </w:p>
        </w:tc>
      </w:tr>
    </w:tbl>
    <w:p>
      <w:pPr>
        <w:spacing w:before="200" w:after="0"/>
      </w:pPr>
      <w:r>
        <w:rPr>
          <w:rFonts w:ascii="Arial" w:cs="Arial" w:eastAsia="Arial" w:hAnsi="Arial"/>
        </w:rPr>
        <w:t xml:space="preserve"/>
      </w:r>
    </w:p>
    <w:p>
      <w:pPr>
        <w:pStyle w:val="Heading2"/>
        <w:spacing w:before="300" w:after="120"/>
      </w:pPr>
      <w:r>
        <w:rPr>
          <w:rFonts w:ascii="Arial" w:cs="Arial" w:eastAsia="Arial" w:hAnsi="Arial"/>
          <w:b/>
          <w:bCs/>
          <w:color w:val="1E293B"/>
          <w:sz w:val="26"/>
          <w:szCs w:val="26"/>
        </w:rPr>
        <w:t xml:space="preserve">4.3  Common mistakes to avoid</w:t>
      </w:r>
    </w:p>
    <w:p>
      <w:pPr>
        <w:pStyle w:val="ListParagraph"/>
        <w:numPr>
          <w:ilvl w:val="0"/>
          <w:numId w:val="2"/>
        </w:numPr>
        <w:spacing w:before="50" w:after="50"/>
      </w:pPr>
      <w:r>
        <w:rPr>
          <w:rFonts w:ascii="Arial" w:cs="Arial" w:eastAsia="Arial" w:hAnsi="Arial"/>
          <w:color w:val="1E293B"/>
          <w:sz w:val="21"/>
          <w:szCs w:val="21"/>
        </w:rPr>
        <w:t xml:space="preserve">Drawing the database as part of the class diagram — the class diagram shows Java/Go code structure; the ERD shows the database. They are different diagrams.</w:t>
      </w:r>
    </w:p>
    <w:p>
      <w:pPr>
        <w:pStyle w:val="ListParagraph"/>
        <w:numPr>
          <w:ilvl w:val="0"/>
          <w:numId w:val="2"/>
        </w:numPr>
        <w:spacing w:before="50" w:after="50"/>
      </w:pPr>
      <w:r>
        <w:rPr>
          <w:rFonts w:ascii="Arial" w:cs="Arial" w:eastAsia="Arial" w:hAnsi="Arial"/>
          <w:color w:val="1E293B"/>
          <w:sz w:val="21"/>
          <w:szCs w:val="21"/>
        </w:rPr>
        <w:t xml:space="preserve">Omitting the API Gateway from sequence diagrams — every external request comes through the gateway. The gateway is always the second lifeline after the client.</w:t>
      </w:r>
    </w:p>
    <w:p>
      <w:pPr>
        <w:pStyle w:val="ListParagraph"/>
        <w:numPr>
          <w:ilvl w:val="0"/>
          <w:numId w:val="2"/>
        </w:numPr>
        <w:spacing w:before="50" w:after="50"/>
      </w:pPr>
      <w:r>
        <w:rPr>
          <w:rFonts w:ascii="Arial" w:cs="Arial" w:eastAsia="Arial" w:hAnsi="Arial"/>
          <w:color w:val="1E293B"/>
          <w:sz w:val="21"/>
          <w:szCs w:val="21"/>
        </w:rPr>
        <w:t xml:space="preserve">Using physical foreign keys across services in ERDs — stock_reservations.order_id does NOT physically reference orders.id because the orders table is in a different database (the order-service database). Label it as a logical FK.</w:t>
      </w:r>
    </w:p>
    <w:p>
      <w:pPr>
        <w:pStyle w:val="ListParagraph"/>
        <w:numPr>
          <w:ilvl w:val="0"/>
          <w:numId w:val="2"/>
        </w:numPr>
        <w:spacing w:before="50" w:after="50"/>
      </w:pPr>
      <w:r>
        <w:rPr>
          <w:rFonts w:ascii="Arial" w:cs="Arial" w:eastAsia="Arial" w:hAnsi="Arial"/>
          <w:color w:val="1E293B"/>
          <w:sz w:val="21"/>
          <w:szCs w:val="21"/>
        </w:rPr>
        <w:t xml:space="preserve">Forgetting alt frames in sequence diagrams — the insufficient stock path, the insufficient balance path, and the idempotency skip are as important as the happy path.</w:t>
      </w:r>
    </w:p>
    <w:p>
      <w:pPr>
        <w:pStyle w:val="ListParagraph"/>
        <w:numPr>
          <w:ilvl w:val="0"/>
          <w:numId w:val="2"/>
        </w:numPr>
        <w:spacing w:before="50" w:after="50"/>
      </w:pPr>
      <w:r>
        <w:rPr>
          <w:rFonts w:ascii="Arial" w:cs="Arial" w:eastAsia="Arial" w:hAnsi="Arial"/>
          <w:color w:val="1E293B"/>
          <w:sz w:val="21"/>
          <w:szCs w:val="21"/>
        </w:rPr>
        <w:t xml:space="preserve">No swim lanes in activity diagrams — if you have a single lane, you have not identified which component is responsible for each action.</w:t>
      </w:r>
    </w:p>
    <w:p>
      <w:pPr>
        <w:pStyle w:val="ListParagraph"/>
        <w:numPr>
          <w:ilvl w:val="0"/>
          <w:numId w:val="2"/>
        </w:numPr>
        <w:spacing w:before="50" w:after="50"/>
      </w:pPr>
      <w:r>
        <w:rPr>
          <w:rFonts w:ascii="Arial" w:cs="Arial" w:eastAsia="Arial" w:hAnsi="Arial"/>
          <w:color w:val="1E293B"/>
          <w:sz w:val="21"/>
          <w:szCs w:val="21"/>
        </w:rPr>
        <w:t xml:space="preserve">Showing WalletTransaction with an updatedAt column — transactions are immutable. No updatedAt. This is intentional and must be reflected in both the class diagram and the ERD.</w:t>
      </w:r>
    </w:p>
    <w:p>
      <w:pPr>
        <w:pStyle w:val="ListParagraph"/>
        <w:numPr>
          <w:ilvl w:val="0"/>
          <w:numId w:val="2"/>
        </w:numPr>
        <w:spacing w:before="50" w:after="50"/>
      </w:pPr>
      <w:r>
        <w:rPr>
          <w:rFonts w:ascii="Arial" w:cs="Arial" w:eastAsia="Arial" w:hAnsi="Arial"/>
          <w:color w:val="1E293B"/>
          <w:sz w:val="21"/>
          <w:szCs w:val="21"/>
        </w:rPr>
        <w:t xml:space="preserve">Showing the @Lock annotation only as a comment instead of a visible stereotype note — it must be clearly visible because it is the core of the financial safety design.</w:t>
      </w:r>
    </w:p>
    <w:p>
      <w:r>
        <w:br w:type="page"/>
      </w:r>
    </w:p>
    <w:p>
      <w:pPr>
        <w:pStyle w:val="Heading1"/>
        <w:pBdr>
          <w:bottom w:val="single" w:color="1E2761" w:sz="8" w:space="6"/>
        </w:pBdr>
        <w:spacing w:before="480" w:after="180"/>
      </w:pPr>
      <w:r>
        <w:rPr>
          <w:rFonts w:ascii="Arial" w:cs="Arial" w:eastAsia="Arial" w:hAnsi="Arial"/>
          <w:b/>
          <w:bCs/>
          <w:color w:val="1E2761"/>
          <w:sz w:val="34"/>
          <w:szCs w:val="34"/>
        </w:rPr>
        <w:t xml:space="preserve">5. Grading</w:t>
      </w:r>
    </w:p>
    <w:p>
      <w:pPr>
        <w:pStyle w:val="Heading2"/>
        <w:spacing w:before="300" w:after="120"/>
      </w:pPr>
      <w:r>
        <w:rPr>
          <w:rFonts w:ascii="Arial" w:cs="Arial" w:eastAsia="Arial" w:hAnsi="Arial"/>
          <w:b/>
          <w:bCs/>
          <w:color w:val="1E293B"/>
          <w:sz w:val="26"/>
          <w:szCs w:val="26"/>
        </w:rPr>
        <w:t xml:space="preserve">5.1  Mark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BD5E1" w:sz="1"/>
              <w:left w:val="single" w:color="CBD5E1" w:sz="1"/>
              <w:bottom w:val="single" w:color="CBD5E1" w:sz="1"/>
              <w:right w:val="single" w:color="CBD5E1" w:sz="1"/>
            </w:tcBorders>
            <w:shd w:fill="1E2761" w:val="clear"/>
            <w:tcMar>
              <w:top w:type="dxa" w:w="90"/>
              <w:left w:type="dxa" w:w="130"/>
              <w:bottom w:type="dxa" w:w="90"/>
              <w:right w:type="dxa" w:w="130"/>
            </w:tcMar>
          </w:tcPr>
          <w:p>
            <w:pPr>
              <w:jc w:val="left"/>
            </w:pPr>
            <w:r>
              <w:rPr>
                <w:rFonts w:ascii="Arial" w:cs="Arial" w:eastAsia="Arial" w:hAnsi="Arial"/>
                <w:b/>
                <w:bCs/>
                <w:color w:val="FFFFFF"/>
                <w:sz w:val="19"/>
                <w:szCs w:val="19"/>
              </w:rPr>
              <w:t xml:space="preserve">Diagram</w:t>
            </w:r>
          </w:p>
        </w:tc>
        <w:tc>
          <w:tcPr>
            <w:tcW w:type="dxa" w:w="2340"/>
            <w:tcBorders>
              <w:top w:val="single" w:color="CBD5E1" w:sz="1"/>
              <w:left w:val="single" w:color="CBD5E1" w:sz="1"/>
              <w:bottom w:val="single" w:color="CBD5E1" w:sz="1"/>
              <w:right w:val="single" w:color="CBD5E1" w:sz="1"/>
            </w:tcBorders>
            <w:shd w:fill="1E2761"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Marks</w:t>
            </w:r>
          </w:p>
        </w:tc>
        <w:tc>
          <w:tcPr>
            <w:tcW w:type="dxa" w:w="2340"/>
            <w:tcBorders>
              <w:top w:val="single" w:color="CBD5E1" w:sz="1"/>
              <w:left w:val="single" w:color="CBD5E1" w:sz="1"/>
              <w:bottom w:val="single" w:color="CBD5E1" w:sz="1"/>
              <w:right w:val="single" w:color="CBD5E1" w:sz="1"/>
            </w:tcBorders>
            <w:shd w:fill="1E2761"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Weight</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b w:val="false"/>
                <w:bCs w:val="false"/>
                <w:color w:val="1E293B"/>
                <w:sz w:val="20"/>
                <w:szCs w:val="20"/>
              </w:rPr>
              <w:t xml:space="preserve">Class Diagram (all 3 services)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center"/>
            </w:pPr>
            <w:r>
              <w:rPr>
                <w:rFonts w:ascii="Arial" w:cs="Arial" w:eastAsia="Arial" w:hAnsi="Arial"/>
                <w:b w:val="false"/>
                <w:bCs w:val="false"/>
                <w:color w:val="1E293B"/>
                <w:sz w:val="20"/>
                <w:szCs w:val="20"/>
              </w:rPr>
              <w:t xml:space="preserve">10</w:t>
            </w:r>
          </w:p>
        </w:tc>
        <w:tc>
          <w:tcPr>
            <w:tcW w:type="dxa" w:w="23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75569"/>
                <w:sz w:val="20"/>
                <w:szCs w:val="20"/>
              </w:rPr>
              <w:t xml:space="preserve">25%</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b w:val="false"/>
                <w:bCs w:val="false"/>
                <w:color w:val="1E293B"/>
                <w:sz w:val="20"/>
                <w:szCs w:val="20"/>
              </w:rPr>
              <w:t xml:space="preserve">Sequence Diagram (all 3 services)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center"/>
            </w:pPr>
            <w:r>
              <w:rPr>
                <w:rFonts w:ascii="Arial" w:cs="Arial" w:eastAsia="Arial" w:hAnsi="Arial"/>
                <w:b w:val="false"/>
                <w:bCs w:val="false"/>
                <w:color w:val="1E293B"/>
                <w:sz w:val="20"/>
                <w:szCs w:val="20"/>
              </w:rPr>
              <w:t xml:space="preserve">10</w:t>
            </w:r>
          </w:p>
        </w:tc>
        <w:tc>
          <w:tcPr>
            <w:tcW w:type="dxa" w:w="23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center"/>
            </w:pPr>
            <w:r>
              <w:rPr>
                <w:rFonts w:ascii="Arial" w:cs="Arial" w:eastAsia="Arial" w:hAnsi="Arial"/>
                <w:b w:val="false"/>
                <w:bCs w:val="false"/>
                <w:color w:val="475569"/>
                <w:sz w:val="20"/>
                <w:szCs w:val="20"/>
              </w:rPr>
              <w:t xml:space="preserve">25%</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b w:val="false"/>
                <w:bCs w:val="false"/>
                <w:color w:val="1E293B"/>
                <w:sz w:val="20"/>
                <w:szCs w:val="20"/>
              </w:rPr>
              <w:t xml:space="preserve">Activity Diagram (all 3 services)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center"/>
            </w:pPr>
            <w:r>
              <w:rPr>
                <w:rFonts w:ascii="Arial" w:cs="Arial" w:eastAsia="Arial" w:hAnsi="Arial"/>
                <w:b w:val="false"/>
                <w:bCs w:val="false"/>
                <w:color w:val="1E293B"/>
                <w:sz w:val="20"/>
                <w:szCs w:val="20"/>
              </w:rPr>
              <w:t xml:space="preserve">10</w:t>
            </w:r>
          </w:p>
        </w:tc>
        <w:tc>
          <w:tcPr>
            <w:tcW w:type="dxa" w:w="23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jc w:val="center"/>
            </w:pPr>
            <w:r>
              <w:rPr>
                <w:rFonts w:ascii="Arial" w:cs="Arial" w:eastAsia="Arial" w:hAnsi="Arial"/>
                <w:b w:val="false"/>
                <w:bCs w:val="false"/>
                <w:color w:val="475569"/>
                <w:sz w:val="20"/>
                <w:szCs w:val="20"/>
              </w:rPr>
              <w:t xml:space="preserve">25%</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b w:val="false"/>
                <w:bCs w:val="false"/>
                <w:color w:val="1E293B"/>
                <w:sz w:val="20"/>
                <w:szCs w:val="20"/>
              </w:rPr>
              <w:t xml:space="preserve">ERD (all 3 services)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center"/>
            </w:pPr>
            <w:r>
              <w:rPr>
                <w:rFonts w:ascii="Arial" w:cs="Arial" w:eastAsia="Arial" w:hAnsi="Arial"/>
                <w:b w:val="false"/>
                <w:bCs w:val="false"/>
                <w:color w:val="1E293B"/>
                <w:sz w:val="20"/>
                <w:szCs w:val="20"/>
              </w:rPr>
              <w:t xml:space="preserve">10</w:t>
            </w:r>
          </w:p>
        </w:tc>
        <w:tc>
          <w:tcPr>
            <w:tcW w:type="dxa" w:w="23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pPr>
              <w:jc w:val="center"/>
            </w:pPr>
            <w:r>
              <w:rPr>
                <w:rFonts w:ascii="Arial" w:cs="Arial" w:eastAsia="Arial" w:hAnsi="Arial"/>
                <w:b w:val="false"/>
                <w:bCs w:val="false"/>
                <w:color w:val="475569"/>
                <w:sz w:val="20"/>
                <w:szCs w:val="20"/>
              </w:rPr>
              <w:t xml:space="preserve">25%</w:t>
            </w:r>
          </w:p>
        </w:tc>
      </w:tr>
      <w:tr>
        <w:tc>
          <w:tcPr>
            <w:tcW w:type="dxa" w:w="468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tcPr>
          <w:p>
            <w:r>
              <w:rPr>
                <w:rFonts w:ascii="Arial" w:cs="Arial" w:eastAsia="Arial" w:hAnsi="Arial"/>
                <w:b/>
                <w:bCs/>
                <w:color w:val="1E2761"/>
                <w:sz w:val="20"/>
                <w:szCs w:val="20"/>
              </w:rPr>
              <w:t xml:space="preserve">Total</w:t>
            </w:r>
          </w:p>
        </w:tc>
        <w:tc>
          <w:tcPr>
            <w:tcW w:type="dxa" w:w="234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tcPr>
          <w:p>
            <w:pPr>
              <w:jc w:val="center"/>
            </w:pPr>
            <w:r>
              <w:rPr>
                <w:rFonts w:ascii="Arial" w:cs="Arial" w:eastAsia="Arial" w:hAnsi="Arial"/>
                <w:b/>
                <w:bCs/>
                <w:color w:val="1E2761"/>
                <w:sz w:val="20"/>
                <w:szCs w:val="20"/>
              </w:rPr>
              <w:t xml:space="preserve">40</w:t>
            </w:r>
          </w:p>
        </w:tc>
        <w:tc>
          <w:tcPr>
            <w:tcW w:type="dxa" w:w="2340"/>
            <w:tcBorders>
              <w:top w:val="single" w:color="CBD5E1" w:sz="1"/>
              <w:left w:val="single" w:color="CBD5E1" w:sz="1"/>
              <w:bottom w:val="single" w:color="CBD5E1" w:sz="1"/>
              <w:right w:val="single" w:color="CBD5E1" w:sz="1"/>
            </w:tcBorders>
            <w:shd w:fill="EFF6FF" w:val="clear"/>
            <w:tcMar>
              <w:top w:type="dxa" w:w="80"/>
              <w:left w:type="dxa" w:w="130"/>
              <w:bottom w:type="dxa" w:w="80"/>
              <w:right w:type="dxa" w:w="130"/>
            </w:tcMar>
          </w:tcPr>
          <w:p>
            <w:pPr>
              <w:jc w:val="center"/>
            </w:pPr>
            <w:r>
              <w:rPr>
                <w:rFonts w:ascii="Arial" w:cs="Arial" w:eastAsia="Arial" w:hAnsi="Arial"/>
                <w:b/>
                <w:bCs/>
                <w:color w:val="1E2761"/>
                <w:sz w:val="20"/>
                <w:szCs w:val="20"/>
              </w:rPr>
              <w:t xml:space="preserve">100%</w:t>
            </w:r>
          </w:p>
        </w:tc>
      </w:tr>
    </w:tbl>
    <w:p>
      <w:pPr>
        <w:spacing w:before="200" w:after="0"/>
      </w:pPr>
      <w:r>
        <w:rPr>
          <w:rFonts w:ascii="Arial" w:cs="Arial" w:eastAsia="Arial" w:hAnsi="Arial"/>
        </w:rPr>
        <w:t xml:space="preserve"/>
      </w:r>
    </w:p>
    <w:p>
      <w:pPr>
        <w:pStyle w:val="Heading2"/>
        <w:spacing w:before="300" w:after="120"/>
      </w:pPr>
      <w:r>
        <w:rPr>
          <w:rFonts w:ascii="Arial" w:cs="Arial" w:eastAsia="Arial" w:hAnsi="Arial"/>
          <w:b/>
          <w:bCs/>
          <w:color w:val="1E293B"/>
          <w:sz w:val="26"/>
          <w:szCs w:val="26"/>
        </w:rPr>
        <w:t xml:space="preserve">5.2  Grading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420"/>
        <w:gridCol w:w="2220"/>
        <w:gridCol w:w="1620"/>
      </w:tblGrid>
      <w:tr>
        <w:tc>
          <w:tcPr>
            <w:tcW w:type="dxa" w:w="2100"/>
            <w:tcBorders>
              <w:top w:val="single" w:color="CBD5E1" w:sz="1"/>
              <w:left w:val="single" w:color="CBD5E1" w:sz="1"/>
              <w:bottom w:val="single" w:color="CBD5E1" w:sz="1"/>
              <w:right w:val="single" w:color="CBD5E1" w:sz="1"/>
            </w:tcBorders>
            <w:shd w:fill="1E2761" w:val="clear"/>
            <w:tcMar>
              <w:top w:type="dxa" w:w="80"/>
              <w:left w:type="dxa" w:w="110"/>
              <w:bottom w:type="dxa" w:w="80"/>
              <w:right w:type="dxa" w:w="110"/>
            </w:tcMar>
          </w:tcPr>
          <w:p>
            <w:r>
              <w:rPr>
                <w:rFonts w:ascii="Arial" w:cs="Arial" w:eastAsia="Arial" w:hAnsi="Arial"/>
                <w:b/>
                <w:bCs/>
                <w:color w:val="FFFFFF"/>
                <w:sz w:val="18"/>
                <w:szCs w:val="18"/>
              </w:rPr>
              <w:t xml:space="preserve">Criterion</w:t>
            </w:r>
          </w:p>
        </w:tc>
        <w:tc>
          <w:tcPr>
            <w:tcW w:type="dxa" w:w="3420"/>
            <w:tcBorders>
              <w:top w:val="single" w:color="CBD5E1" w:sz="1"/>
              <w:left w:val="single" w:color="CBD5E1" w:sz="1"/>
              <w:bottom w:val="single" w:color="CBD5E1" w:sz="1"/>
              <w:right w:val="single" w:color="CBD5E1" w:sz="1"/>
            </w:tcBorders>
            <w:shd w:fill="1E2761" w:val="clear"/>
            <w:tcMar>
              <w:top w:type="dxa" w:w="80"/>
              <w:left w:type="dxa" w:w="110"/>
              <w:bottom w:type="dxa" w:w="80"/>
              <w:right w:type="dxa" w:w="110"/>
            </w:tcMar>
          </w:tcPr>
          <w:p>
            <w:r>
              <w:rPr>
                <w:rFonts w:ascii="Arial" w:cs="Arial" w:eastAsia="Arial" w:hAnsi="Arial"/>
                <w:b/>
                <w:bCs/>
                <w:color w:val="FFFFFF"/>
                <w:sz w:val="18"/>
                <w:szCs w:val="18"/>
              </w:rPr>
              <w:t xml:space="preserve">Full marks</w:t>
            </w:r>
          </w:p>
        </w:tc>
        <w:tc>
          <w:tcPr>
            <w:tcW w:type="dxa" w:w="2220"/>
            <w:tcBorders>
              <w:top w:val="single" w:color="CBD5E1" w:sz="1"/>
              <w:left w:val="single" w:color="CBD5E1" w:sz="1"/>
              <w:bottom w:val="single" w:color="CBD5E1" w:sz="1"/>
              <w:right w:val="single" w:color="CBD5E1" w:sz="1"/>
            </w:tcBorders>
            <w:shd w:fill="1E2761" w:val="clear"/>
            <w:tcMar>
              <w:top w:type="dxa" w:w="80"/>
              <w:left w:type="dxa" w:w="110"/>
              <w:bottom w:type="dxa" w:w="80"/>
              <w:right w:type="dxa" w:w="110"/>
            </w:tcMar>
          </w:tcPr>
          <w:p>
            <w:r>
              <w:rPr>
                <w:rFonts w:ascii="Arial" w:cs="Arial" w:eastAsia="Arial" w:hAnsi="Arial"/>
                <w:b/>
                <w:bCs/>
                <w:color w:val="FFFFFF"/>
                <w:sz w:val="18"/>
                <w:szCs w:val="18"/>
              </w:rPr>
              <w:t xml:space="preserve">Partial</w:t>
            </w:r>
          </w:p>
        </w:tc>
        <w:tc>
          <w:tcPr>
            <w:tcW w:type="dxa" w:w="1620"/>
            <w:tcBorders>
              <w:top w:val="single" w:color="CBD5E1" w:sz="1"/>
              <w:left w:val="single" w:color="CBD5E1" w:sz="1"/>
              <w:bottom w:val="single" w:color="CBD5E1" w:sz="1"/>
              <w:right w:val="single" w:color="CBD5E1" w:sz="1"/>
            </w:tcBorders>
            <w:shd w:fill="1E2761" w:val="clear"/>
            <w:tcMar>
              <w:top w:type="dxa" w:w="80"/>
              <w:left w:type="dxa" w:w="110"/>
              <w:bottom w:type="dxa" w:w="80"/>
              <w:right w:type="dxa" w:w="110"/>
            </w:tcMar>
          </w:tcPr>
          <w:p>
            <w:r>
              <w:rPr>
                <w:rFonts w:ascii="Arial" w:cs="Arial" w:eastAsia="Arial" w:hAnsi="Arial"/>
                <w:b/>
                <w:bCs/>
                <w:color w:val="FFFFFF"/>
                <w:sz w:val="18"/>
                <w:szCs w:val="18"/>
              </w:rPr>
              <w:t xml:space="preserve">Incomplete</w:t>
            </w:r>
          </w:p>
        </w:tc>
      </w:tr>
      <w:tr>
        <w:tc>
          <w:tcPr>
            <w:tcW w:type="dxa" w:w="21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r>
              <w:rPr>
                <w:rFonts w:ascii="Arial" w:cs="Arial" w:eastAsia="Arial" w:hAnsi="Arial"/>
                <w:b/>
                <w:bCs/>
                <w:color w:val="1E2761"/>
                <w:sz w:val="17"/>
                <w:szCs w:val="17"/>
              </w:rPr>
              <w:t xml:space="preserve">Correctness</w:t>
            </w:r>
          </w:p>
        </w:tc>
        <w:tc>
          <w:tcPr>
            <w:tcW w:type="dxa" w:w="3420"/>
            <w:tcBorders>
              <w:top w:val="single" w:color="CBD5E1" w:sz="1"/>
              <w:left w:val="single" w:color="CBD5E1" w:sz="1"/>
              <w:bottom w:val="single" w:color="CBD5E1" w:sz="1"/>
              <w:right w:val="single" w:color="CBD5E1" w:sz="1"/>
            </w:tcBorders>
            <w:shd w:fill="F0FDF4" w:val="clear"/>
            <w:tcMar>
              <w:top w:type="dxa" w:w="70"/>
              <w:left w:type="dxa" w:w="110"/>
              <w:bottom w:type="dxa" w:w="70"/>
              <w:right w:type="dxa" w:w="110"/>
            </w:tcMar>
          </w:tcPr>
          <w:p>
            <w:r>
              <w:rPr>
                <w:rFonts w:ascii="Arial" w:cs="Arial" w:eastAsia="Arial" w:hAnsi="Arial"/>
                <w:color w:val="1E293B"/>
                <w:sz w:val="16"/>
                <w:szCs w:val="16"/>
              </w:rPr>
              <w:t xml:space="preserve">All entities, fields, and relationships match Section 3 exactly. No missing classes, no extra invented ones.</w:t>
            </w:r>
          </w:p>
        </w:tc>
        <w:tc>
          <w:tcPr>
            <w:tcW w:type="dxa" w:w="2220"/>
            <w:tcBorders>
              <w:top w:val="single" w:color="CBD5E1" w:sz="1"/>
              <w:left w:val="single" w:color="CBD5E1" w:sz="1"/>
              <w:bottom w:val="single" w:color="CBD5E1" w:sz="1"/>
              <w:right w:val="single" w:color="CBD5E1" w:sz="1"/>
            </w:tcBorders>
            <w:shd w:fill="FFFBEB" w:val="clear"/>
            <w:tcMar>
              <w:top w:type="dxa" w:w="70"/>
              <w:left w:type="dxa" w:w="110"/>
              <w:bottom w:type="dxa" w:w="70"/>
              <w:right w:type="dxa" w:w="110"/>
            </w:tcMar>
          </w:tcPr>
          <w:p>
            <w:r>
              <w:rPr>
                <w:rFonts w:ascii="Arial" w:cs="Arial" w:eastAsia="Arial" w:hAnsi="Arial"/>
                <w:color w:val="1E293B"/>
                <w:sz w:val="16"/>
                <w:szCs w:val="16"/>
              </w:rPr>
              <w:t xml:space="preserve">Minor omissions (1-2 missing fields or methods) but overall structure is accurate.</w:t>
            </w:r>
          </w:p>
        </w:tc>
        <w:tc>
          <w:tcPr>
            <w:tcW w:type="dxa" w:w="1620"/>
            <w:tcBorders>
              <w:top w:val="single" w:color="CBD5E1" w:sz="1"/>
              <w:left w:val="single" w:color="CBD5E1" w:sz="1"/>
              <w:bottom w:val="single" w:color="CBD5E1" w:sz="1"/>
              <w:right w:val="single" w:color="CBD5E1" w:sz="1"/>
            </w:tcBorders>
            <w:shd w:fill="FEF2F2" w:val="clear"/>
            <w:tcMar>
              <w:top w:type="dxa" w:w="70"/>
              <w:left w:type="dxa" w:w="110"/>
              <w:bottom w:type="dxa" w:w="70"/>
              <w:right w:type="dxa" w:w="110"/>
            </w:tcMar>
          </w:tcPr>
          <w:p>
            <w:r>
              <w:rPr>
                <w:rFonts w:ascii="Arial" w:cs="Arial" w:eastAsia="Arial" w:hAnsi="Arial"/>
                <w:color w:val="1E293B"/>
                <w:sz w:val="16"/>
                <w:szCs w:val="16"/>
              </w:rPr>
              <w:t xml:space="preserve">Key classes or relationships are missing or named incorrectly.</w:t>
            </w:r>
          </w:p>
        </w:tc>
      </w:tr>
      <w:tr>
        <w:tc>
          <w:tcPr>
            <w:tcW w:type="dxa" w:w="21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r>
              <w:rPr>
                <w:rFonts w:ascii="Arial" w:cs="Arial" w:eastAsia="Arial" w:hAnsi="Arial"/>
                <w:b/>
                <w:bCs/>
                <w:color w:val="1E2761"/>
                <w:sz w:val="17"/>
                <w:szCs w:val="17"/>
              </w:rPr>
              <w:t xml:space="preserve">UML notation</w:t>
            </w:r>
          </w:p>
        </w:tc>
        <w:tc>
          <w:tcPr>
            <w:tcW w:type="dxa" w:w="3420"/>
            <w:tcBorders>
              <w:top w:val="single" w:color="CBD5E1" w:sz="1"/>
              <w:left w:val="single" w:color="CBD5E1" w:sz="1"/>
              <w:bottom w:val="single" w:color="CBD5E1" w:sz="1"/>
              <w:right w:val="single" w:color="CBD5E1" w:sz="1"/>
            </w:tcBorders>
            <w:shd w:fill="F0FDF4" w:val="clear"/>
            <w:tcMar>
              <w:top w:type="dxa" w:w="70"/>
              <w:left w:type="dxa" w:w="110"/>
              <w:bottom w:type="dxa" w:w="70"/>
              <w:right w:type="dxa" w:w="110"/>
            </w:tcMar>
          </w:tcPr>
          <w:p>
            <w:r>
              <w:rPr>
                <w:rFonts w:ascii="Arial" w:cs="Arial" w:eastAsia="Arial" w:hAnsi="Arial"/>
                <w:color w:val="1E293B"/>
                <w:sz w:val="16"/>
                <w:szCs w:val="16"/>
              </w:rPr>
              <w:t xml:space="preserve">Correct stereotypes, multiplicity, arrow types, and frame labels throughout. Standard crow's foot in ERDs.</w:t>
            </w:r>
          </w:p>
        </w:tc>
        <w:tc>
          <w:tcPr>
            <w:tcW w:type="dxa" w:w="2220"/>
            <w:tcBorders>
              <w:top w:val="single" w:color="CBD5E1" w:sz="1"/>
              <w:left w:val="single" w:color="CBD5E1" w:sz="1"/>
              <w:bottom w:val="single" w:color="CBD5E1" w:sz="1"/>
              <w:right w:val="single" w:color="CBD5E1" w:sz="1"/>
            </w:tcBorders>
            <w:shd w:fill="FFFBEB" w:val="clear"/>
            <w:tcMar>
              <w:top w:type="dxa" w:w="70"/>
              <w:left w:type="dxa" w:w="110"/>
              <w:bottom w:type="dxa" w:w="70"/>
              <w:right w:type="dxa" w:w="110"/>
            </w:tcMar>
          </w:tcPr>
          <w:p>
            <w:r>
              <w:rPr>
                <w:rFonts w:ascii="Arial" w:cs="Arial" w:eastAsia="Arial" w:hAnsi="Arial"/>
                <w:color w:val="1E293B"/>
                <w:sz w:val="16"/>
                <w:szCs w:val="16"/>
              </w:rPr>
              <w:t xml:space="preserve">Mostly correct — 1-2 notation errors that do not affect understanding.</w:t>
            </w:r>
          </w:p>
        </w:tc>
        <w:tc>
          <w:tcPr>
            <w:tcW w:type="dxa" w:w="1620"/>
            <w:tcBorders>
              <w:top w:val="single" w:color="CBD5E1" w:sz="1"/>
              <w:left w:val="single" w:color="CBD5E1" w:sz="1"/>
              <w:bottom w:val="single" w:color="CBD5E1" w:sz="1"/>
              <w:right w:val="single" w:color="CBD5E1" w:sz="1"/>
            </w:tcBorders>
            <w:shd w:fill="FEF2F2" w:val="clear"/>
            <w:tcMar>
              <w:top w:type="dxa" w:w="70"/>
              <w:left w:type="dxa" w:w="110"/>
              <w:bottom w:type="dxa" w:w="70"/>
              <w:right w:type="dxa" w:w="110"/>
            </w:tcMar>
          </w:tcPr>
          <w:p>
            <w:r>
              <w:rPr>
                <w:rFonts w:ascii="Arial" w:cs="Arial" w:eastAsia="Arial" w:hAnsi="Arial"/>
                <w:color w:val="1E293B"/>
                <w:sz w:val="16"/>
                <w:szCs w:val="16"/>
              </w:rPr>
              <w:t xml:space="preserve">Multiple notation errors making the diagram misleading or unreadable.</w:t>
            </w:r>
          </w:p>
        </w:tc>
      </w:tr>
      <w:tr>
        <w:tc>
          <w:tcPr>
            <w:tcW w:type="dxa" w:w="21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r>
              <w:rPr>
                <w:rFonts w:ascii="Arial" w:cs="Arial" w:eastAsia="Arial" w:hAnsi="Arial"/>
                <w:b/>
                <w:bCs/>
                <w:color w:val="1E2761"/>
                <w:sz w:val="17"/>
                <w:szCs w:val="17"/>
              </w:rPr>
              <w:t xml:space="preserve">Consistency</w:t>
            </w:r>
          </w:p>
        </w:tc>
        <w:tc>
          <w:tcPr>
            <w:tcW w:type="dxa" w:w="3420"/>
            <w:tcBorders>
              <w:top w:val="single" w:color="CBD5E1" w:sz="1"/>
              <w:left w:val="single" w:color="CBD5E1" w:sz="1"/>
              <w:bottom w:val="single" w:color="CBD5E1" w:sz="1"/>
              <w:right w:val="single" w:color="CBD5E1" w:sz="1"/>
            </w:tcBorders>
            <w:shd w:fill="F0FDF4" w:val="clear"/>
            <w:tcMar>
              <w:top w:type="dxa" w:w="70"/>
              <w:left w:type="dxa" w:w="110"/>
              <w:bottom w:type="dxa" w:w="70"/>
              <w:right w:type="dxa" w:w="110"/>
            </w:tcMar>
          </w:tcPr>
          <w:p>
            <w:r>
              <w:rPr>
                <w:rFonts w:ascii="Arial" w:cs="Arial" w:eastAsia="Arial" w:hAnsi="Arial"/>
                <w:color w:val="1E293B"/>
                <w:sz w:val="16"/>
                <w:szCs w:val="16"/>
              </w:rPr>
              <w:t xml:space="preserve">Class names identical across all 4 diagram types for the same service. No contradictions.</w:t>
            </w:r>
          </w:p>
        </w:tc>
        <w:tc>
          <w:tcPr>
            <w:tcW w:type="dxa" w:w="2220"/>
            <w:tcBorders>
              <w:top w:val="single" w:color="CBD5E1" w:sz="1"/>
              <w:left w:val="single" w:color="CBD5E1" w:sz="1"/>
              <w:bottom w:val="single" w:color="CBD5E1" w:sz="1"/>
              <w:right w:val="single" w:color="CBD5E1" w:sz="1"/>
            </w:tcBorders>
            <w:shd w:fill="FFFBEB" w:val="clear"/>
            <w:tcMar>
              <w:top w:type="dxa" w:w="70"/>
              <w:left w:type="dxa" w:w="110"/>
              <w:bottom w:type="dxa" w:w="70"/>
              <w:right w:type="dxa" w:w="110"/>
            </w:tcMar>
          </w:tcPr>
          <w:p>
            <w:r>
              <w:rPr>
                <w:rFonts w:ascii="Arial" w:cs="Arial" w:eastAsia="Arial" w:hAnsi="Arial"/>
                <w:color w:val="1E293B"/>
                <w:sz w:val="16"/>
                <w:szCs w:val="16"/>
              </w:rPr>
              <w:t xml:space="preserve">1-2 naming inconsistencies between diagram types.</w:t>
            </w:r>
          </w:p>
        </w:tc>
        <w:tc>
          <w:tcPr>
            <w:tcW w:type="dxa" w:w="1620"/>
            <w:tcBorders>
              <w:top w:val="single" w:color="CBD5E1" w:sz="1"/>
              <w:left w:val="single" w:color="CBD5E1" w:sz="1"/>
              <w:bottom w:val="single" w:color="CBD5E1" w:sz="1"/>
              <w:right w:val="single" w:color="CBD5E1" w:sz="1"/>
            </w:tcBorders>
            <w:shd w:fill="FEF2F2" w:val="clear"/>
            <w:tcMar>
              <w:top w:type="dxa" w:w="70"/>
              <w:left w:type="dxa" w:w="110"/>
              <w:bottom w:type="dxa" w:w="70"/>
              <w:right w:type="dxa" w:w="110"/>
            </w:tcMar>
          </w:tcPr>
          <w:p>
            <w:r>
              <w:rPr>
                <w:rFonts w:ascii="Arial" w:cs="Arial" w:eastAsia="Arial" w:hAnsi="Arial"/>
                <w:color w:val="1E293B"/>
                <w:sz w:val="16"/>
                <w:szCs w:val="16"/>
              </w:rPr>
              <w:t xml:space="preserve">Class names differ significantly between diagram types.</w:t>
            </w:r>
          </w:p>
        </w:tc>
      </w:tr>
      <w:tr>
        <w:tc>
          <w:tcPr>
            <w:tcW w:type="dxa" w:w="21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r>
              <w:rPr>
                <w:rFonts w:ascii="Arial" w:cs="Arial" w:eastAsia="Arial" w:hAnsi="Arial"/>
                <w:b/>
                <w:bCs/>
                <w:color w:val="1E2761"/>
                <w:sz w:val="17"/>
                <w:szCs w:val="17"/>
              </w:rPr>
              <w:t xml:space="preserve">Error paths</w:t>
            </w:r>
          </w:p>
        </w:tc>
        <w:tc>
          <w:tcPr>
            <w:tcW w:type="dxa" w:w="3420"/>
            <w:tcBorders>
              <w:top w:val="single" w:color="CBD5E1" w:sz="1"/>
              <w:left w:val="single" w:color="CBD5E1" w:sz="1"/>
              <w:bottom w:val="single" w:color="CBD5E1" w:sz="1"/>
              <w:right w:val="single" w:color="CBD5E1" w:sz="1"/>
            </w:tcBorders>
            <w:shd w:fill="F0FDF4" w:val="clear"/>
            <w:tcMar>
              <w:top w:type="dxa" w:w="70"/>
              <w:left w:type="dxa" w:w="110"/>
              <w:bottom w:type="dxa" w:w="70"/>
              <w:right w:type="dxa" w:w="110"/>
            </w:tcMar>
          </w:tcPr>
          <w:p>
            <w:r>
              <w:rPr>
                <w:rFonts w:ascii="Arial" w:cs="Arial" w:eastAsia="Arial" w:hAnsi="Arial"/>
                <w:color w:val="1E293B"/>
                <w:sz w:val="16"/>
                <w:szCs w:val="16"/>
              </w:rPr>
              <w:t xml:space="preserve">Every Sequence Diagram has at least one meaningful alt frame. Activity Diagrams show all specified decision branches.</w:t>
            </w:r>
          </w:p>
        </w:tc>
        <w:tc>
          <w:tcPr>
            <w:tcW w:type="dxa" w:w="2220"/>
            <w:tcBorders>
              <w:top w:val="single" w:color="CBD5E1" w:sz="1"/>
              <w:left w:val="single" w:color="CBD5E1" w:sz="1"/>
              <w:bottom w:val="single" w:color="CBD5E1" w:sz="1"/>
              <w:right w:val="single" w:color="CBD5E1" w:sz="1"/>
            </w:tcBorders>
            <w:shd w:fill="FFFBEB" w:val="clear"/>
            <w:tcMar>
              <w:top w:type="dxa" w:w="70"/>
              <w:left w:type="dxa" w:w="110"/>
              <w:bottom w:type="dxa" w:w="70"/>
              <w:right w:type="dxa" w:w="110"/>
            </w:tcMar>
          </w:tcPr>
          <w:p>
            <w:r>
              <w:rPr>
                <w:rFonts w:ascii="Arial" w:cs="Arial" w:eastAsia="Arial" w:hAnsi="Arial"/>
                <w:color w:val="1E293B"/>
                <w:sz w:val="16"/>
                <w:szCs w:val="16"/>
              </w:rPr>
              <w:t xml:space="preserve">Error paths shown in Sequence but missing or incomplete in Activity, or vice versa.</w:t>
            </w:r>
          </w:p>
        </w:tc>
        <w:tc>
          <w:tcPr>
            <w:tcW w:type="dxa" w:w="1620"/>
            <w:tcBorders>
              <w:top w:val="single" w:color="CBD5E1" w:sz="1"/>
              <w:left w:val="single" w:color="CBD5E1" w:sz="1"/>
              <w:bottom w:val="single" w:color="CBD5E1" w:sz="1"/>
              <w:right w:val="single" w:color="CBD5E1" w:sz="1"/>
            </w:tcBorders>
            <w:shd w:fill="FEF2F2" w:val="clear"/>
            <w:tcMar>
              <w:top w:type="dxa" w:w="70"/>
              <w:left w:type="dxa" w:w="110"/>
              <w:bottom w:type="dxa" w:w="70"/>
              <w:right w:type="dxa" w:w="110"/>
            </w:tcMar>
          </w:tcPr>
          <w:p>
            <w:r>
              <w:rPr>
                <w:rFonts w:ascii="Arial" w:cs="Arial" w:eastAsia="Arial" w:hAnsi="Arial"/>
                <w:color w:val="1E293B"/>
                <w:sz w:val="16"/>
                <w:szCs w:val="16"/>
              </w:rPr>
              <w:t xml:space="preserve">No error paths shown in either diagram type.</w:t>
            </w:r>
          </w:p>
        </w:tc>
      </w:tr>
      <w:tr>
        <w:tc>
          <w:tcPr>
            <w:tcW w:type="dxa" w:w="21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r>
              <w:rPr>
                <w:rFonts w:ascii="Arial" w:cs="Arial" w:eastAsia="Arial" w:hAnsi="Arial"/>
                <w:b/>
                <w:bCs/>
                <w:color w:val="1E2761"/>
                <w:sz w:val="17"/>
                <w:szCs w:val="17"/>
              </w:rPr>
              <w:t xml:space="preserve">@Lock visible</w:t>
            </w:r>
          </w:p>
        </w:tc>
        <w:tc>
          <w:tcPr>
            <w:tcW w:type="dxa" w:w="3420"/>
            <w:tcBorders>
              <w:top w:val="single" w:color="CBD5E1" w:sz="1"/>
              <w:left w:val="single" w:color="CBD5E1" w:sz="1"/>
              <w:bottom w:val="single" w:color="CBD5E1" w:sz="1"/>
              <w:right w:val="single" w:color="CBD5E1" w:sz="1"/>
            </w:tcBorders>
            <w:shd w:fill="F0FDF4" w:val="clear"/>
            <w:tcMar>
              <w:top w:type="dxa" w:w="70"/>
              <w:left w:type="dxa" w:w="110"/>
              <w:bottom w:type="dxa" w:w="70"/>
              <w:right w:type="dxa" w:w="110"/>
            </w:tcMar>
          </w:tcPr>
          <w:p>
            <w:r>
              <w:rPr>
                <w:rFonts w:ascii="Arial" w:cs="Arial" w:eastAsia="Arial" w:hAnsi="Arial"/>
                <w:color w:val="1E293B"/>
                <w:sz w:val="16"/>
                <w:szCs w:val="16"/>
              </w:rPr>
              <w:t xml:space="preserve">Pessimistic lock shown explicitly in inventory-service and wallet-service class diagrams and sequence diagrams.</w:t>
            </w:r>
          </w:p>
        </w:tc>
        <w:tc>
          <w:tcPr>
            <w:tcW w:type="dxa" w:w="2220"/>
            <w:tcBorders>
              <w:top w:val="single" w:color="CBD5E1" w:sz="1"/>
              <w:left w:val="single" w:color="CBD5E1" w:sz="1"/>
              <w:bottom w:val="single" w:color="CBD5E1" w:sz="1"/>
              <w:right w:val="single" w:color="CBD5E1" w:sz="1"/>
            </w:tcBorders>
            <w:shd w:fill="FFFBEB" w:val="clear"/>
            <w:tcMar>
              <w:top w:type="dxa" w:w="70"/>
              <w:left w:type="dxa" w:w="110"/>
              <w:bottom w:type="dxa" w:w="70"/>
              <w:right w:type="dxa" w:w="110"/>
            </w:tcMar>
          </w:tcPr>
          <w:p>
            <w:r>
              <w:rPr>
                <w:rFonts w:ascii="Arial" w:cs="Arial" w:eastAsia="Arial" w:hAnsi="Arial"/>
                <w:color w:val="1E293B"/>
                <w:sz w:val="16"/>
                <w:szCs w:val="16"/>
              </w:rPr>
              <w:t xml:space="preserve">@Lock visible in one service but missing in the other.</w:t>
            </w:r>
          </w:p>
        </w:tc>
        <w:tc>
          <w:tcPr>
            <w:tcW w:type="dxa" w:w="1620"/>
            <w:tcBorders>
              <w:top w:val="single" w:color="CBD5E1" w:sz="1"/>
              <w:left w:val="single" w:color="CBD5E1" w:sz="1"/>
              <w:bottom w:val="single" w:color="CBD5E1" w:sz="1"/>
              <w:right w:val="single" w:color="CBD5E1" w:sz="1"/>
            </w:tcBorders>
            <w:shd w:fill="FEF2F2" w:val="clear"/>
            <w:tcMar>
              <w:top w:type="dxa" w:w="70"/>
              <w:left w:type="dxa" w:w="110"/>
              <w:bottom w:type="dxa" w:w="70"/>
              <w:right w:type="dxa" w:w="110"/>
            </w:tcMar>
          </w:tcPr>
          <w:p>
            <w:r>
              <w:rPr>
                <w:rFonts w:ascii="Arial" w:cs="Arial" w:eastAsia="Arial" w:hAnsi="Arial"/>
                <w:color w:val="1E293B"/>
                <w:sz w:val="16"/>
                <w:szCs w:val="16"/>
              </w:rPr>
              <w:t xml:space="preserve">@Lock not shown in either service.</w:t>
            </w:r>
          </w:p>
        </w:tc>
      </w:tr>
      <w:tr>
        <w:tc>
          <w:tcPr>
            <w:tcW w:type="dxa" w:w="21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r>
              <w:rPr>
                <w:rFonts w:ascii="Arial" w:cs="Arial" w:eastAsia="Arial" w:hAnsi="Arial"/>
                <w:b/>
                <w:bCs/>
                <w:color w:val="1E2761"/>
                <w:sz w:val="17"/>
                <w:szCs w:val="17"/>
              </w:rPr>
              <w:t xml:space="preserve">Idempotency</w:t>
            </w:r>
          </w:p>
        </w:tc>
        <w:tc>
          <w:tcPr>
            <w:tcW w:type="dxa" w:w="3420"/>
            <w:tcBorders>
              <w:top w:val="single" w:color="CBD5E1" w:sz="1"/>
              <w:left w:val="single" w:color="CBD5E1" w:sz="1"/>
              <w:bottom w:val="single" w:color="CBD5E1" w:sz="1"/>
              <w:right w:val="single" w:color="CBD5E1" w:sz="1"/>
            </w:tcBorders>
            <w:shd w:fill="F0FDF4" w:val="clear"/>
            <w:tcMar>
              <w:top w:type="dxa" w:w="70"/>
              <w:left w:type="dxa" w:w="110"/>
              <w:bottom w:type="dxa" w:w="70"/>
              <w:right w:type="dxa" w:w="110"/>
            </w:tcMar>
          </w:tcPr>
          <w:p>
            <w:r>
              <w:rPr>
                <w:rFonts w:ascii="Arial" w:cs="Arial" w:eastAsia="Arial" w:hAnsi="Arial"/>
                <w:color w:val="1E293B"/>
                <w:sz w:val="16"/>
                <w:szCs w:val="16"/>
              </w:rPr>
              <w:t xml:space="preserve">Idempotency check (existsByReference) clearly shown in wallet-service sequence and activity diagrams as the first step before any balance operation.</w:t>
            </w:r>
          </w:p>
        </w:tc>
        <w:tc>
          <w:tcPr>
            <w:tcW w:type="dxa" w:w="2220"/>
            <w:tcBorders>
              <w:top w:val="single" w:color="CBD5E1" w:sz="1"/>
              <w:left w:val="single" w:color="CBD5E1" w:sz="1"/>
              <w:bottom w:val="single" w:color="CBD5E1" w:sz="1"/>
              <w:right w:val="single" w:color="CBD5E1" w:sz="1"/>
            </w:tcBorders>
            <w:shd w:fill="FFFBEB" w:val="clear"/>
            <w:tcMar>
              <w:top w:type="dxa" w:w="70"/>
              <w:left w:type="dxa" w:w="110"/>
              <w:bottom w:type="dxa" w:w="70"/>
              <w:right w:type="dxa" w:w="110"/>
            </w:tcMar>
          </w:tcPr>
          <w:p>
            <w:r>
              <w:rPr>
                <w:rFonts w:ascii="Arial" w:cs="Arial" w:eastAsia="Arial" w:hAnsi="Arial"/>
                <w:color w:val="1E293B"/>
                <w:sz w:val="16"/>
                <w:szCs w:val="16"/>
              </w:rPr>
              <w:t xml:space="preserve">Idempotency shown in one diagram but not the other.</w:t>
            </w:r>
          </w:p>
        </w:tc>
        <w:tc>
          <w:tcPr>
            <w:tcW w:type="dxa" w:w="1620"/>
            <w:tcBorders>
              <w:top w:val="single" w:color="CBD5E1" w:sz="1"/>
              <w:left w:val="single" w:color="CBD5E1" w:sz="1"/>
              <w:bottom w:val="single" w:color="CBD5E1" w:sz="1"/>
              <w:right w:val="single" w:color="CBD5E1" w:sz="1"/>
            </w:tcBorders>
            <w:shd w:fill="FEF2F2" w:val="clear"/>
            <w:tcMar>
              <w:top w:type="dxa" w:w="70"/>
              <w:left w:type="dxa" w:w="110"/>
              <w:bottom w:type="dxa" w:w="70"/>
              <w:right w:type="dxa" w:w="110"/>
            </w:tcMar>
          </w:tcPr>
          <w:p>
            <w:r>
              <w:rPr>
                <w:rFonts w:ascii="Arial" w:cs="Arial" w:eastAsia="Arial" w:hAnsi="Arial"/>
                <w:color w:val="1E293B"/>
                <w:sz w:val="16"/>
                <w:szCs w:val="16"/>
              </w:rPr>
              <w:t xml:space="preserve">Idempotency not shown.</w:t>
            </w:r>
          </w:p>
        </w:tc>
      </w:tr>
      <w:tr>
        <w:tc>
          <w:tcPr>
            <w:tcW w:type="dxa" w:w="21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r>
              <w:rPr>
                <w:rFonts w:ascii="Arial" w:cs="Arial" w:eastAsia="Arial" w:hAnsi="Arial"/>
                <w:b/>
                <w:bCs/>
                <w:color w:val="1E2761"/>
                <w:sz w:val="17"/>
                <w:szCs w:val="17"/>
              </w:rPr>
              <w:t xml:space="preserve">Immutable ledger</w:t>
            </w:r>
          </w:p>
        </w:tc>
        <w:tc>
          <w:tcPr>
            <w:tcW w:type="dxa" w:w="3420"/>
            <w:tcBorders>
              <w:top w:val="single" w:color="CBD5E1" w:sz="1"/>
              <w:left w:val="single" w:color="CBD5E1" w:sz="1"/>
              <w:bottom w:val="single" w:color="CBD5E1" w:sz="1"/>
              <w:right w:val="single" w:color="CBD5E1" w:sz="1"/>
            </w:tcBorders>
            <w:shd w:fill="F0FDF4" w:val="clear"/>
            <w:tcMar>
              <w:top w:type="dxa" w:w="70"/>
              <w:left w:type="dxa" w:w="110"/>
              <w:bottom w:type="dxa" w:w="70"/>
              <w:right w:type="dxa" w:w="110"/>
            </w:tcMar>
          </w:tcPr>
          <w:p>
            <w:r>
              <w:rPr>
                <w:rFonts w:ascii="Arial" w:cs="Arial" w:eastAsia="Arial" w:hAnsi="Arial"/>
                <w:color w:val="1E293B"/>
                <w:sz w:val="16"/>
                <w:szCs w:val="16"/>
              </w:rPr>
              <w:t xml:space="preserve">WalletTransaction has no updatedAt in both the class diagram and the ERD. Append-only note present on the ERD table.</w:t>
            </w:r>
          </w:p>
        </w:tc>
        <w:tc>
          <w:tcPr>
            <w:tcW w:type="dxa" w:w="2220"/>
            <w:tcBorders>
              <w:top w:val="single" w:color="CBD5E1" w:sz="1"/>
              <w:left w:val="single" w:color="CBD5E1" w:sz="1"/>
              <w:bottom w:val="single" w:color="CBD5E1" w:sz="1"/>
              <w:right w:val="single" w:color="CBD5E1" w:sz="1"/>
            </w:tcBorders>
            <w:shd w:fill="FFFBEB" w:val="clear"/>
            <w:tcMar>
              <w:top w:type="dxa" w:w="70"/>
              <w:left w:type="dxa" w:w="110"/>
              <w:bottom w:type="dxa" w:w="70"/>
              <w:right w:type="dxa" w:w="110"/>
            </w:tcMar>
          </w:tcPr>
          <w:p>
            <w:r>
              <w:rPr>
                <w:rFonts w:ascii="Arial" w:cs="Arial" w:eastAsia="Arial" w:hAnsi="Arial"/>
                <w:color w:val="1E293B"/>
                <w:sz w:val="16"/>
                <w:szCs w:val="16"/>
              </w:rPr>
              <w:t xml:space="preserve">Missing in one of the two diagrams.</w:t>
            </w:r>
          </w:p>
        </w:tc>
        <w:tc>
          <w:tcPr>
            <w:tcW w:type="dxa" w:w="1620"/>
            <w:tcBorders>
              <w:top w:val="single" w:color="CBD5E1" w:sz="1"/>
              <w:left w:val="single" w:color="CBD5E1" w:sz="1"/>
              <w:bottom w:val="single" w:color="CBD5E1" w:sz="1"/>
              <w:right w:val="single" w:color="CBD5E1" w:sz="1"/>
            </w:tcBorders>
            <w:shd w:fill="FEF2F2" w:val="clear"/>
            <w:tcMar>
              <w:top w:type="dxa" w:w="70"/>
              <w:left w:type="dxa" w:w="110"/>
              <w:bottom w:type="dxa" w:w="70"/>
              <w:right w:type="dxa" w:w="110"/>
            </w:tcMar>
          </w:tcPr>
          <w:p>
            <w:r>
              <w:rPr>
                <w:rFonts w:ascii="Arial" w:cs="Arial" w:eastAsia="Arial" w:hAnsi="Arial"/>
                <w:color w:val="1E293B"/>
                <w:sz w:val="16"/>
                <w:szCs w:val="16"/>
              </w:rPr>
              <w:t xml:space="preserve">WalletTransaction incorrectly shows an updatedAt field.</w:t>
            </w:r>
          </w:p>
        </w:tc>
      </w:tr>
      <w:tr>
        <w:tc>
          <w:tcPr>
            <w:tcW w:type="dxa" w:w="21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r>
              <w:rPr>
                <w:rFonts w:ascii="Arial" w:cs="Arial" w:eastAsia="Arial" w:hAnsi="Arial"/>
                <w:b/>
                <w:bCs/>
                <w:color w:val="1E2761"/>
                <w:sz w:val="17"/>
                <w:szCs w:val="17"/>
              </w:rPr>
              <w:t xml:space="preserve">Cross-service FKs</w:t>
            </w:r>
          </w:p>
        </w:tc>
        <w:tc>
          <w:tcPr>
            <w:tcW w:type="dxa" w:w="3420"/>
            <w:tcBorders>
              <w:top w:val="single" w:color="CBD5E1" w:sz="1"/>
              <w:left w:val="single" w:color="CBD5E1" w:sz="1"/>
              <w:bottom w:val="single" w:color="CBD5E1" w:sz="1"/>
              <w:right w:val="single" w:color="CBD5E1" w:sz="1"/>
            </w:tcBorders>
            <w:shd w:fill="F0FDF4" w:val="clear"/>
            <w:tcMar>
              <w:top w:type="dxa" w:w="70"/>
              <w:left w:type="dxa" w:w="110"/>
              <w:bottom w:type="dxa" w:w="70"/>
              <w:right w:type="dxa" w:w="110"/>
            </w:tcMar>
          </w:tcPr>
          <w:p>
            <w:r>
              <w:rPr>
                <w:rFonts w:ascii="Arial" w:cs="Arial" w:eastAsia="Arial" w:hAnsi="Arial"/>
                <w:color w:val="1E293B"/>
                <w:sz w:val="16"/>
                <w:szCs w:val="16"/>
              </w:rPr>
              <w:t xml:space="preserve">All cross-service references in ERDs are labelled as logical FKs. Intra-service FKs are shown as physical FKs with crow's foot.</w:t>
            </w:r>
          </w:p>
        </w:tc>
        <w:tc>
          <w:tcPr>
            <w:tcW w:type="dxa" w:w="2220"/>
            <w:tcBorders>
              <w:top w:val="single" w:color="CBD5E1" w:sz="1"/>
              <w:left w:val="single" w:color="CBD5E1" w:sz="1"/>
              <w:bottom w:val="single" w:color="CBD5E1" w:sz="1"/>
              <w:right w:val="single" w:color="CBD5E1" w:sz="1"/>
            </w:tcBorders>
            <w:shd w:fill="FFFBEB" w:val="clear"/>
            <w:tcMar>
              <w:top w:type="dxa" w:w="70"/>
              <w:left w:type="dxa" w:w="110"/>
              <w:bottom w:type="dxa" w:w="70"/>
              <w:right w:type="dxa" w:w="110"/>
            </w:tcMar>
          </w:tcPr>
          <w:p>
            <w:r>
              <w:rPr>
                <w:rFonts w:ascii="Arial" w:cs="Arial" w:eastAsia="Arial" w:hAnsi="Arial"/>
                <w:color w:val="1E293B"/>
                <w:sz w:val="16"/>
                <w:szCs w:val="16"/>
              </w:rPr>
              <w:t xml:space="preserve">1-2 cross-service references incorrectly shown as physical FKs.</w:t>
            </w:r>
          </w:p>
        </w:tc>
        <w:tc>
          <w:tcPr>
            <w:tcW w:type="dxa" w:w="1620"/>
            <w:tcBorders>
              <w:top w:val="single" w:color="CBD5E1" w:sz="1"/>
              <w:left w:val="single" w:color="CBD5E1" w:sz="1"/>
              <w:bottom w:val="single" w:color="CBD5E1" w:sz="1"/>
              <w:right w:val="single" w:color="CBD5E1" w:sz="1"/>
            </w:tcBorders>
            <w:shd w:fill="FEF2F2" w:val="clear"/>
            <w:tcMar>
              <w:top w:type="dxa" w:w="70"/>
              <w:left w:type="dxa" w:w="110"/>
              <w:bottom w:type="dxa" w:w="70"/>
              <w:right w:type="dxa" w:w="110"/>
            </w:tcMar>
          </w:tcPr>
          <w:p>
            <w:r>
              <w:rPr>
                <w:rFonts w:ascii="Arial" w:cs="Arial" w:eastAsia="Arial" w:hAnsi="Arial"/>
                <w:color w:val="1E293B"/>
                <w:sz w:val="16"/>
                <w:szCs w:val="16"/>
              </w:rPr>
              <w:t xml:space="preserve">No distinction between logical and physical FKs.</w:t>
            </w:r>
          </w:p>
        </w:tc>
      </w:tr>
      <w:tr>
        <w:tc>
          <w:tcPr>
            <w:tcW w:type="dxa" w:w="21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r>
              <w:rPr>
                <w:rFonts w:ascii="Arial" w:cs="Arial" w:eastAsia="Arial" w:hAnsi="Arial"/>
                <w:b/>
                <w:bCs/>
                <w:color w:val="1E2761"/>
                <w:sz w:val="17"/>
                <w:szCs w:val="17"/>
              </w:rPr>
              <w:t xml:space="preserve">Clarity</w:t>
            </w:r>
          </w:p>
        </w:tc>
        <w:tc>
          <w:tcPr>
            <w:tcW w:type="dxa" w:w="3420"/>
            <w:tcBorders>
              <w:top w:val="single" w:color="CBD5E1" w:sz="1"/>
              <w:left w:val="single" w:color="CBD5E1" w:sz="1"/>
              <w:bottom w:val="single" w:color="CBD5E1" w:sz="1"/>
              <w:right w:val="single" w:color="CBD5E1" w:sz="1"/>
            </w:tcBorders>
            <w:shd w:fill="F0FDF4" w:val="clear"/>
            <w:tcMar>
              <w:top w:type="dxa" w:w="70"/>
              <w:left w:type="dxa" w:w="110"/>
              <w:bottom w:type="dxa" w:w="70"/>
              <w:right w:type="dxa" w:w="110"/>
            </w:tcMar>
          </w:tcPr>
          <w:p>
            <w:r>
              <w:rPr>
                <w:rFonts w:ascii="Arial" w:cs="Arial" w:eastAsia="Arial" w:hAnsi="Arial"/>
                <w:color w:val="1E293B"/>
                <w:sz w:val="16"/>
                <w:szCs w:val="16"/>
              </w:rPr>
              <w:t xml:space="preserve">Diagrams are readable, well-spaced, and colour-coded by layer. No overlapping text or arrows.</w:t>
            </w:r>
          </w:p>
        </w:tc>
        <w:tc>
          <w:tcPr>
            <w:tcW w:type="dxa" w:w="2220"/>
            <w:tcBorders>
              <w:top w:val="single" w:color="CBD5E1" w:sz="1"/>
              <w:left w:val="single" w:color="CBD5E1" w:sz="1"/>
              <w:bottom w:val="single" w:color="CBD5E1" w:sz="1"/>
              <w:right w:val="single" w:color="CBD5E1" w:sz="1"/>
            </w:tcBorders>
            <w:shd w:fill="FFFBEB" w:val="clear"/>
            <w:tcMar>
              <w:top w:type="dxa" w:w="70"/>
              <w:left w:type="dxa" w:w="110"/>
              <w:bottom w:type="dxa" w:w="70"/>
              <w:right w:type="dxa" w:w="110"/>
            </w:tcMar>
          </w:tcPr>
          <w:p>
            <w:r>
              <w:rPr>
                <w:rFonts w:ascii="Arial" w:cs="Arial" w:eastAsia="Arial" w:hAnsi="Arial"/>
                <w:color w:val="1E293B"/>
                <w:sz w:val="16"/>
                <w:szCs w:val="16"/>
              </w:rPr>
              <w:t xml:space="preserve">Readable with minor layout issues (crowded areas or minor overlaps).</w:t>
            </w:r>
          </w:p>
        </w:tc>
        <w:tc>
          <w:tcPr>
            <w:tcW w:type="dxa" w:w="1620"/>
            <w:tcBorders>
              <w:top w:val="single" w:color="CBD5E1" w:sz="1"/>
              <w:left w:val="single" w:color="CBD5E1" w:sz="1"/>
              <w:bottom w:val="single" w:color="CBD5E1" w:sz="1"/>
              <w:right w:val="single" w:color="CBD5E1" w:sz="1"/>
            </w:tcBorders>
            <w:shd w:fill="FEF2F2" w:val="clear"/>
            <w:tcMar>
              <w:top w:type="dxa" w:w="70"/>
              <w:left w:type="dxa" w:w="110"/>
              <w:bottom w:type="dxa" w:w="70"/>
              <w:right w:type="dxa" w:w="110"/>
            </w:tcMar>
          </w:tcPr>
          <w:p>
            <w:r>
              <w:rPr>
                <w:rFonts w:ascii="Arial" w:cs="Arial" w:eastAsia="Arial" w:hAnsi="Arial"/>
                <w:color w:val="1E293B"/>
                <w:sz w:val="16"/>
                <w:szCs w:val="16"/>
              </w:rPr>
              <w:t xml:space="preserve">Difficult to read due to layout or density.</w:t>
            </w:r>
          </w:p>
        </w:tc>
      </w:tr>
      <w:tr>
        <w:tc>
          <w:tcPr>
            <w:tcW w:type="dxa" w:w="2100"/>
            <w:tcBorders>
              <w:top w:val="single" w:color="CBD5E1" w:sz="1"/>
              <w:left w:val="single" w:color="CBD5E1" w:sz="1"/>
              <w:bottom w:val="single" w:color="CBD5E1" w:sz="1"/>
              <w:right w:val="single" w:color="CBD5E1" w:sz="1"/>
            </w:tcBorders>
            <w:shd w:fill="EFF6FF" w:val="clear"/>
            <w:tcMar>
              <w:top w:type="dxa" w:w="70"/>
              <w:left w:type="dxa" w:w="110"/>
              <w:bottom w:type="dxa" w:w="70"/>
              <w:right w:type="dxa" w:w="110"/>
            </w:tcMar>
          </w:tcPr>
          <w:p>
            <w:r>
              <w:rPr>
                <w:rFonts w:ascii="Arial" w:cs="Arial" w:eastAsia="Arial" w:hAnsi="Arial"/>
                <w:b/>
                <w:bCs/>
                <w:color w:val="1E2761"/>
                <w:sz w:val="17"/>
                <w:szCs w:val="17"/>
              </w:rPr>
              <w:t xml:space="preserve">Reflection</w:t>
            </w:r>
          </w:p>
        </w:tc>
        <w:tc>
          <w:tcPr>
            <w:tcW w:type="dxa" w:w="3420"/>
            <w:tcBorders>
              <w:top w:val="single" w:color="CBD5E1" w:sz="1"/>
              <w:left w:val="single" w:color="CBD5E1" w:sz="1"/>
              <w:bottom w:val="single" w:color="CBD5E1" w:sz="1"/>
              <w:right w:val="single" w:color="CBD5E1" w:sz="1"/>
            </w:tcBorders>
            <w:shd w:fill="F0FDF4" w:val="clear"/>
            <w:tcMar>
              <w:top w:type="dxa" w:w="70"/>
              <w:left w:type="dxa" w:w="110"/>
              <w:bottom w:type="dxa" w:w="70"/>
              <w:right w:type="dxa" w:w="110"/>
            </w:tcMar>
          </w:tcPr>
          <w:p>
            <w:r>
              <w:rPr>
                <w:rFonts w:ascii="Arial" w:cs="Arial" w:eastAsia="Arial" w:hAnsi="Arial"/>
                <w:color w:val="1E293B"/>
                <w:sz w:val="16"/>
                <w:szCs w:val="16"/>
              </w:rPr>
              <w:t xml:space="preserve">Written reflections demonstrate genuine design thinking — not just descriptions of what is in the diagram.</w:t>
            </w:r>
          </w:p>
        </w:tc>
        <w:tc>
          <w:tcPr>
            <w:tcW w:type="dxa" w:w="2220"/>
            <w:tcBorders>
              <w:top w:val="single" w:color="CBD5E1" w:sz="1"/>
              <w:left w:val="single" w:color="CBD5E1" w:sz="1"/>
              <w:bottom w:val="single" w:color="CBD5E1" w:sz="1"/>
              <w:right w:val="single" w:color="CBD5E1" w:sz="1"/>
            </w:tcBorders>
            <w:shd w:fill="FFFBEB" w:val="clear"/>
            <w:tcMar>
              <w:top w:type="dxa" w:w="70"/>
              <w:left w:type="dxa" w:w="110"/>
              <w:bottom w:type="dxa" w:w="70"/>
              <w:right w:type="dxa" w:w="110"/>
            </w:tcMar>
          </w:tcPr>
          <w:p>
            <w:r>
              <w:rPr>
                <w:rFonts w:ascii="Arial" w:cs="Arial" w:eastAsia="Arial" w:hAnsi="Arial"/>
                <w:color w:val="1E293B"/>
                <w:sz w:val="16"/>
                <w:szCs w:val="16"/>
              </w:rPr>
              <w:t xml:space="preserve">Reflections are descriptive but lack design reasoning.</w:t>
            </w:r>
          </w:p>
        </w:tc>
        <w:tc>
          <w:tcPr>
            <w:tcW w:type="dxa" w:w="1620"/>
            <w:tcBorders>
              <w:top w:val="single" w:color="CBD5E1" w:sz="1"/>
              <w:left w:val="single" w:color="CBD5E1" w:sz="1"/>
              <w:bottom w:val="single" w:color="CBD5E1" w:sz="1"/>
              <w:right w:val="single" w:color="CBD5E1" w:sz="1"/>
            </w:tcBorders>
            <w:shd w:fill="FEF2F2" w:val="clear"/>
            <w:tcMar>
              <w:top w:type="dxa" w:w="70"/>
              <w:left w:type="dxa" w:w="110"/>
              <w:bottom w:type="dxa" w:w="70"/>
              <w:right w:type="dxa" w:w="110"/>
            </w:tcMar>
          </w:tcPr>
          <w:p>
            <w:r>
              <w:rPr>
                <w:rFonts w:ascii="Arial" w:cs="Arial" w:eastAsia="Arial" w:hAnsi="Arial"/>
                <w:color w:val="1E293B"/>
                <w:sz w:val="16"/>
                <w:szCs w:val="16"/>
              </w:rPr>
              <w:t xml:space="preserve">Reflections are missing or one line per diagram.</w:t>
            </w:r>
          </w:p>
        </w:tc>
      </w:tr>
    </w:tbl>
    <w:p>
      <w:pPr>
        <w:spacing w:before="200" w:after="0"/>
      </w:pPr>
      <w:r>
        <w:rPr>
          <w:rFonts w:ascii="Arial" w:cs="Arial" w:eastAsia="Arial" w:hAnsi="Arial"/>
        </w:rPr>
        <w:t xml:space="preserve"/>
      </w:r>
    </w:p>
    <w:p>
      <w:pPr>
        <w:pStyle w:val="Heading2"/>
        <w:spacing w:before="300" w:after="120"/>
      </w:pPr>
      <w:r>
        <w:rPr>
          <w:rFonts w:ascii="Arial" w:cs="Arial" w:eastAsia="Arial" w:hAnsi="Arial"/>
          <w:b/>
          <w:bCs/>
          <w:color w:val="1E293B"/>
          <w:sz w:val="26"/>
          <w:szCs w:val="26"/>
        </w:rPr>
        <w:t xml:space="preserve">5.3  Resources</w:t>
      </w:r>
    </w:p>
    <w:p>
      <w:pPr>
        <w:pStyle w:val="ListParagraph"/>
        <w:numPr>
          <w:ilvl w:val="0"/>
          <w:numId w:val="2"/>
        </w:numPr>
        <w:spacing w:before="50" w:after="50"/>
      </w:pPr>
      <w:r>
        <w:rPr>
          <w:rFonts w:ascii="Arial" w:cs="Arial" w:eastAsia="Arial" w:hAnsi="Arial"/>
          <w:color w:val="1E293B"/>
          <w:sz w:val="21"/>
          <w:szCs w:val="21"/>
        </w:rPr>
        <w:t xml:space="preserve">draw.io UML guide: https://www.drawio.com/blog/uml-class-diagrams</w:t>
      </w:r>
    </w:p>
    <w:p>
      <w:pPr>
        <w:pStyle w:val="ListParagraph"/>
        <w:numPr>
          <w:ilvl w:val="0"/>
          <w:numId w:val="2"/>
        </w:numPr>
        <w:spacing w:before="50" w:after="50"/>
      </w:pPr>
      <w:r>
        <w:rPr>
          <w:rFonts w:ascii="Arial" w:cs="Arial" w:eastAsia="Arial" w:hAnsi="Arial"/>
          <w:color w:val="1E293B"/>
          <w:sz w:val="21"/>
          <w:szCs w:val="21"/>
        </w:rPr>
        <w:t xml:space="preserve">UML sequence diagram notation: https://www.uml-diagrams.org/sequence-diagrams.html</w:t>
      </w:r>
    </w:p>
    <w:p>
      <w:pPr>
        <w:pStyle w:val="ListParagraph"/>
        <w:numPr>
          <w:ilvl w:val="0"/>
          <w:numId w:val="2"/>
        </w:numPr>
        <w:spacing w:before="50" w:after="50"/>
      </w:pPr>
      <w:r>
        <w:rPr>
          <w:rFonts w:ascii="Arial" w:cs="Arial" w:eastAsia="Arial" w:hAnsi="Arial"/>
          <w:color w:val="1E293B"/>
          <w:sz w:val="21"/>
          <w:szCs w:val="21"/>
        </w:rPr>
        <w:t xml:space="preserve">Crow's foot ERD notation reference: https://www.gleek.io/blog/crows-foot-notation</w:t>
      </w:r>
    </w:p>
    <w:p>
      <w:pPr>
        <w:pStyle w:val="ListParagraph"/>
        <w:numPr>
          <w:ilvl w:val="0"/>
          <w:numId w:val="2"/>
        </w:numPr>
        <w:spacing w:before="50" w:after="50"/>
      </w:pPr>
      <w:r>
        <w:rPr>
          <w:rFonts w:ascii="Arial" w:cs="Arial" w:eastAsia="Arial" w:hAnsi="Arial"/>
          <w:color w:val="1E293B"/>
          <w:sz w:val="21"/>
          <w:szCs w:val="21"/>
        </w:rPr>
        <w:t xml:space="preserve">PlantUML (text-based alternative for sequence diagrams): https://plantuml.com/sequence-diagram</w:t>
      </w:r>
    </w:p>
    <w:p>
      <w:pPr>
        <w:pStyle w:val="ListParagraph"/>
        <w:numPr>
          <w:ilvl w:val="0"/>
          <w:numId w:val="2"/>
        </w:numPr>
        <w:spacing w:before="50" w:after="50"/>
      </w:pPr>
      <w:r>
        <w:rPr>
          <w:rFonts w:ascii="Arial" w:cs="Arial" w:eastAsia="Arial" w:hAnsi="Arial"/>
          <w:color w:val="1E293B"/>
          <w:sz w:val="21"/>
          <w:szCs w:val="21"/>
        </w:rPr>
        <w:t xml:space="preserve">ShopFlow PRD documents (product-service, inventory-service, wallet-service) — entities listed there are your source of truth for field names and types</w:t>
      </w:r>
    </w:p>
    <w:p>
      <w:pPr>
        <w:pStyle w:val="ListParagraph"/>
        <w:numPr>
          <w:ilvl w:val="0"/>
          <w:numId w:val="2"/>
        </w:numPr>
        <w:spacing w:before="50" w:after="50"/>
      </w:pPr>
      <w:r>
        <w:rPr>
          <w:rFonts w:ascii="Arial" w:cs="Arial" w:eastAsia="Arial" w:hAnsi="Arial"/>
          <w:color w:val="1E293B"/>
          <w:sz w:val="21"/>
          <w:szCs w:val="21"/>
        </w:rPr>
        <w:t xml:space="preserve">Your instructor-provided class, sequence, activity, and ERD diagrams shown in class — use these as a structural reference, but your submission must be your own work</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6"/>
      </w:pBdr>
      <w:jc w:val="center"/>
    </w:pPr>
    <w:r>
      <w:rPr>
        <w:rFonts w:ascii="Arial" w:cs="Arial" w:eastAsia="Arial" w:hAnsi="Arial"/>
        <w:color w:val="475569"/>
        <w:sz w:val="17"/>
        <w:szCs w:val="17"/>
      </w:rPr>
      <w:t xml:space="preserve">Semicolon Africa  ·  Spring Boot Course  ·  Page </w:t>
    </w:r>
    <w:r>
      <w:rPr>
        <w:rFonts w:ascii="Arial" w:cs="Arial" w:eastAsia="Arial" w:hAnsi="Arial"/>
        <w:color w:val="475569"/>
        <w:sz w:val="17"/>
        <w:szCs w:val="17"/>
      </w:rPr>
      <w:fldChar w:fldCharType="begin"/>
      <w:instrText xml:space="preserve">PAGE</w:instrText>
      <w:fldChar w:fldCharType="separate"/>
      <w:fldChar w:fldCharType="end"/>
    </w:r>
    <w:r>
      <w:rPr>
        <w:rFonts w:ascii="Arial" w:cs="Arial" w:eastAsia="Arial" w:hAnsi="Arial"/>
        <w:color w:val="475569"/>
        <w:sz w:val="17"/>
        <w:szCs w:val="17"/>
      </w:rPr>
      <w:t xml:space="preserve"> of </w:t>
    </w:r>
    <w:r>
      <w:rPr>
        <w:rFonts w:ascii="Arial" w:cs="Arial" w:eastAsia="Arial" w:hAnsi="Arial"/>
        <w:color w:val="47556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6"/>
      </w:pBdr>
    </w:pPr>
    <w:r>
      <w:rPr>
        <w:rFonts w:ascii="Arial" w:cs="Arial" w:eastAsia="Arial" w:hAnsi="Arial"/>
        <w:color w:val="475569"/>
        <w:sz w:val="17"/>
        <w:szCs w:val="17"/>
      </w:rPr>
      <w:t xml:space="preserve">ShopFlow  |  Diagram Assignment  |  product-service · inventory-service · wallet-service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Arial" w:cs="Arial" w:eastAsia="Arial" w:hAnsi="Arial"/>
      <w:b/>
      <w:bCs/>
      <w:color w:val="1E2761"/>
      <w:sz w:val="34"/>
      <w:szCs w:val="34"/>
    </w:rPr>
  </w:style>
  <w:style w:type="paragraph" w:styleId="Heading2">
    <w:name w:val="Heading 2"/>
    <w:basedOn w:val="Normal"/>
    <w:next w:val="Normal"/>
    <w:qFormat/>
    <w:pPr>
      <w:spacing w:before="300" w:after="120"/>
      <w:outlineLvl w:val="1"/>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2026-03-21T18:47:57.674Z</dcterms:created>
  <dcterms:modified xsi:type="dcterms:W3CDTF">2026-03-21T18:47:57.675Z</dcterms:modified>
</cp:coreProperties>
</file>

<file path=docProps/custom.xml><?xml version="1.0" encoding="utf-8"?>
<Properties xmlns="http://schemas.openxmlformats.org/officeDocument/2006/custom-properties" xmlns:vt="http://schemas.openxmlformats.org/officeDocument/2006/docPropsVTypes"/>
</file>