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4: COMPREHENSIVE SECURITY AUDIT</w:t>
        <w:br/>
        <w:t>AND STRATEGIC RECOMMENDATIONS</w:t>
      </w:r>
    </w:p>
    <w:p>
      <w:pPr>
        <w:jc w:val="center"/>
      </w:pPr>
      <w:r>
        <w:rPr>
          <w:i/>
        </w:rPr>
        <w:t>Cybersecurity Analyst Internship</w:t>
      </w:r>
    </w:p>
    <w:p>
      <w:r>
        <w:t>Prepared by: Fathima Fidha</w:t>
        <w:br/>
        <w:t>Project type: Simulated enterprise security audit</w:t>
        <w:br/>
        <w:t>Report status: Framework-based assessment and audit plan; environment-specific validation pending</w:t>
      </w:r>
    </w:p>
    <w:p>
      <w:pPr>
        <w:pStyle w:val="Heading1"/>
      </w:pPr>
      <w:r>
        <w:t>1. Executive Summary</w:t>
      </w:r>
    </w:p>
    <w:p>
      <w:r>
        <w:t>This report presents a structured security audit approach for a simulated enterprise environment. It reviews the major areas that should be assessed across endpoints, servers, networks, applications, identity and access management, data protection, monitoring, backup and incident response. The assessment is organized around widely used guidance from NIST Cybersecurity Framework, CIS Critical Security Controls, ISO/IEC 27001 and OWASP guidance for applications.</w:t>
      </w:r>
    </w:p>
    <w:p>
      <w:r>
        <w:t>The task description does not provide a specific lab URL, asset list, configuration exports, scan output, logs or screenshots. Therefore, this document does not claim that live systems were scanned or that specific vulnerabilities were confirmed. Findings below are framed as control gaps to validate during an authorized assessment, not as proven weaknesses in a real organization. Before final sign-off, the asset inventory, test results and evidence should be updated using the approved simulated environment.</w:t>
      </w:r>
    </w:p>
    <w:p>
      <w:pPr>
        <w:pStyle w:val="Heading1"/>
      </w:pPr>
      <w:r>
        <w:t>2. Audit Objectives and Scope</w:t>
      </w:r>
    </w:p>
    <w:p>
      <w:r>
        <w:t>Objectives: (1) identify assets and security controls in scope; (2) assess whether controls are designed and operating effectively; (3) compare available evidence with recognized security guidance; (4) identify gaps and rank risks; and (5) propose immediate remediation and a longer-term improvement roadmap.</w:t>
      </w:r>
    </w:p>
    <w:p>
      <w:r>
        <w:t>Proposed scope: user endpoints, servers and virtual machines, network devices and segmentation, enterprise applications, user accounts and privileged access, data storage and backups, logging and monitoring, vulnerability management, security policies, and incident-response readiness.</w:t>
      </w:r>
    </w:p>
    <w:p>
      <w:r>
        <w:t>Out of scope unless explicitly authorized: testing public systems, denial-of-service activity, destructive exploitation, access to real user data, credential harvesting, and any system not listed in the approved lab scope.</w:t>
      </w:r>
    </w:p>
    <w:p>
      <w:pPr>
        <w:pStyle w:val="Heading1"/>
      </w:pPr>
      <w:r>
        <w:t>3. Standards and Methodology</w:t>
      </w:r>
    </w:p>
    <w:p>
      <w:r>
        <w:t>The audit method is a review-and-validate process: define scope; inventory assets; collect configuration and policy evidence; inspect security controls; perform only approved non-destructive tests; compare results with baseline guidance; rate likelihood and impact; agree remediation priorities; and retest after changes.</w:t>
      </w:r>
    </w:p>
    <w:p>
      <w:pPr>
        <w:pStyle w:val="ListBullet"/>
      </w:pPr>
      <w:r>
        <w:t>NIST Cybersecurity Framework 2.0: Govern, Identify, Protect, Detect, Respond and Recover.</w:t>
      </w:r>
    </w:p>
    <w:p>
      <w:pPr>
        <w:pStyle w:val="ListBullet"/>
      </w:pPr>
      <w:r>
        <w:t>CIS Critical Security Controls: asset inventory, secure configuration, account management, vulnerability management, audit logging, data protection and recovery.</w:t>
      </w:r>
    </w:p>
    <w:p>
      <w:pPr>
        <w:pStyle w:val="ListBullet"/>
      </w:pPr>
      <w:r>
        <w:t>ISO/IEC 27001: information-security management, risk treatment, documented controls and continual improvement.</w:t>
      </w:r>
    </w:p>
    <w:p>
      <w:pPr>
        <w:pStyle w:val="ListBullet"/>
      </w:pPr>
      <w:r>
        <w:t>OWASP Web Security Testing Guide: use only if web applications are explicitly included in the authorized lab.</w:t>
      </w:r>
    </w:p>
    <w:p>
      <w:r>
        <w:t>Evidence sources to collect: approved asset inventory, configuration screenshots, access-control settings, patch reports, vulnerability scanner output, firewall rules, endpoint-protection status, backup test records, sample security logs, incident-response documents and application test results. Record the date, source, test method, expected result, actual result and evidence filename for each test.</w:t>
      </w:r>
    </w:p>
    <w:p>
      <w:pPr>
        <w:pStyle w:val="Heading1"/>
      </w:pPr>
      <w:r>
        <w:t>4. Virtual Asset Inventory</w:t>
      </w:r>
    </w:p>
    <w:p>
      <w:r>
        <w:t>No actual asset inventory was supplied with the task instructions. The table below is a template for recording assets discovered in the approved simulated environment; entries must be completed with verified details.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spacing w:after="40"/>
            </w:pPr>
            <w:r>
              <w:rPr>
                <w:rFonts w:ascii="Arial" w:hAnsi="Arial"/>
                <w:sz w:val="16"/>
              </w:rPr>
              <w:t>Asset ID</w:t>
            </w:r>
          </w:p>
        </w:tc>
        <w:tc>
          <w:tcPr>
            <w:tcW w:type="dxa" w:w="2016"/>
            <w:vAlign w:val="center"/>
          </w:tcPr>
          <w:p>
            <w:pPr>
              <w:spacing w:after="40"/>
            </w:pPr>
            <w:r>
              <w:rPr>
                <w:rFonts w:ascii="Arial" w:hAnsi="Arial"/>
                <w:sz w:val="16"/>
              </w:rPr>
              <w:t>Asset / Role</w:t>
            </w:r>
          </w:p>
        </w:tc>
        <w:tc>
          <w:tcPr>
            <w:tcW w:type="dxa" w:w="2016"/>
            <w:vAlign w:val="center"/>
          </w:tcPr>
          <w:p>
            <w:pPr>
              <w:spacing w:after="40"/>
            </w:pPr>
            <w:r>
              <w:rPr>
                <w:rFonts w:ascii="Arial" w:hAnsi="Arial"/>
                <w:sz w:val="16"/>
              </w:rPr>
              <w:t>Owner</w:t>
            </w:r>
          </w:p>
        </w:tc>
        <w:tc>
          <w:tcPr>
            <w:tcW w:type="dxa" w:w="2016"/>
            <w:vAlign w:val="center"/>
          </w:tcPr>
          <w:p>
            <w:pPr>
              <w:spacing w:after="40"/>
            </w:pPr>
            <w:r>
              <w:rPr>
                <w:rFonts w:ascii="Arial" w:hAnsi="Arial"/>
                <w:sz w:val="16"/>
              </w:rPr>
              <w:t>Criticality</w:t>
            </w:r>
          </w:p>
        </w:tc>
        <w:tc>
          <w:tcPr>
            <w:tcW w:type="dxa" w:w="2016"/>
            <w:vAlign w:val="center"/>
          </w:tcPr>
          <w:p>
            <w:pPr>
              <w:spacing w:after="40"/>
            </w:pPr>
            <w:r>
              <w:rPr>
                <w:rFonts w:ascii="Arial" w:hAnsi="Arial"/>
                <w:sz w:val="16"/>
              </w:rPr>
              <w:t>Evidence / Status</w:t>
            </w:r>
          </w:p>
        </w:tc>
      </w:tr>
      <w:tr>
        <w:tc>
          <w:tcPr>
            <w:tcW w:type="dxa" w:w="2016"/>
            <w:vAlign w:val="center"/>
          </w:tcPr>
          <w:p>
            <w:pPr>
              <w:spacing w:after="40"/>
            </w:pPr>
            <w:r>
              <w:rPr>
                <w:rFonts w:ascii="Arial" w:hAnsi="Arial"/>
                <w:sz w:val="16"/>
              </w:rPr>
              <w:t>A-01</w:t>
            </w:r>
          </w:p>
        </w:tc>
        <w:tc>
          <w:tcPr>
            <w:tcW w:type="dxa" w:w="2016"/>
            <w:vAlign w:val="center"/>
          </w:tcPr>
          <w:p>
            <w:pPr>
              <w:spacing w:after="40"/>
            </w:pPr>
            <w:r>
              <w:rPr>
                <w:rFonts w:ascii="Arial" w:hAnsi="Arial"/>
                <w:sz w:val="16"/>
              </w:rPr>
              <w:t>User endpoints / workstations</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Medium</w:t>
            </w:r>
          </w:p>
        </w:tc>
        <w:tc>
          <w:tcPr>
            <w:tcW w:type="dxa" w:w="2016"/>
            <w:vAlign w:val="center"/>
          </w:tcPr>
          <w:p>
            <w:pPr>
              <w:spacing w:after="40"/>
            </w:pPr>
            <w:r>
              <w:rPr>
                <w:rFonts w:ascii="Arial" w:hAnsi="Arial"/>
                <w:sz w:val="16"/>
              </w:rPr>
              <w:t>Inventory evidence not provided</w:t>
            </w:r>
          </w:p>
        </w:tc>
      </w:tr>
      <w:tr>
        <w:tc>
          <w:tcPr>
            <w:tcW w:type="dxa" w:w="2016"/>
            <w:vAlign w:val="center"/>
          </w:tcPr>
          <w:p>
            <w:pPr>
              <w:spacing w:after="40"/>
            </w:pPr>
            <w:r>
              <w:rPr>
                <w:rFonts w:ascii="Arial" w:hAnsi="Arial"/>
                <w:sz w:val="16"/>
              </w:rPr>
              <w:t>A-02</w:t>
            </w:r>
          </w:p>
        </w:tc>
        <w:tc>
          <w:tcPr>
            <w:tcW w:type="dxa" w:w="2016"/>
            <w:vAlign w:val="center"/>
          </w:tcPr>
          <w:p>
            <w:pPr>
              <w:spacing w:after="40"/>
            </w:pPr>
            <w:r>
              <w:rPr>
                <w:rFonts w:ascii="Arial" w:hAnsi="Arial"/>
                <w:sz w:val="16"/>
              </w:rPr>
              <w:t>Application server(s)</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High</w:t>
            </w:r>
          </w:p>
        </w:tc>
        <w:tc>
          <w:tcPr>
            <w:tcW w:type="dxa" w:w="2016"/>
            <w:vAlign w:val="center"/>
          </w:tcPr>
          <w:p>
            <w:pPr>
              <w:spacing w:after="40"/>
            </w:pPr>
            <w:r>
              <w:rPr>
                <w:rFonts w:ascii="Arial" w:hAnsi="Arial"/>
                <w:sz w:val="16"/>
              </w:rPr>
              <w:t>Inventory evidence not provided</w:t>
            </w:r>
          </w:p>
        </w:tc>
      </w:tr>
      <w:tr>
        <w:tc>
          <w:tcPr>
            <w:tcW w:type="dxa" w:w="2016"/>
            <w:vAlign w:val="center"/>
          </w:tcPr>
          <w:p>
            <w:pPr>
              <w:spacing w:after="40"/>
            </w:pPr>
            <w:r>
              <w:rPr>
                <w:rFonts w:ascii="Arial" w:hAnsi="Arial"/>
                <w:sz w:val="16"/>
              </w:rPr>
              <w:t>A-03</w:t>
            </w:r>
          </w:p>
        </w:tc>
        <w:tc>
          <w:tcPr>
            <w:tcW w:type="dxa" w:w="2016"/>
            <w:vAlign w:val="center"/>
          </w:tcPr>
          <w:p>
            <w:pPr>
              <w:spacing w:after="40"/>
            </w:pPr>
            <w:r>
              <w:rPr>
                <w:rFonts w:ascii="Arial" w:hAnsi="Arial"/>
                <w:sz w:val="16"/>
              </w:rPr>
              <w:t>Database / data store</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High</w:t>
            </w:r>
          </w:p>
        </w:tc>
        <w:tc>
          <w:tcPr>
            <w:tcW w:type="dxa" w:w="2016"/>
            <w:vAlign w:val="center"/>
          </w:tcPr>
          <w:p>
            <w:pPr>
              <w:spacing w:after="40"/>
            </w:pPr>
            <w:r>
              <w:rPr>
                <w:rFonts w:ascii="Arial" w:hAnsi="Arial"/>
                <w:sz w:val="16"/>
              </w:rPr>
              <w:t>Inventory evidence not provided</w:t>
            </w:r>
          </w:p>
        </w:tc>
      </w:tr>
      <w:tr>
        <w:tc>
          <w:tcPr>
            <w:tcW w:type="dxa" w:w="2016"/>
            <w:vAlign w:val="center"/>
          </w:tcPr>
          <w:p>
            <w:pPr>
              <w:spacing w:after="40"/>
            </w:pPr>
            <w:r>
              <w:rPr>
                <w:rFonts w:ascii="Arial" w:hAnsi="Arial"/>
                <w:sz w:val="16"/>
              </w:rPr>
              <w:t>A-04</w:t>
            </w:r>
          </w:p>
        </w:tc>
        <w:tc>
          <w:tcPr>
            <w:tcW w:type="dxa" w:w="2016"/>
            <w:vAlign w:val="center"/>
          </w:tcPr>
          <w:p>
            <w:pPr>
              <w:spacing w:after="40"/>
            </w:pPr>
            <w:r>
              <w:rPr>
                <w:rFonts w:ascii="Arial" w:hAnsi="Arial"/>
                <w:sz w:val="16"/>
              </w:rPr>
              <w:t>Network / firewall / virtual network</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High</w:t>
            </w:r>
          </w:p>
        </w:tc>
        <w:tc>
          <w:tcPr>
            <w:tcW w:type="dxa" w:w="2016"/>
            <w:vAlign w:val="center"/>
          </w:tcPr>
          <w:p>
            <w:pPr>
              <w:spacing w:after="40"/>
            </w:pPr>
            <w:r>
              <w:rPr>
                <w:rFonts w:ascii="Arial" w:hAnsi="Arial"/>
                <w:sz w:val="16"/>
              </w:rPr>
              <w:t>Configuration evidence not provided</w:t>
            </w:r>
          </w:p>
        </w:tc>
      </w:tr>
      <w:tr>
        <w:tc>
          <w:tcPr>
            <w:tcW w:type="dxa" w:w="2016"/>
            <w:vAlign w:val="center"/>
          </w:tcPr>
          <w:p>
            <w:pPr>
              <w:spacing w:after="40"/>
            </w:pPr>
            <w:r>
              <w:rPr>
                <w:rFonts w:ascii="Arial" w:hAnsi="Arial"/>
                <w:sz w:val="16"/>
              </w:rPr>
              <w:t>A-05</w:t>
            </w:r>
          </w:p>
        </w:tc>
        <w:tc>
          <w:tcPr>
            <w:tcW w:type="dxa" w:w="2016"/>
            <w:vAlign w:val="center"/>
          </w:tcPr>
          <w:p>
            <w:pPr>
              <w:spacing w:after="40"/>
            </w:pPr>
            <w:r>
              <w:rPr>
                <w:rFonts w:ascii="Arial" w:hAnsi="Arial"/>
                <w:sz w:val="16"/>
              </w:rPr>
              <w:t>Identity provider / directory</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High</w:t>
            </w:r>
          </w:p>
        </w:tc>
        <w:tc>
          <w:tcPr>
            <w:tcW w:type="dxa" w:w="2016"/>
            <w:vAlign w:val="center"/>
          </w:tcPr>
          <w:p>
            <w:pPr>
              <w:spacing w:after="40"/>
            </w:pPr>
            <w:r>
              <w:rPr>
                <w:rFonts w:ascii="Arial" w:hAnsi="Arial"/>
                <w:sz w:val="16"/>
              </w:rPr>
              <w:t>Access-control evidence not provided</w:t>
            </w:r>
          </w:p>
        </w:tc>
      </w:tr>
      <w:tr>
        <w:tc>
          <w:tcPr>
            <w:tcW w:type="dxa" w:w="2016"/>
            <w:vAlign w:val="center"/>
          </w:tcPr>
          <w:p>
            <w:pPr>
              <w:spacing w:after="40"/>
            </w:pPr>
            <w:r>
              <w:rPr>
                <w:rFonts w:ascii="Arial" w:hAnsi="Arial"/>
                <w:sz w:val="16"/>
              </w:rPr>
              <w:t>A-06</w:t>
            </w:r>
          </w:p>
        </w:tc>
        <w:tc>
          <w:tcPr>
            <w:tcW w:type="dxa" w:w="2016"/>
            <w:vAlign w:val="center"/>
          </w:tcPr>
          <w:p>
            <w:pPr>
              <w:spacing w:after="40"/>
            </w:pPr>
            <w:r>
              <w:rPr>
                <w:rFonts w:ascii="Arial" w:hAnsi="Arial"/>
                <w:sz w:val="16"/>
              </w:rPr>
              <w:t>Backup and recovery service</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High</w:t>
            </w:r>
          </w:p>
        </w:tc>
        <w:tc>
          <w:tcPr>
            <w:tcW w:type="dxa" w:w="2016"/>
            <w:vAlign w:val="center"/>
          </w:tcPr>
          <w:p>
            <w:pPr>
              <w:spacing w:after="40"/>
            </w:pPr>
            <w:r>
              <w:rPr>
                <w:rFonts w:ascii="Arial" w:hAnsi="Arial"/>
                <w:sz w:val="16"/>
              </w:rPr>
              <w:t>Backup evidence not provided</w:t>
            </w:r>
          </w:p>
        </w:tc>
      </w:tr>
      <w:tr>
        <w:tc>
          <w:tcPr>
            <w:tcW w:type="dxa" w:w="2016"/>
            <w:vAlign w:val="center"/>
          </w:tcPr>
          <w:p>
            <w:pPr>
              <w:spacing w:after="40"/>
            </w:pPr>
            <w:r>
              <w:rPr>
                <w:rFonts w:ascii="Arial" w:hAnsi="Arial"/>
                <w:sz w:val="16"/>
              </w:rPr>
              <w:t>A-07</w:t>
            </w:r>
          </w:p>
        </w:tc>
        <w:tc>
          <w:tcPr>
            <w:tcW w:type="dxa" w:w="2016"/>
            <w:vAlign w:val="center"/>
          </w:tcPr>
          <w:p>
            <w:pPr>
              <w:spacing w:after="40"/>
            </w:pPr>
            <w:r>
              <w:rPr>
                <w:rFonts w:ascii="Arial" w:hAnsi="Arial"/>
                <w:sz w:val="16"/>
              </w:rPr>
              <w:t>Logging / monitoring platform</w:t>
            </w:r>
          </w:p>
        </w:tc>
        <w:tc>
          <w:tcPr>
            <w:tcW w:type="dxa" w:w="2016"/>
            <w:vAlign w:val="center"/>
          </w:tcPr>
          <w:p>
            <w:pPr>
              <w:spacing w:after="40"/>
            </w:pPr>
            <w:r>
              <w:rPr>
                <w:rFonts w:ascii="Arial" w:hAnsi="Arial"/>
                <w:sz w:val="16"/>
              </w:rPr>
              <w:t>To confirm</w:t>
            </w:r>
          </w:p>
        </w:tc>
        <w:tc>
          <w:tcPr>
            <w:tcW w:type="dxa" w:w="2016"/>
            <w:vAlign w:val="center"/>
          </w:tcPr>
          <w:p>
            <w:pPr>
              <w:spacing w:after="40"/>
            </w:pPr>
            <w:r>
              <w:rPr>
                <w:rFonts w:ascii="Arial" w:hAnsi="Arial"/>
                <w:sz w:val="16"/>
              </w:rPr>
              <w:t>Medium–High</w:t>
            </w:r>
          </w:p>
        </w:tc>
        <w:tc>
          <w:tcPr>
            <w:tcW w:type="dxa" w:w="2016"/>
            <w:vAlign w:val="center"/>
          </w:tcPr>
          <w:p>
            <w:pPr>
              <w:spacing w:after="40"/>
            </w:pPr>
            <w:r>
              <w:rPr>
                <w:rFonts w:ascii="Arial" w:hAnsi="Arial"/>
                <w:sz w:val="16"/>
              </w:rPr>
              <w:t>Log evidence not provided</w:t>
            </w:r>
          </w:p>
        </w:tc>
      </w:tr>
    </w:tbl>
    <w:p>
      <w:pPr>
        <w:pStyle w:val="Heading1"/>
      </w:pPr>
      <w:r>
        <w:t>5. Security Controls to Review</w:t>
      </w:r>
    </w:p>
    <w:p>
      <w:pPr>
        <w:pStyle w:val="ListBullet"/>
      </w:pPr>
      <w:r>
        <w:t>Identity and access: unique user accounts, least privilege, multi-factor authentication, privileged-account review, and timely removal of inactive accounts.</w:t>
      </w:r>
    </w:p>
    <w:p>
      <w:pPr>
        <w:pStyle w:val="ListBullet"/>
      </w:pPr>
      <w:r>
        <w:t>Secure configuration: supported operating systems, hardened baseline settings, removal of unnecessary services, and controlled configuration changes.</w:t>
      </w:r>
    </w:p>
    <w:p>
      <w:pPr>
        <w:pStyle w:val="ListBullet"/>
      </w:pPr>
      <w:r>
        <w:t>Patch and vulnerability management: asset coverage, severity-based remediation deadlines, exception approval and retesting.</w:t>
      </w:r>
    </w:p>
    <w:p>
      <w:pPr>
        <w:pStyle w:val="ListBullet"/>
      </w:pPr>
      <w:r>
        <w:t>Network security: documented firewall rules, restricted administrative access, segmentation between user, server and sensitive-data zones.</w:t>
      </w:r>
    </w:p>
    <w:p>
      <w:pPr>
        <w:pStyle w:val="ListBullet"/>
      </w:pPr>
      <w:r>
        <w:t>Endpoint and application security: endpoint protection, secure development practices, input validation, dependency updates and access-control testing where applicable.</w:t>
      </w:r>
    </w:p>
    <w:p>
      <w:pPr>
        <w:pStyle w:val="ListBullet"/>
      </w:pPr>
      <w:r>
        <w:t>Data protection: data classification, encryption in transit and at rest where appropriate, controlled sharing, and secure retention/deletion.</w:t>
      </w:r>
    </w:p>
    <w:p>
      <w:pPr>
        <w:pStyle w:val="ListBullet"/>
      </w:pPr>
      <w:r>
        <w:t>Logging and detection: centralized logs, correct time synchronization, alert review, retention rules and monitoring of privileged activity.</w:t>
      </w:r>
    </w:p>
    <w:p>
      <w:pPr>
        <w:pStyle w:val="ListBullet"/>
      </w:pPr>
      <w:r>
        <w:t>Backup and resilience: protected backups, documented recovery objectives, restore tests and restricted backup administration.</w:t>
      </w:r>
    </w:p>
    <w:p>
      <w:pPr>
        <w:pStyle w:val="ListBullet"/>
      </w:pPr>
      <w:r>
        <w:t>Incident response: named responsibilities, escalation contacts, response playbooks, evidence preservation and lessons-learned reviews.</w:t>
      </w:r>
    </w:p>
    <w:p>
      <w:pPr>
        <w:pStyle w:val="Heading1"/>
      </w:pPr>
      <w:r>
        <w:t>6. Audit Test Plan and Evidence Register</w:t>
      </w:r>
    </w:p>
    <w:p>
      <w:r>
        <w:t>Use the following test plan only within the authorized simulated environment. Record the actual outcome and attach screenshots/logs before classifying any item as a confirmed finding.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tcPr>
          <w:p>
            <w:pPr>
              <w:spacing w:after="40"/>
            </w:pPr>
            <w:r>
              <w:rPr>
                <w:rFonts w:ascii="Arial" w:hAnsi="Arial"/>
                <w:sz w:val="16"/>
              </w:rPr>
              <w:t>Test ID</w:t>
            </w:r>
          </w:p>
        </w:tc>
        <w:tc>
          <w:tcPr>
            <w:tcW w:type="dxa" w:w="2016"/>
            <w:vAlign w:val="center"/>
          </w:tcPr>
          <w:p>
            <w:pPr>
              <w:spacing w:after="40"/>
            </w:pPr>
            <w:r>
              <w:rPr>
                <w:rFonts w:ascii="Arial" w:hAnsi="Arial"/>
                <w:sz w:val="16"/>
              </w:rPr>
              <w:t>Control / Test</w:t>
            </w:r>
          </w:p>
        </w:tc>
        <w:tc>
          <w:tcPr>
            <w:tcW w:type="dxa" w:w="2016"/>
            <w:vAlign w:val="center"/>
          </w:tcPr>
          <w:p>
            <w:pPr>
              <w:spacing w:after="40"/>
            </w:pPr>
            <w:r>
              <w:rPr>
                <w:rFonts w:ascii="Arial" w:hAnsi="Arial"/>
                <w:sz w:val="16"/>
              </w:rPr>
              <w:t>Expected Evidence</w:t>
            </w:r>
          </w:p>
        </w:tc>
        <w:tc>
          <w:tcPr>
            <w:tcW w:type="dxa" w:w="2016"/>
            <w:vAlign w:val="center"/>
          </w:tcPr>
          <w:p>
            <w:pPr>
              <w:spacing w:after="40"/>
            </w:pPr>
            <w:r>
              <w:rPr>
                <w:rFonts w:ascii="Arial" w:hAnsi="Arial"/>
                <w:sz w:val="16"/>
              </w:rPr>
              <w:t>Result</w:t>
            </w:r>
          </w:p>
        </w:tc>
        <w:tc>
          <w:tcPr>
            <w:tcW w:type="dxa" w:w="2016"/>
            <w:vAlign w:val="center"/>
          </w:tcPr>
          <w:p>
            <w:pPr>
              <w:spacing w:after="40"/>
            </w:pPr>
            <w:r>
              <w:rPr>
                <w:rFonts w:ascii="Arial" w:hAnsi="Arial"/>
                <w:sz w:val="16"/>
              </w:rPr>
              <w:t>Status</w:t>
            </w:r>
          </w:p>
        </w:tc>
      </w:tr>
      <w:tr>
        <w:tc>
          <w:tcPr>
            <w:tcW w:type="dxa" w:w="2016"/>
            <w:vAlign w:val="center"/>
          </w:tcPr>
          <w:p>
            <w:pPr>
              <w:spacing w:after="40"/>
            </w:pPr>
            <w:r>
              <w:rPr>
                <w:rFonts w:ascii="Arial" w:hAnsi="Arial"/>
                <w:sz w:val="16"/>
              </w:rPr>
              <w:t>T-01</w:t>
            </w:r>
          </w:p>
        </w:tc>
        <w:tc>
          <w:tcPr>
            <w:tcW w:type="dxa" w:w="2016"/>
            <w:vAlign w:val="center"/>
          </w:tcPr>
          <w:p>
            <w:pPr>
              <w:spacing w:after="40"/>
            </w:pPr>
            <w:r>
              <w:rPr>
                <w:rFonts w:ascii="Arial" w:hAnsi="Arial"/>
                <w:sz w:val="16"/>
              </w:rPr>
              <w:t>Asset inventory completeness</w:t>
            </w:r>
          </w:p>
        </w:tc>
        <w:tc>
          <w:tcPr>
            <w:tcW w:type="dxa" w:w="2016"/>
            <w:vAlign w:val="center"/>
          </w:tcPr>
          <w:p>
            <w:pPr>
              <w:spacing w:after="40"/>
            </w:pPr>
            <w:r>
              <w:rPr>
                <w:rFonts w:ascii="Arial" w:hAnsi="Arial"/>
                <w:sz w:val="16"/>
              </w:rPr>
              <w:t>Export or screenshot of asset list</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T-02</w:t>
            </w:r>
          </w:p>
        </w:tc>
        <w:tc>
          <w:tcPr>
            <w:tcW w:type="dxa" w:w="2016"/>
            <w:vAlign w:val="center"/>
          </w:tcPr>
          <w:p>
            <w:pPr>
              <w:spacing w:after="40"/>
            </w:pPr>
            <w:r>
              <w:rPr>
                <w:rFonts w:ascii="Arial" w:hAnsi="Arial"/>
                <w:sz w:val="16"/>
              </w:rPr>
              <w:t>MFA and privileged access</w:t>
            </w:r>
          </w:p>
        </w:tc>
        <w:tc>
          <w:tcPr>
            <w:tcW w:type="dxa" w:w="2016"/>
            <w:vAlign w:val="center"/>
          </w:tcPr>
          <w:p>
            <w:pPr>
              <w:spacing w:after="40"/>
            </w:pPr>
            <w:r>
              <w:rPr>
                <w:rFonts w:ascii="Arial" w:hAnsi="Arial"/>
                <w:sz w:val="16"/>
              </w:rPr>
              <w:t>Identity settings / account review</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T-03</w:t>
            </w:r>
          </w:p>
        </w:tc>
        <w:tc>
          <w:tcPr>
            <w:tcW w:type="dxa" w:w="2016"/>
            <w:vAlign w:val="center"/>
          </w:tcPr>
          <w:p>
            <w:pPr>
              <w:spacing w:after="40"/>
            </w:pPr>
            <w:r>
              <w:rPr>
                <w:rFonts w:ascii="Arial" w:hAnsi="Arial"/>
                <w:sz w:val="16"/>
              </w:rPr>
              <w:t>Patch and vulnerability management</w:t>
            </w:r>
          </w:p>
        </w:tc>
        <w:tc>
          <w:tcPr>
            <w:tcW w:type="dxa" w:w="2016"/>
            <w:vAlign w:val="center"/>
          </w:tcPr>
          <w:p>
            <w:pPr>
              <w:spacing w:after="40"/>
            </w:pPr>
            <w:r>
              <w:rPr>
                <w:rFonts w:ascii="Arial" w:hAnsi="Arial"/>
                <w:sz w:val="16"/>
              </w:rPr>
              <w:t>Patch report / authorized scan output</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T-04</w:t>
            </w:r>
          </w:p>
        </w:tc>
        <w:tc>
          <w:tcPr>
            <w:tcW w:type="dxa" w:w="2016"/>
            <w:vAlign w:val="center"/>
          </w:tcPr>
          <w:p>
            <w:pPr>
              <w:spacing w:after="40"/>
            </w:pPr>
            <w:r>
              <w:rPr>
                <w:rFonts w:ascii="Arial" w:hAnsi="Arial"/>
                <w:sz w:val="16"/>
              </w:rPr>
              <w:t>Firewall and network segmentation</w:t>
            </w:r>
          </w:p>
        </w:tc>
        <w:tc>
          <w:tcPr>
            <w:tcW w:type="dxa" w:w="2016"/>
            <w:vAlign w:val="center"/>
          </w:tcPr>
          <w:p>
            <w:pPr>
              <w:spacing w:after="40"/>
            </w:pPr>
            <w:r>
              <w:rPr>
                <w:rFonts w:ascii="Arial" w:hAnsi="Arial"/>
                <w:sz w:val="16"/>
              </w:rPr>
              <w:t>Approved network diagram / rule review</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T-05</w:t>
            </w:r>
          </w:p>
        </w:tc>
        <w:tc>
          <w:tcPr>
            <w:tcW w:type="dxa" w:w="2016"/>
            <w:vAlign w:val="center"/>
          </w:tcPr>
          <w:p>
            <w:pPr>
              <w:spacing w:after="40"/>
            </w:pPr>
            <w:r>
              <w:rPr>
                <w:rFonts w:ascii="Arial" w:hAnsi="Arial"/>
                <w:sz w:val="16"/>
              </w:rPr>
              <w:t>Endpoint protection status</w:t>
            </w:r>
          </w:p>
        </w:tc>
        <w:tc>
          <w:tcPr>
            <w:tcW w:type="dxa" w:w="2016"/>
            <w:vAlign w:val="center"/>
          </w:tcPr>
          <w:p>
            <w:pPr>
              <w:spacing w:after="40"/>
            </w:pPr>
            <w:r>
              <w:rPr>
                <w:rFonts w:ascii="Arial" w:hAnsi="Arial"/>
                <w:sz w:val="16"/>
              </w:rPr>
              <w:t>Management console evidence</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T-06</w:t>
            </w:r>
          </w:p>
        </w:tc>
        <w:tc>
          <w:tcPr>
            <w:tcW w:type="dxa" w:w="2016"/>
            <w:vAlign w:val="center"/>
          </w:tcPr>
          <w:p>
            <w:pPr>
              <w:spacing w:after="40"/>
            </w:pPr>
            <w:r>
              <w:rPr>
                <w:rFonts w:ascii="Arial" w:hAnsi="Arial"/>
                <w:sz w:val="16"/>
              </w:rPr>
              <w:t>Logging and alert monitoring</w:t>
            </w:r>
          </w:p>
        </w:tc>
        <w:tc>
          <w:tcPr>
            <w:tcW w:type="dxa" w:w="2016"/>
            <w:vAlign w:val="center"/>
          </w:tcPr>
          <w:p>
            <w:pPr>
              <w:spacing w:after="40"/>
            </w:pPr>
            <w:r>
              <w:rPr>
                <w:rFonts w:ascii="Arial" w:hAnsi="Arial"/>
                <w:sz w:val="16"/>
              </w:rPr>
              <w:t>Sample logs / alert review record</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T-07</w:t>
            </w:r>
          </w:p>
        </w:tc>
        <w:tc>
          <w:tcPr>
            <w:tcW w:type="dxa" w:w="2016"/>
            <w:vAlign w:val="center"/>
          </w:tcPr>
          <w:p>
            <w:pPr>
              <w:spacing w:after="40"/>
            </w:pPr>
            <w:r>
              <w:rPr>
                <w:rFonts w:ascii="Arial" w:hAnsi="Arial"/>
                <w:sz w:val="16"/>
              </w:rPr>
              <w:t>Backup restore readiness</w:t>
            </w:r>
          </w:p>
        </w:tc>
        <w:tc>
          <w:tcPr>
            <w:tcW w:type="dxa" w:w="2016"/>
            <w:vAlign w:val="center"/>
          </w:tcPr>
          <w:p>
            <w:pPr>
              <w:spacing w:after="40"/>
            </w:pPr>
            <w:r>
              <w:rPr>
                <w:rFonts w:ascii="Arial" w:hAnsi="Arial"/>
                <w:sz w:val="16"/>
              </w:rPr>
              <w:t>Recent successful restore-test record</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T-08</w:t>
            </w:r>
          </w:p>
        </w:tc>
        <w:tc>
          <w:tcPr>
            <w:tcW w:type="dxa" w:w="2016"/>
            <w:vAlign w:val="center"/>
          </w:tcPr>
          <w:p>
            <w:pPr>
              <w:spacing w:after="40"/>
            </w:pPr>
            <w:r>
              <w:rPr>
                <w:rFonts w:ascii="Arial" w:hAnsi="Arial"/>
                <w:sz w:val="16"/>
              </w:rPr>
              <w:t>Application access controls</w:t>
            </w:r>
          </w:p>
        </w:tc>
        <w:tc>
          <w:tcPr>
            <w:tcW w:type="dxa" w:w="2016"/>
            <w:vAlign w:val="center"/>
          </w:tcPr>
          <w:p>
            <w:pPr>
              <w:spacing w:after="40"/>
            </w:pPr>
            <w:r>
              <w:rPr>
                <w:rFonts w:ascii="Arial" w:hAnsi="Arial"/>
                <w:sz w:val="16"/>
              </w:rPr>
              <w:t>Approved test cases and response evidence</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r>
        <w:tc>
          <w:tcPr>
            <w:tcW w:type="dxa" w:w="2016"/>
            <w:vAlign w:val="center"/>
          </w:tcPr>
          <w:p>
            <w:pPr>
              <w:spacing w:after="40"/>
            </w:pPr>
            <w:r>
              <w:rPr>
                <w:rFonts w:ascii="Arial" w:hAnsi="Arial"/>
                <w:sz w:val="16"/>
              </w:rPr>
              <w:t>T-09</w:t>
            </w:r>
          </w:p>
        </w:tc>
        <w:tc>
          <w:tcPr>
            <w:tcW w:type="dxa" w:w="2016"/>
            <w:vAlign w:val="center"/>
          </w:tcPr>
          <w:p>
            <w:pPr>
              <w:spacing w:after="40"/>
            </w:pPr>
            <w:r>
              <w:rPr>
                <w:rFonts w:ascii="Arial" w:hAnsi="Arial"/>
                <w:sz w:val="16"/>
              </w:rPr>
              <w:t>Incident response readiness</w:t>
            </w:r>
          </w:p>
        </w:tc>
        <w:tc>
          <w:tcPr>
            <w:tcW w:type="dxa" w:w="2016"/>
            <w:vAlign w:val="center"/>
          </w:tcPr>
          <w:p>
            <w:pPr>
              <w:spacing w:after="40"/>
            </w:pPr>
            <w:r>
              <w:rPr>
                <w:rFonts w:ascii="Arial" w:hAnsi="Arial"/>
                <w:sz w:val="16"/>
              </w:rPr>
              <w:t>Policy, contact list and exercise record</w:t>
            </w:r>
          </w:p>
        </w:tc>
        <w:tc>
          <w:tcPr>
            <w:tcW w:type="dxa" w:w="2016"/>
            <w:vAlign w:val="center"/>
          </w:tcPr>
          <w:p>
            <w:pPr>
              <w:spacing w:after="40"/>
            </w:pPr>
            <w:r>
              <w:rPr>
                <w:rFonts w:ascii="Arial" w:hAnsi="Arial"/>
                <w:sz w:val="16"/>
              </w:rPr>
              <w:t>Not supplied</w:t>
            </w:r>
          </w:p>
        </w:tc>
        <w:tc>
          <w:tcPr>
            <w:tcW w:type="dxa" w:w="2016"/>
            <w:vAlign w:val="center"/>
          </w:tcPr>
          <w:p>
            <w:pPr>
              <w:spacing w:after="40"/>
            </w:pPr>
            <w:r>
              <w:rPr>
                <w:rFonts w:ascii="Arial" w:hAnsi="Arial"/>
                <w:sz w:val="16"/>
              </w:rPr>
              <w:t>Pending validation</w:t>
            </w:r>
          </w:p>
        </w:tc>
      </w:tr>
    </w:tbl>
    <w:p>
      <w:pPr>
        <w:pStyle w:val="Heading1"/>
      </w:pPr>
      <w:r>
        <w:t>7. Preliminary Gap Analysis</w:t>
      </w:r>
    </w:p>
    <w:p>
      <w:r>
        <w:t>Because environment-specific evidence has not been provided, the items below are potential gaps to verify, not confirmed audit findings.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pPr>
              <w:spacing w:after="40"/>
            </w:pPr>
            <w:r>
              <w:rPr>
                <w:rFonts w:ascii="Arial" w:hAnsi="Arial"/>
                <w:sz w:val="16"/>
              </w:rPr>
              <w:t>Potential gap to validate</w:t>
            </w:r>
          </w:p>
        </w:tc>
        <w:tc>
          <w:tcPr>
            <w:tcW w:type="dxa" w:w="2520"/>
            <w:vAlign w:val="center"/>
          </w:tcPr>
          <w:p>
            <w:pPr>
              <w:spacing w:after="40"/>
            </w:pPr>
            <w:r>
              <w:rPr>
                <w:rFonts w:ascii="Arial" w:hAnsi="Arial"/>
                <w:sz w:val="16"/>
              </w:rPr>
              <w:t>Risk if confirmed</w:t>
            </w:r>
          </w:p>
        </w:tc>
        <w:tc>
          <w:tcPr>
            <w:tcW w:type="dxa" w:w="2520"/>
            <w:vAlign w:val="center"/>
          </w:tcPr>
          <w:p>
            <w:pPr>
              <w:spacing w:after="40"/>
            </w:pPr>
            <w:r>
              <w:rPr>
                <w:rFonts w:ascii="Arial" w:hAnsi="Arial"/>
                <w:sz w:val="16"/>
              </w:rPr>
              <w:t>Evidence needed</w:t>
            </w:r>
          </w:p>
        </w:tc>
        <w:tc>
          <w:tcPr>
            <w:tcW w:type="dxa" w:w="2520"/>
            <w:vAlign w:val="center"/>
          </w:tcPr>
          <w:p>
            <w:pPr>
              <w:spacing w:after="40"/>
            </w:pPr>
            <w:r>
              <w:rPr>
                <w:rFonts w:ascii="Arial" w:hAnsi="Arial"/>
                <w:sz w:val="16"/>
              </w:rPr>
              <w:t>Priority if confirmed</w:t>
            </w:r>
          </w:p>
        </w:tc>
      </w:tr>
      <w:tr>
        <w:tc>
          <w:tcPr>
            <w:tcW w:type="dxa" w:w="2520"/>
            <w:vAlign w:val="center"/>
          </w:tcPr>
          <w:p>
            <w:pPr>
              <w:spacing w:after="40"/>
            </w:pPr>
            <w:r>
              <w:rPr>
                <w:rFonts w:ascii="Arial" w:hAnsi="Arial"/>
                <w:sz w:val="16"/>
              </w:rPr>
              <w:t>MFA not enforced for privileged accounts</w:t>
            </w:r>
          </w:p>
        </w:tc>
        <w:tc>
          <w:tcPr>
            <w:tcW w:type="dxa" w:w="2520"/>
            <w:vAlign w:val="center"/>
          </w:tcPr>
          <w:p>
            <w:pPr>
              <w:spacing w:after="40"/>
            </w:pPr>
            <w:r>
              <w:rPr>
                <w:rFonts w:ascii="Arial" w:hAnsi="Arial"/>
                <w:sz w:val="16"/>
              </w:rPr>
              <w:t>Account compromise could enable broad access</w:t>
            </w:r>
          </w:p>
        </w:tc>
        <w:tc>
          <w:tcPr>
            <w:tcW w:type="dxa" w:w="2520"/>
            <w:vAlign w:val="center"/>
          </w:tcPr>
          <w:p>
            <w:pPr>
              <w:spacing w:after="40"/>
            </w:pPr>
            <w:r>
              <w:rPr>
                <w:rFonts w:ascii="Arial" w:hAnsi="Arial"/>
                <w:sz w:val="16"/>
              </w:rPr>
              <w:t>Identity settings and account list</w:t>
            </w:r>
          </w:p>
        </w:tc>
        <w:tc>
          <w:tcPr>
            <w:tcW w:type="dxa" w:w="2520"/>
            <w:vAlign w:val="center"/>
          </w:tcPr>
          <w:p>
            <w:pPr>
              <w:spacing w:after="40"/>
            </w:pPr>
            <w:r>
              <w:rPr>
                <w:rFonts w:ascii="Arial" w:hAnsi="Arial"/>
                <w:sz w:val="16"/>
              </w:rPr>
              <w:t>High</w:t>
            </w:r>
          </w:p>
        </w:tc>
      </w:tr>
      <w:tr>
        <w:tc>
          <w:tcPr>
            <w:tcW w:type="dxa" w:w="2520"/>
            <w:vAlign w:val="center"/>
          </w:tcPr>
          <w:p>
            <w:pPr>
              <w:spacing w:after="40"/>
            </w:pPr>
            <w:r>
              <w:rPr>
                <w:rFonts w:ascii="Arial" w:hAnsi="Arial"/>
                <w:sz w:val="16"/>
              </w:rPr>
              <w:t>Asset inventory incomplete or outdated</w:t>
            </w:r>
          </w:p>
        </w:tc>
        <w:tc>
          <w:tcPr>
            <w:tcW w:type="dxa" w:w="2520"/>
            <w:vAlign w:val="center"/>
          </w:tcPr>
          <w:p>
            <w:pPr>
              <w:spacing w:after="40"/>
            </w:pPr>
            <w:r>
              <w:rPr>
                <w:rFonts w:ascii="Arial" w:hAnsi="Arial"/>
                <w:sz w:val="16"/>
              </w:rPr>
              <w:t>Unknown assets may remain unpatched or unmanaged</w:t>
            </w:r>
          </w:p>
        </w:tc>
        <w:tc>
          <w:tcPr>
            <w:tcW w:type="dxa" w:w="2520"/>
            <w:vAlign w:val="center"/>
          </w:tcPr>
          <w:p>
            <w:pPr>
              <w:spacing w:after="40"/>
            </w:pPr>
            <w:r>
              <w:rPr>
                <w:rFonts w:ascii="Arial" w:hAnsi="Arial"/>
                <w:sz w:val="16"/>
              </w:rPr>
              <w:t>Asset export compared with network/system records</w:t>
            </w:r>
          </w:p>
        </w:tc>
        <w:tc>
          <w:tcPr>
            <w:tcW w:type="dxa" w:w="2520"/>
            <w:vAlign w:val="center"/>
          </w:tcPr>
          <w:p>
            <w:pPr>
              <w:spacing w:after="40"/>
            </w:pPr>
            <w:r>
              <w:rPr>
                <w:rFonts w:ascii="Arial" w:hAnsi="Arial"/>
                <w:sz w:val="16"/>
              </w:rPr>
              <w:t>High</w:t>
            </w:r>
          </w:p>
        </w:tc>
      </w:tr>
      <w:tr>
        <w:tc>
          <w:tcPr>
            <w:tcW w:type="dxa" w:w="2520"/>
            <w:vAlign w:val="center"/>
          </w:tcPr>
          <w:p>
            <w:pPr>
              <w:spacing w:after="40"/>
            </w:pPr>
            <w:r>
              <w:rPr>
                <w:rFonts w:ascii="Arial" w:hAnsi="Arial"/>
                <w:sz w:val="16"/>
              </w:rPr>
              <w:t>Critical patches are overdue</w:t>
            </w:r>
          </w:p>
        </w:tc>
        <w:tc>
          <w:tcPr>
            <w:tcW w:type="dxa" w:w="2520"/>
            <w:vAlign w:val="center"/>
          </w:tcPr>
          <w:p>
            <w:pPr>
              <w:spacing w:after="40"/>
            </w:pPr>
            <w:r>
              <w:rPr>
                <w:rFonts w:ascii="Arial" w:hAnsi="Arial"/>
                <w:sz w:val="16"/>
              </w:rPr>
              <w:t>Known vulnerabilities may be exploitable</w:t>
            </w:r>
          </w:p>
        </w:tc>
        <w:tc>
          <w:tcPr>
            <w:tcW w:type="dxa" w:w="2520"/>
            <w:vAlign w:val="center"/>
          </w:tcPr>
          <w:p>
            <w:pPr>
              <w:spacing w:after="40"/>
            </w:pPr>
            <w:r>
              <w:rPr>
                <w:rFonts w:ascii="Arial" w:hAnsi="Arial"/>
                <w:sz w:val="16"/>
              </w:rPr>
              <w:t>Patch and vulnerability reports</w:t>
            </w:r>
          </w:p>
        </w:tc>
        <w:tc>
          <w:tcPr>
            <w:tcW w:type="dxa" w:w="2520"/>
            <w:vAlign w:val="center"/>
          </w:tcPr>
          <w:p>
            <w:pPr>
              <w:spacing w:after="40"/>
            </w:pPr>
            <w:r>
              <w:rPr>
                <w:rFonts w:ascii="Arial" w:hAnsi="Arial"/>
                <w:sz w:val="16"/>
              </w:rPr>
              <w:t>High</w:t>
            </w:r>
          </w:p>
        </w:tc>
      </w:tr>
      <w:tr>
        <w:tc>
          <w:tcPr>
            <w:tcW w:type="dxa" w:w="2520"/>
            <w:vAlign w:val="center"/>
          </w:tcPr>
          <w:p>
            <w:pPr>
              <w:spacing w:after="40"/>
            </w:pPr>
            <w:r>
              <w:rPr>
                <w:rFonts w:ascii="Arial" w:hAnsi="Arial"/>
                <w:sz w:val="16"/>
              </w:rPr>
              <w:t>Network rules are overly permissive</w:t>
            </w:r>
          </w:p>
        </w:tc>
        <w:tc>
          <w:tcPr>
            <w:tcW w:type="dxa" w:w="2520"/>
            <w:vAlign w:val="center"/>
          </w:tcPr>
          <w:p>
            <w:pPr>
              <w:spacing w:after="40"/>
            </w:pPr>
            <w:r>
              <w:rPr>
                <w:rFonts w:ascii="Arial" w:hAnsi="Arial"/>
                <w:sz w:val="16"/>
              </w:rPr>
              <w:t>Unnecessary paths to sensitive systems</w:t>
            </w:r>
          </w:p>
        </w:tc>
        <w:tc>
          <w:tcPr>
            <w:tcW w:type="dxa" w:w="2520"/>
            <w:vAlign w:val="center"/>
          </w:tcPr>
          <w:p>
            <w:pPr>
              <w:spacing w:after="40"/>
            </w:pPr>
            <w:r>
              <w:rPr>
                <w:rFonts w:ascii="Arial" w:hAnsi="Arial"/>
                <w:sz w:val="16"/>
              </w:rPr>
              <w:t>Firewall rules and approved network diagram</w:t>
            </w:r>
          </w:p>
        </w:tc>
        <w:tc>
          <w:tcPr>
            <w:tcW w:type="dxa" w:w="2520"/>
            <w:vAlign w:val="center"/>
          </w:tcPr>
          <w:p>
            <w:pPr>
              <w:spacing w:after="40"/>
            </w:pPr>
            <w:r>
              <w:rPr>
                <w:rFonts w:ascii="Arial" w:hAnsi="Arial"/>
                <w:sz w:val="16"/>
              </w:rPr>
              <w:t>High</w:t>
            </w:r>
          </w:p>
        </w:tc>
      </w:tr>
      <w:tr>
        <w:tc>
          <w:tcPr>
            <w:tcW w:type="dxa" w:w="2520"/>
            <w:vAlign w:val="center"/>
          </w:tcPr>
          <w:p>
            <w:pPr>
              <w:spacing w:after="40"/>
            </w:pPr>
            <w:r>
              <w:rPr>
                <w:rFonts w:ascii="Arial" w:hAnsi="Arial"/>
                <w:sz w:val="16"/>
              </w:rPr>
              <w:t>Logs are not centrally reviewed</w:t>
            </w:r>
          </w:p>
        </w:tc>
        <w:tc>
          <w:tcPr>
            <w:tcW w:type="dxa" w:w="2520"/>
            <w:vAlign w:val="center"/>
          </w:tcPr>
          <w:p>
            <w:pPr>
              <w:spacing w:after="40"/>
            </w:pPr>
            <w:r>
              <w:rPr>
                <w:rFonts w:ascii="Arial" w:hAnsi="Arial"/>
                <w:sz w:val="16"/>
              </w:rPr>
              <w:t>Attacks may remain undetected</w:t>
            </w:r>
          </w:p>
        </w:tc>
        <w:tc>
          <w:tcPr>
            <w:tcW w:type="dxa" w:w="2520"/>
            <w:vAlign w:val="center"/>
          </w:tcPr>
          <w:p>
            <w:pPr>
              <w:spacing w:after="40"/>
            </w:pPr>
            <w:r>
              <w:rPr>
                <w:rFonts w:ascii="Arial" w:hAnsi="Arial"/>
                <w:sz w:val="16"/>
              </w:rPr>
              <w:t>Logging configuration and alert-review records</w:t>
            </w:r>
          </w:p>
        </w:tc>
        <w:tc>
          <w:tcPr>
            <w:tcW w:type="dxa" w:w="2520"/>
            <w:vAlign w:val="center"/>
          </w:tcPr>
          <w:p>
            <w:pPr>
              <w:spacing w:after="40"/>
            </w:pPr>
            <w:r>
              <w:rPr>
                <w:rFonts w:ascii="Arial" w:hAnsi="Arial"/>
                <w:sz w:val="16"/>
              </w:rPr>
              <w:t>Medium–High</w:t>
            </w:r>
          </w:p>
        </w:tc>
      </w:tr>
      <w:tr>
        <w:tc>
          <w:tcPr>
            <w:tcW w:type="dxa" w:w="2520"/>
            <w:vAlign w:val="center"/>
          </w:tcPr>
          <w:p>
            <w:pPr>
              <w:spacing w:after="40"/>
            </w:pPr>
            <w:r>
              <w:rPr>
                <w:rFonts w:ascii="Arial" w:hAnsi="Arial"/>
                <w:sz w:val="16"/>
              </w:rPr>
              <w:t>Backups are not restore-tested</w:t>
            </w:r>
          </w:p>
        </w:tc>
        <w:tc>
          <w:tcPr>
            <w:tcW w:type="dxa" w:w="2520"/>
            <w:vAlign w:val="center"/>
          </w:tcPr>
          <w:p>
            <w:pPr>
              <w:spacing w:after="40"/>
            </w:pPr>
            <w:r>
              <w:rPr>
                <w:rFonts w:ascii="Arial" w:hAnsi="Arial"/>
                <w:sz w:val="16"/>
              </w:rPr>
              <w:t>Recovery may fail after ransomware or outage</w:t>
            </w:r>
          </w:p>
        </w:tc>
        <w:tc>
          <w:tcPr>
            <w:tcW w:type="dxa" w:w="2520"/>
            <w:vAlign w:val="center"/>
          </w:tcPr>
          <w:p>
            <w:pPr>
              <w:spacing w:after="40"/>
            </w:pPr>
            <w:r>
              <w:rPr>
                <w:rFonts w:ascii="Arial" w:hAnsi="Arial"/>
                <w:sz w:val="16"/>
              </w:rPr>
              <w:t>Restore-test evidence</w:t>
            </w:r>
          </w:p>
        </w:tc>
        <w:tc>
          <w:tcPr>
            <w:tcW w:type="dxa" w:w="2520"/>
            <w:vAlign w:val="center"/>
          </w:tcPr>
          <w:p>
            <w:pPr>
              <w:spacing w:after="40"/>
            </w:pPr>
            <w:r>
              <w:rPr>
                <w:rFonts w:ascii="Arial" w:hAnsi="Arial"/>
                <w:sz w:val="16"/>
              </w:rPr>
              <w:t>High</w:t>
            </w:r>
          </w:p>
        </w:tc>
      </w:tr>
      <w:tr>
        <w:tc>
          <w:tcPr>
            <w:tcW w:type="dxa" w:w="2520"/>
            <w:vAlign w:val="center"/>
          </w:tcPr>
          <w:p>
            <w:pPr>
              <w:spacing w:after="40"/>
            </w:pPr>
            <w:r>
              <w:rPr>
                <w:rFonts w:ascii="Arial" w:hAnsi="Arial"/>
                <w:sz w:val="16"/>
              </w:rPr>
              <w:t>Incident response plan is outdated or untested</w:t>
            </w:r>
          </w:p>
        </w:tc>
        <w:tc>
          <w:tcPr>
            <w:tcW w:type="dxa" w:w="2520"/>
            <w:vAlign w:val="center"/>
          </w:tcPr>
          <w:p>
            <w:pPr>
              <w:spacing w:after="40"/>
            </w:pPr>
            <w:r>
              <w:rPr>
                <w:rFonts w:ascii="Arial" w:hAnsi="Arial"/>
                <w:sz w:val="16"/>
              </w:rPr>
              <w:t>Slow containment and recovery</w:t>
            </w:r>
          </w:p>
        </w:tc>
        <w:tc>
          <w:tcPr>
            <w:tcW w:type="dxa" w:w="2520"/>
            <w:vAlign w:val="center"/>
          </w:tcPr>
          <w:p>
            <w:pPr>
              <w:spacing w:after="40"/>
            </w:pPr>
            <w:r>
              <w:rPr>
                <w:rFonts w:ascii="Arial" w:hAnsi="Arial"/>
                <w:sz w:val="16"/>
              </w:rPr>
              <w:t>Plan, exercise record and action log</w:t>
            </w:r>
          </w:p>
        </w:tc>
        <w:tc>
          <w:tcPr>
            <w:tcW w:type="dxa" w:w="2520"/>
            <w:vAlign w:val="center"/>
          </w:tcPr>
          <w:p>
            <w:pPr>
              <w:spacing w:after="40"/>
            </w:pPr>
            <w:r>
              <w:rPr>
                <w:rFonts w:ascii="Arial" w:hAnsi="Arial"/>
                <w:sz w:val="16"/>
              </w:rPr>
              <w:t>Medium–High</w:t>
            </w:r>
          </w:p>
        </w:tc>
      </w:tr>
    </w:tbl>
    <w:p>
      <w:pPr>
        <w:pStyle w:val="Heading1"/>
      </w:pPr>
      <w:r>
        <w:t>8. Risk Rating Method</w:t>
      </w:r>
    </w:p>
    <w:p>
      <w:r>
        <w:t>Use a simple 5 × 5 matrix after evidence is collected. Likelihood is rated from 1 (Rare) to 5 (Almost certain); impact is rated from 1 (Negligible) to 5 (Severe). Risk score = Likelihood × Impact.</w:t>
      </w:r>
    </w:p>
    <w:p>
      <w:r>
        <w:t>Suggested bands: 1–4 Low; 5–9 Moderate; 10–16 High; 17–25 Critical. Ratings in this report are not assigned to actual vulnerabilities because no validated test results were supplied. The auditor should record likelihood, impact, score, rationale, asset affected, evidence reference and risk owner for every confirmed issue.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tcPr>
          <w:p>
            <w:pPr>
              <w:spacing w:after="40"/>
            </w:pPr>
            <w:r>
              <w:rPr>
                <w:rFonts w:ascii="Arial" w:hAnsi="Arial"/>
                <w:sz w:val="16"/>
              </w:rPr>
              <w:t>Risk ID</w:t>
            </w:r>
          </w:p>
        </w:tc>
        <w:tc>
          <w:tcPr>
            <w:tcW w:type="dxa" w:w="2016"/>
            <w:vAlign w:val="center"/>
          </w:tcPr>
          <w:p>
            <w:pPr>
              <w:spacing w:after="40"/>
            </w:pPr>
            <w:r>
              <w:rPr>
                <w:rFonts w:ascii="Arial" w:hAnsi="Arial"/>
                <w:sz w:val="16"/>
              </w:rPr>
              <w:t>Confirmed issue / evidence</w:t>
            </w:r>
          </w:p>
        </w:tc>
        <w:tc>
          <w:tcPr>
            <w:tcW w:type="dxa" w:w="2016"/>
            <w:vAlign w:val="center"/>
          </w:tcPr>
          <w:p>
            <w:pPr>
              <w:spacing w:after="40"/>
            </w:pPr>
            <w:r>
              <w:rPr>
                <w:rFonts w:ascii="Arial" w:hAnsi="Arial"/>
                <w:sz w:val="16"/>
              </w:rPr>
              <w:t>Likelihood (1–5)</w:t>
            </w:r>
          </w:p>
        </w:tc>
        <w:tc>
          <w:tcPr>
            <w:tcW w:type="dxa" w:w="2016"/>
            <w:vAlign w:val="center"/>
          </w:tcPr>
          <w:p>
            <w:pPr>
              <w:spacing w:after="40"/>
            </w:pPr>
            <w:r>
              <w:rPr>
                <w:rFonts w:ascii="Arial" w:hAnsi="Arial"/>
                <w:sz w:val="16"/>
              </w:rPr>
              <w:t>Impact (1–5)</w:t>
            </w:r>
          </w:p>
        </w:tc>
        <w:tc>
          <w:tcPr>
            <w:tcW w:type="dxa" w:w="2016"/>
            <w:vAlign w:val="center"/>
          </w:tcPr>
          <w:p>
            <w:pPr>
              <w:spacing w:after="40"/>
            </w:pPr>
            <w:r>
              <w:rPr>
                <w:rFonts w:ascii="Arial" w:hAnsi="Arial"/>
                <w:sz w:val="16"/>
              </w:rPr>
              <w:t>Score / Owner</w:t>
            </w:r>
          </w:p>
        </w:tc>
      </w:tr>
      <w:tr>
        <w:tc>
          <w:tcPr>
            <w:tcW w:type="dxa" w:w="2016"/>
            <w:vAlign w:val="center"/>
          </w:tcPr>
          <w:p>
            <w:pPr>
              <w:spacing w:after="40"/>
            </w:pPr>
            <w:r>
              <w:rPr>
                <w:rFonts w:ascii="Arial" w:hAnsi="Arial"/>
                <w:sz w:val="16"/>
              </w:rPr>
              <w:t>R-01</w:t>
            </w:r>
          </w:p>
        </w:tc>
        <w:tc>
          <w:tcPr>
            <w:tcW w:type="dxa" w:w="2016"/>
            <w:vAlign w:val="center"/>
          </w:tcPr>
          <w:p>
            <w:pPr>
              <w:spacing w:after="40"/>
            </w:pPr>
            <w:r>
              <w:rPr>
                <w:rFonts w:ascii="Arial" w:hAnsi="Arial"/>
                <w:sz w:val="16"/>
              </w:rPr>
              <w:t>Complete after testing</w:t>
            </w:r>
          </w:p>
        </w:tc>
        <w:tc>
          <w:tcPr>
            <w:tcW w:type="dxa" w:w="2016"/>
            <w:vAlign w:val="center"/>
          </w:tcPr>
          <w:p>
            <w:pPr>
              <w:spacing w:after="40"/>
            </w:pPr>
            <w:r>
              <w:rPr>
                <w:rFonts w:ascii="Arial" w:hAnsi="Arial"/>
                <w:sz w:val="16"/>
              </w:rPr>
              <w:t>—</w:t>
            </w:r>
          </w:p>
        </w:tc>
        <w:tc>
          <w:tcPr>
            <w:tcW w:type="dxa" w:w="2016"/>
            <w:vAlign w:val="center"/>
          </w:tcPr>
          <w:p>
            <w:pPr>
              <w:spacing w:after="40"/>
            </w:pPr>
            <w:r>
              <w:rPr>
                <w:rFonts w:ascii="Arial" w:hAnsi="Arial"/>
                <w:sz w:val="16"/>
              </w:rPr>
              <w:t>—</w:t>
            </w:r>
          </w:p>
        </w:tc>
        <w:tc>
          <w:tcPr>
            <w:tcW w:type="dxa" w:w="2016"/>
            <w:vAlign w:val="center"/>
          </w:tcPr>
          <w:p>
            <w:pPr>
              <w:spacing w:after="40"/>
            </w:pPr>
            <w:r>
              <w:rPr>
                <w:rFonts w:ascii="Arial" w:hAnsi="Arial"/>
                <w:sz w:val="16"/>
              </w:rPr>
              <w:t>Pending</w:t>
            </w:r>
          </w:p>
        </w:tc>
      </w:tr>
      <w:tr>
        <w:tc>
          <w:tcPr>
            <w:tcW w:type="dxa" w:w="2016"/>
            <w:vAlign w:val="center"/>
          </w:tcPr>
          <w:p>
            <w:pPr>
              <w:spacing w:after="40"/>
            </w:pPr>
            <w:r>
              <w:rPr>
                <w:rFonts w:ascii="Arial" w:hAnsi="Arial"/>
                <w:sz w:val="16"/>
              </w:rPr>
              <w:t>R-02</w:t>
            </w:r>
          </w:p>
        </w:tc>
        <w:tc>
          <w:tcPr>
            <w:tcW w:type="dxa" w:w="2016"/>
            <w:vAlign w:val="center"/>
          </w:tcPr>
          <w:p>
            <w:pPr>
              <w:spacing w:after="40"/>
            </w:pPr>
            <w:r>
              <w:rPr>
                <w:rFonts w:ascii="Arial" w:hAnsi="Arial"/>
                <w:sz w:val="16"/>
              </w:rPr>
              <w:t>Complete after testing</w:t>
            </w:r>
          </w:p>
        </w:tc>
        <w:tc>
          <w:tcPr>
            <w:tcW w:type="dxa" w:w="2016"/>
            <w:vAlign w:val="center"/>
          </w:tcPr>
          <w:p>
            <w:pPr>
              <w:spacing w:after="40"/>
            </w:pPr>
            <w:r>
              <w:rPr>
                <w:rFonts w:ascii="Arial" w:hAnsi="Arial"/>
                <w:sz w:val="16"/>
              </w:rPr>
              <w:t>—</w:t>
            </w:r>
          </w:p>
        </w:tc>
        <w:tc>
          <w:tcPr>
            <w:tcW w:type="dxa" w:w="2016"/>
            <w:vAlign w:val="center"/>
          </w:tcPr>
          <w:p>
            <w:pPr>
              <w:spacing w:after="40"/>
            </w:pPr>
            <w:r>
              <w:rPr>
                <w:rFonts w:ascii="Arial" w:hAnsi="Arial"/>
                <w:sz w:val="16"/>
              </w:rPr>
              <w:t>—</w:t>
            </w:r>
          </w:p>
        </w:tc>
        <w:tc>
          <w:tcPr>
            <w:tcW w:type="dxa" w:w="2016"/>
            <w:vAlign w:val="center"/>
          </w:tcPr>
          <w:p>
            <w:pPr>
              <w:spacing w:after="40"/>
            </w:pPr>
            <w:r>
              <w:rPr>
                <w:rFonts w:ascii="Arial" w:hAnsi="Arial"/>
                <w:sz w:val="16"/>
              </w:rPr>
              <w:t>Pending</w:t>
            </w:r>
          </w:p>
        </w:tc>
      </w:tr>
      <w:tr>
        <w:tc>
          <w:tcPr>
            <w:tcW w:type="dxa" w:w="2016"/>
            <w:vAlign w:val="center"/>
          </w:tcPr>
          <w:p>
            <w:pPr>
              <w:spacing w:after="40"/>
            </w:pPr>
            <w:r>
              <w:rPr>
                <w:rFonts w:ascii="Arial" w:hAnsi="Arial"/>
                <w:sz w:val="16"/>
              </w:rPr>
              <w:t>R-03</w:t>
            </w:r>
          </w:p>
        </w:tc>
        <w:tc>
          <w:tcPr>
            <w:tcW w:type="dxa" w:w="2016"/>
            <w:vAlign w:val="center"/>
          </w:tcPr>
          <w:p>
            <w:pPr>
              <w:spacing w:after="40"/>
            </w:pPr>
            <w:r>
              <w:rPr>
                <w:rFonts w:ascii="Arial" w:hAnsi="Arial"/>
                <w:sz w:val="16"/>
              </w:rPr>
              <w:t>Complete after testing</w:t>
            </w:r>
          </w:p>
        </w:tc>
        <w:tc>
          <w:tcPr>
            <w:tcW w:type="dxa" w:w="2016"/>
            <w:vAlign w:val="center"/>
          </w:tcPr>
          <w:p>
            <w:pPr>
              <w:spacing w:after="40"/>
            </w:pPr>
            <w:r>
              <w:rPr>
                <w:rFonts w:ascii="Arial" w:hAnsi="Arial"/>
                <w:sz w:val="16"/>
              </w:rPr>
              <w:t>—</w:t>
            </w:r>
          </w:p>
        </w:tc>
        <w:tc>
          <w:tcPr>
            <w:tcW w:type="dxa" w:w="2016"/>
            <w:vAlign w:val="center"/>
          </w:tcPr>
          <w:p>
            <w:pPr>
              <w:spacing w:after="40"/>
            </w:pPr>
            <w:r>
              <w:rPr>
                <w:rFonts w:ascii="Arial" w:hAnsi="Arial"/>
                <w:sz w:val="16"/>
              </w:rPr>
              <w:t>—</w:t>
            </w:r>
          </w:p>
        </w:tc>
        <w:tc>
          <w:tcPr>
            <w:tcW w:type="dxa" w:w="2016"/>
            <w:vAlign w:val="center"/>
          </w:tcPr>
          <w:p>
            <w:pPr>
              <w:spacing w:after="40"/>
            </w:pPr>
            <w:r>
              <w:rPr>
                <w:rFonts w:ascii="Arial" w:hAnsi="Arial"/>
                <w:sz w:val="16"/>
              </w:rPr>
              <w:t>Pending</w:t>
            </w:r>
          </w:p>
        </w:tc>
      </w:tr>
    </w:tbl>
    <w:p>
      <w:pPr>
        <w:pStyle w:val="Heading1"/>
      </w:pPr>
      <w:r>
        <w:t>9. Prioritized Recommendations</w:t>
      </w:r>
    </w:p>
    <w:p>
      <w:pPr>
        <w:pStyle w:val="ListBullet"/>
      </w:pPr>
      <w:r>
        <w:t>Immediate (0–7 days): confirm the asset list and audit scope; review privileged accounts; enable MFA for administrators where supported; investigate critical/high vulnerability alerts; disable exposed or unused services only after change approval.</w:t>
      </w:r>
    </w:p>
    <w:p>
      <w:pPr>
        <w:pStyle w:val="ListBullet"/>
      </w:pPr>
      <w:r>
        <w:t>Short term (within 30 days): establish patch SLAs; remediate validated high-risk findings; review firewall rules and remote administration paths; centralize important logs; verify endpoint protection coverage; document risk owners and approved exceptions.</w:t>
      </w:r>
    </w:p>
    <w:p>
      <w:pPr>
        <w:pStyle w:val="ListBullet"/>
      </w:pPr>
      <w:r>
        <w:t>Medium term (30–90 days): implement hardened configuration baselines; improve network segmentation; automate vulnerability and configuration reporting; test backup restoration; run an incident-response tabletop exercise.</w:t>
      </w:r>
    </w:p>
    <w:p>
      <w:pPr>
        <w:pStyle w:val="ListBullet"/>
      </w:pPr>
      <w:r>
        <w:t>Long term (3–12 months): align the security program with NIST CSF / ISO 27001; introduce recurring access reviews; establish security metrics and executive reporting; improve secure development and supplier-risk reviews; perform periodic independent assessments.</w:t>
      </w:r>
    </w:p>
    <w:p>
      <w:pPr>
        <w:pStyle w:val="Heading1"/>
      </w:pPr>
      <w:r>
        <w:t>10. Implementation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pPr>
              <w:spacing w:after="40"/>
            </w:pPr>
            <w:r>
              <w:rPr>
                <w:rFonts w:ascii="Arial" w:hAnsi="Arial"/>
                <w:sz w:val="16"/>
              </w:rPr>
              <w:t>Timeframe</w:t>
            </w:r>
          </w:p>
        </w:tc>
        <w:tc>
          <w:tcPr>
            <w:tcW w:type="dxa" w:w="2520"/>
            <w:vAlign w:val="center"/>
          </w:tcPr>
          <w:p>
            <w:pPr>
              <w:spacing w:after="40"/>
            </w:pPr>
            <w:r>
              <w:rPr>
                <w:rFonts w:ascii="Arial" w:hAnsi="Arial"/>
                <w:sz w:val="16"/>
              </w:rPr>
              <w:t>Main actions</w:t>
            </w:r>
          </w:p>
        </w:tc>
        <w:tc>
          <w:tcPr>
            <w:tcW w:type="dxa" w:w="2520"/>
            <w:vAlign w:val="center"/>
          </w:tcPr>
          <w:p>
            <w:pPr>
              <w:spacing w:after="40"/>
            </w:pPr>
            <w:r>
              <w:rPr>
                <w:rFonts w:ascii="Arial" w:hAnsi="Arial"/>
                <w:sz w:val="16"/>
              </w:rPr>
              <w:t>Suggested owner</w:t>
            </w:r>
          </w:p>
        </w:tc>
        <w:tc>
          <w:tcPr>
            <w:tcW w:type="dxa" w:w="2520"/>
            <w:vAlign w:val="center"/>
          </w:tcPr>
          <w:p>
            <w:pPr>
              <w:spacing w:after="40"/>
            </w:pPr>
            <w:r>
              <w:rPr>
                <w:rFonts w:ascii="Arial" w:hAnsi="Arial"/>
                <w:sz w:val="16"/>
              </w:rPr>
              <w:t>Completion evidence</w:t>
            </w:r>
          </w:p>
        </w:tc>
      </w:tr>
      <w:tr>
        <w:tc>
          <w:tcPr>
            <w:tcW w:type="dxa" w:w="2520"/>
            <w:vAlign w:val="center"/>
          </w:tcPr>
          <w:p>
            <w:pPr>
              <w:spacing w:after="40"/>
            </w:pPr>
            <w:r>
              <w:rPr>
                <w:rFonts w:ascii="Arial" w:hAnsi="Arial"/>
                <w:sz w:val="16"/>
              </w:rPr>
              <w:t>0–7 days</w:t>
            </w:r>
          </w:p>
        </w:tc>
        <w:tc>
          <w:tcPr>
            <w:tcW w:type="dxa" w:w="2520"/>
            <w:vAlign w:val="center"/>
          </w:tcPr>
          <w:p>
            <w:pPr>
              <w:spacing w:after="40"/>
            </w:pPr>
            <w:r>
              <w:rPr>
                <w:rFonts w:ascii="Arial" w:hAnsi="Arial"/>
                <w:sz w:val="16"/>
              </w:rPr>
              <w:t>Confirm scope/assets; review admin access; triage critical risks</w:t>
            </w:r>
          </w:p>
        </w:tc>
        <w:tc>
          <w:tcPr>
            <w:tcW w:type="dxa" w:w="2520"/>
            <w:vAlign w:val="center"/>
          </w:tcPr>
          <w:p>
            <w:pPr>
              <w:spacing w:after="40"/>
            </w:pPr>
            <w:r>
              <w:rPr>
                <w:rFonts w:ascii="Arial" w:hAnsi="Arial"/>
                <w:sz w:val="16"/>
              </w:rPr>
              <w:t>IT / Security lead</w:t>
            </w:r>
          </w:p>
        </w:tc>
        <w:tc>
          <w:tcPr>
            <w:tcW w:type="dxa" w:w="2520"/>
            <w:vAlign w:val="center"/>
          </w:tcPr>
          <w:p>
            <w:pPr>
              <w:spacing w:after="40"/>
            </w:pPr>
            <w:r>
              <w:rPr>
                <w:rFonts w:ascii="Arial" w:hAnsi="Arial"/>
                <w:sz w:val="16"/>
              </w:rPr>
              <w:t>Approved inventory and triage log</w:t>
            </w:r>
          </w:p>
        </w:tc>
      </w:tr>
      <w:tr>
        <w:tc>
          <w:tcPr>
            <w:tcW w:type="dxa" w:w="2520"/>
            <w:vAlign w:val="center"/>
          </w:tcPr>
          <w:p>
            <w:pPr>
              <w:spacing w:after="40"/>
            </w:pPr>
            <w:r>
              <w:rPr>
                <w:rFonts w:ascii="Arial" w:hAnsi="Arial"/>
                <w:sz w:val="16"/>
              </w:rPr>
              <w:t>8–30 days</w:t>
            </w:r>
          </w:p>
        </w:tc>
        <w:tc>
          <w:tcPr>
            <w:tcW w:type="dxa" w:w="2520"/>
            <w:vAlign w:val="center"/>
          </w:tcPr>
          <w:p>
            <w:pPr>
              <w:spacing w:after="40"/>
            </w:pPr>
            <w:r>
              <w:rPr>
                <w:rFonts w:ascii="Arial" w:hAnsi="Arial"/>
                <w:sz w:val="16"/>
              </w:rPr>
              <w:t>Patch validated issues; review firewall and MFA; improve logging</w:t>
            </w:r>
          </w:p>
        </w:tc>
        <w:tc>
          <w:tcPr>
            <w:tcW w:type="dxa" w:w="2520"/>
            <w:vAlign w:val="center"/>
          </w:tcPr>
          <w:p>
            <w:pPr>
              <w:spacing w:after="40"/>
            </w:pPr>
            <w:r>
              <w:rPr>
                <w:rFonts w:ascii="Arial" w:hAnsi="Arial"/>
                <w:sz w:val="16"/>
              </w:rPr>
              <w:t>System / Network administrators</w:t>
            </w:r>
          </w:p>
        </w:tc>
        <w:tc>
          <w:tcPr>
            <w:tcW w:type="dxa" w:w="2520"/>
            <w:vAlign w:val="center"/>
          </w:tcPr>
          <w:p>
            <w:pPr>
              <w:spacing w:after="40"/>
            </w:pPr>
            <w:r>
              <w:rPr>
                <w:rFonts w:ascii="Arial" w:hAnsi="Arial"/>
                <w:sz w:val="16"/>
              </w:rPr>
              <w:t>Change records and retest results</w:t>
            </w:r>
          </w:p>
        </w:tc>
      </w:tr>
      <w:tr>
        <w:tc>
          <w:tcPr>
            <w:tcW w:type="dxa" w:w="2520"/>
            <w:vAlign w:val="center"/>
          </w:tcPr>
          <w:p>
            <w:pPr>
              <w:spacing w:after="40"/>
            </w:pPr>
            <w:r>
              <w:rPr>
                <w:rFonts w:ascii="Arial" w:hAnsi="Arial"/>
                <w:sz w:val="16"/>
              </w:rPr>
              <w:t>31–90 days</w:t>
            </w:r>
          </w:p>
        </w:tc>
        <w:tc>
          <w:tcPr>
            <w:tcW w:type="dxa" w:w="2520"/>
            <w:vAlign w:val="center"/>
          </w:tcPr>
          <w:p>
            <w:pPr>
              <w:spacing w:after="40"/>
            </w:pPr>
            <w:r>
              <w:rPr>
                <w:rFonts w:ascii="Arial" w:hAnsi="Arial"/>
                <w:sz w:val="16"/>
              </w:rPr>
              <w:t>Harden baselines; test backups; conduct response exercise</w:t>
            </w:r>
          </w:p>
        </w:tc>
        <w:tc>
          <w:tcPr>
            <w:tcW w:type="dxa" w:w="2520"/>
            <w:vAlign w:val="center"/>
          </w:tcPr>
          <w:p>
            <w:pPr>
              <w:spacing w:after="40"/>
            </w:pPr>
            <w:r>
              <w:rPr>
                <w:rFonts w:ascii="Arial" w:hAnsi="Arial"/>
                <w:sz w:val="16"/>
              </w:rPr>
              <w:t>Security / IT operations</w:t>
            </w:r>
          </w:p>
        </w:tc>
        <w:tc>
          <w:tcPr>
            <w:tcW w:type="dxa" w:w="2520"/>
            <w:vAlign w:val="center"/>
          </w:tcPr>
          <w:p>
            <w:pPr>
              <w:spacing w:after="40"/>
            </w:pPr>
            <w:r>
              <w:rPr>
                <w:rFonts w:ascii="Arial" w:hAnsi="Arial"/>
                <w:sz w:val="16"/>
              </w:rPr>
              <w:t>Baseline reports, restore evidence, exercise report</w:t>
            </w:r>
          </w:p>
        </w:tc>
      </w:tr>
      <w:tr>
        <w:tc>
          <w:tcPr>
            <w:tcW w:type="dxa" w:w="2520"/>
            <w:vAlign w:val="center"/>
          </w:tcPr>
          <w:p>
            <w:pPr>
              <w:spacing w:after="40"/>
            </w:pPr>
            <w:r>
              <w:rPr>
                <w:rFonts w:ascii="Arial" w:hAnsi="Arial"/>
                <w:sz w:val="16"/>
              </w:rPr>
              <w:t>3–12 months</w:t>
            </w:r>
          </w:p>
        </w:tc>
        <w:tc>
          <w:tcPr>
            <w:tcW w:type="dxa" w:w="2520"/>
            <w:vAlign w:val="center"/>
          </w:tcPr>
          <w:p>
            <w:pPr>
              <w:spacing w:after="40"/>
            </w:pPr>
            <w:r>
              <w:rPr>
                <w:rFonts w:ascii="Arial" w:hAnsi="Arial"/>
                <w:sz w:val="16"/>
              </w:rPr>
              <w:t>Set governance metrics; recurring reviews; periodic audit cycle</w:t>
            </w:r>
          </w:p>
        </w:tc>
        <w:tc>
          <w:tcPr>
            <w:tcW w:type="dxa" w:w="2520"/>
            <w:vAlign w:val="center"/>
          </w:tcPr>
          <w:p>
            <w:pPr>
              <w:spacing w:after="40"/>
            </w:pPr>
            <w:r>
              <w:rPr>
                <w:rFonts w:ascii="Arial" w:hAnsi="Arial"/>
                <w:sz w:val="16"/>
              </w:rPr>
              <w:t>Management / Security lead</w:t>
            </w:r>
          </w:p>
        </w:tc>
        <w:tc>
          <w:tcPr>
            <w:tcW w:type="dxa" w:w="2520"/>
            <w:vAlign w:val="center"/>
          </w:tcPr>
          <w:p>
            <w:pPr>
              <w:spacing w:after="40"/>
            </w:pPr>
            <w:r>
              <w:rPr>
                <w:rFonts w:ascii="Arial" w:hAnsi="Arial"/>
                <w:sz w:val="16"/>
              </w:rPr>
              <w:t>Approved policies, KPI reports, audit schedule</w:t>
            </w:r>
          </w:p>
        </w:tc>
      </w:tr>
    </w:tbl>
    <w:p>
      <w:pPr>
        <w:pStyle w:val="Heading1"/>
      </w:pPr>
      <w:r>
        <w:t>11. Suggested Security Metrics</w:t>
      </w:r>
    </w:p>
    <w:p>
      <w:pPr>
        <w:pStyle w:val="ListBullet"/>
      </w:pPr>
      <w:r>
        <w:t>Percentage of assets included in the verified inventory.</w:t>
      </w:r>
    </w:p>
    <w:p>
      <w:pPr>
        <w:pStyle w:val="ListBullet"/>
      </w:pPr>
      <w:r>
        <w:t>Percentage of privileged accounts protected by MFA.</w:t>
      </w:r>
    </w:p>
    <w:p>
      <w:pPr>
        <w:pStyle w:val="ListBullet"/>
      </w:pPr>
      <w:r>
        <w:t>Number of critical/high vulnerabilities past the approved remediation deadline.</w:t>
      </w:r>
    </w:p>
    <w:p>
      <w:pPr>
        <w:pStyle w:val="ListBullet"/>
      </w:pPr>
      <w:r>
        <w:t>Average time to remediate critical and high findings.</w:t>
      </w:r>
    </w:p>
    <w:p>
      <w:pPr>
        <w:pStyle w:val="ListBullet"/>
      </w:pPr>
      <w:r>
        <w:t>Percentage of critical systems forwarding logs to central monitoring.</w:t>
      </w:r>
    </w:p>
    <w:p>
      <w:pPr>
        <w:pStyle w:val="ListBullet"/>
      </w:pPr>
      <w:r>
        <w:t>Percentage of scheduled backup restore tests completed successfully.</w:t>
      </w:r>
    </w:p>
    <w:p>
      <w:pPr>
        <w:pStyle w:val="ListBullet"/>
      </w:pPr>
      <w:r>
        <w:t>Time taken to detect, escalate and contain events during exercises.</w:t>
      </w:r>
    </w:p>
    <w:p>
      <w:pPr>
        <w:pStyle w:val="Heading1"/>
      </w:pPr>
      <w:r>
        <w:t>12. Limitations and Evidence Integrity</w:t>
      </w:r>
    </w:p>
    <w:p>
      <w:r>
        <w:t>This document is a framework-based audit report template with preliminary control-gap hypotheses. The task prompt did not include a lab address, asset inventory, configuration files, screenshots, logs or test outputs. No live environment was accessed through this document, and no exploit or vulnerability scan is claimed. Replace 'Not supplied' and 'Pending validation' with real observations only after authorized testing. Include dated screenshots or log extracts with sensitive information redacted. Do not fabricate evidence or present hypothetical risks as confirmed vulnerabilities.</w:t>
      </w:r>
    </w:p>
    <w:p>
      <w:pPr>
        <w:pStyle w:val="Heading1"/>
      </w:pPr>
      <w:r>
        <w:t>13. Conclusion</w:t>
      </w:r>
    </w:p>
    <w:p>
      <w:r>
        <w:t>A comprehensive security audit should connect each recommendation to an asset, a validated control gap, supporting evidence, a risk rating and an accountable owner. The proposed roadmap prioritizes visibility, identity protection, vulnerability remediation, network controls, monitoring and recovery readiness. The final audit can be signed off only after the simulated environment is made available and the planned tests are completed or formally marked as not testable.</w:t>
      </w:r>
    </w:p>
    <w:p>
      <w:pPr>
        <w:pStyle w:val="Heading1"/>
      </w:pPr>
      <w:r>
        <w:t>14. References</w:t>
      </w:r>
    </w:p>
    <w:p>
      <w:pPr>
        <w:pStyle w:val="ListBullet"/>
      </w:pPr>
      <w:r>
        <w:t>National Institute of Standards and Technology (NIST). Cybersecurity Framework (CSF) 2.0. https://www.nist.gov/cyberframework</w:t>
      </w:r>
    </w:p>
    <w:p>
      <w:pPr>
        <w:pStyle w:val="ListBullet"/>
      </w:pPr>
      <w:r>
        <w:t>Center for Internet Security (CIS). CIS Critical Security Controls. https://www.cisecurity.org/controls</w:t>
      </w:r>
    </w:p>
    <w:p>
      <w:pPr>
        <w:pStyle w:val="ListBullet"/>
      </w:pPr>
      <w:r>
        <w:t>International Organization for Standardization. ISO/IEC 27001 — Information security management systems. https://www.iso.org/isoiec-27001-information-security.html</w:t>
      </w:r>
    </w:p>
    <w:p>
      <w:pPr>
        <w:pStyle w:val="ListBullet"/>
      </w:pPr>
      <w:r>
        <w:t>OWASP Foundation. Web Security Testing Guide. https://owasp.org/www-project-web-security-testing-guide/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