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6"/>
        </w:rPr>
        <w:t>WEEK 1 INTERNSHIP TASK REPORT</w:t>
      </w:r>
    </w:p>
    <w:p>
      <w:pPr>
        <w:pStyle w:val="Title"/>
        <w:jc w:val="center"/>
      </w:pPr>
      <w:r>
        <w:t>Virtual Threat Modeling and</w:t>
        <w:br/>
        <w:t>Vulnerability Assessment</w:t>
      </w:r>
    </w:p>
    <w:p>
      <w:pPr>
        <w:jc w:val="center"/>
      </w:pPr>
      <w:r>
        <w:rPr>
          <w:i/>
        </w:rPr>
        <w:t>A structured, illustrative assessment of a virtual network environment</w:t>
      </w:r>
    </w:p>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rFonts w:ascii="Times New Roman" w:hAnsi="Times New Roman"/>
                <w:b/>
                <w:sz w:val="18"/>
              </w:rPr>
              <w:t>Report Details</w:t>
            </w:r>
          </w:p>
        </w:tc>
        <w:tc>
          <w:tcPr>
            <w:tcW w:type="dxa" w:w="5040"/>
            <w:vAlign w:val="center"/>
            <w:shd w:fill="D9EAF7"/>
          </w:tcPr>
          <w:p>
            <w:r/>
            <w:r>
              <w:rPr>
                <w:rFonts w:ascii="Times New Roman" w:hAnsi="Times New Roman"/>
                <w:b/>
                <w:sz w:val="18"/>
              </w:rPr>
              <w:t>Information</w:t>
            </w:r>
          </w:p>
        </w:tc>
      </w:tr>
      <w:tr>
        <w:tc>
          <w:tcPr>
            <w:tcW w:type="dxa" w:w="5040"/>
            <w:vAlign w:val="center"/>
          </w:tcPr>
          <w:p>
            <w:r/>
            <w:r>
              <w:rPr>
                <w:rFonts w:ascii="Times New Roman" w:hAnsi="Times New Roman"/>
                <w:b w:val="0"/>
                <w:sz w:val="18"/>
              </w:rPr>
              <w:t>Task</w:t>
            </w:r>
          </w:p>
        </w:tc>
        <w:tc>
          <w:tcPr>
            <w:tcW w:type="dxa" w:w="5040"/>
            <w:vAlign w:val="center"/>
          </w:tcPr>
          <w:p>
            <w:r/>
            <w:r>
              <w:rPr>
                <w:rFonts w:ascii="Times New Roman" w:hAnsi="Times New Roman"/>
                <w:b w:val="0"/>
                <w:sz w:val="18"/>
              </w:rPr>
              <w:t>Week 1: Virtual Threat Modeling and Vulnerability Assessment</w:t>
            </w:r>
          </w:p>
        </w:tc>
      </w:tr>
      <w:tr>
        <w:tc>
          <w:tcPr>
            <w:tcW w:type="dxa" w:w="5040"/>
            <w:vAlign w:val="center"/>
          </w:tcPr>
          <w:p>
            <w:r/>
            <w:r>
              <w:rPr>
                <w:rFonts w:ascii="Times New Roman" w:hAnsi="Times New Roman"/>
                <w:b w:val="0"/>
                <w:sz w:val="18"/>
              </w:rPr>
              <w:t>Prepared by</w:t>
            </w:r>
          </w:p>
        </w:tc>
        <w:tc>
          <w:tcPr>
            <w:tcW w:type="dxa" w:w="5040"/>
            <w:vAlign w:val="center"/>
          </w:tcPr>
          <w:p>
            <w:r/>
            <w:r>
              <w:rPr>
                <w:rFonts w:ascii="Times New Roman" w:hAnsi="Times New Roman"/>
                <w:b w:val="0"/>
                <w:sz w:val="18"/>
              </w:rPr>
              <w:t>[Your Name]</w:t>
            </w:r>
          </w:p>
        </w:tc>
      </w:tr>
      <w:tr>
        <w:tc>
          <w:tcPr>
            <w:tcW w:type="dxa" w:w="5040"/>
            <w:vAlign w:val="center"/>
          </w:tcPr>
          <w:p>
            <w:r/>
            <w:r>
              <w:rPr>
                <w:rFonts w:ascii="Times New Roman" w:hAnsi="Times New Roman"/>
                <w:b w:val="0"/>
                <w:sz w:val="18"/>
              </w:rPr>
              <w:t>Internship / Organization</w:t>
            </w:r>
          </w:p>
        </w:tc>
        <w:tc>
          <w:tcPr>
            <w:tcW w:type="dxa" w:w="5040"/>
            <w:vAlign w:val="center"/>
          </w:tcPr>
          <w:p>
            <w:r/>
            <w:r>
              <w:rPr>
                <w:rFonts w:ascii="Times New Roman" w:hAnsi="Times New Roman"/>
                <w:b w:val="0"/>
                <w:sz w:val="18"/>
              </w:rPr>
              <w:t>[Internship Organization Name]</w:t>
            </w:r>
          </w:p>
        </w:tc>
      </w:tr>
      <w:tr>
        <w:tc>
          <w:tcPr>
            <w:tcW w:type="dxa" w:w="5040"/>
            <w:vAlign w:val="center"/>
          </w:tcPr>
          <w:p>
            <w:r/>
            <w:r>
              <w:rPr>
                <w:rFonts w:ascii="Times New Roman" w:hAnsi="Times New Roman"/>
                <w:b w:val="0"/>
                <w:sz w:val="18"/>
              </w:rPr>
              <w:t>Submission Date</w:t>
            </w:r>
          </w:p>
        </w:tc>
        <w:tc>
          <w:tcPr>
            <w:tcW w:type="dxa" w:w="5040"/>
            <w:vAlign w:val="center"/>
          </w:tcPr>
          <w:p>
            <w:r/>
            <w:r>
              <w:rPr>
                <w:rFonts w:ascii="Times New Roman" w:hAnsi="Times New Roman"/>
                <w:b w:val="0"/>
                <w:sz w:val="18"/>
              </w:rPr>
              <w:t>[Insert Date]</w:t>
            </w:r>
          </w:p>
        </w:tc>
      </w:tr>
      <w:tr>
        <w:tc>
          <w:tcPr>
            <w:tcW w:type="dxa" w:w="5040"/>
            <w:vAlign w:val="center"/>
          </w:tcPr>
          <w:p>
            <w:r/>
            <w:r>
              <w:rPr>
                <w:rFonts w:ascii="Times New Roman" w:hAnsi="Times New Roman"/>
                <w:b w:val="0"/>
                <w:sz w:val="18"/>
              </w:rPr>
              <w:t>Assessment Type</w:t>
            </w:r>
          </w:p>
        </w:tc>
        <w:tc>
          <w:tcPr>
            <w:tcW w:type="dxa" w:w="5040"/>
            <w:vAlign w:val="center"/>
          </w:tcPr>
          <w:p>
            <w:r/>
            <w:r>
              <w:rPr>
                <w:rFonts w:ascii="Times New Roman" w:hAnsi="Times New Roman"/>
                <w:b w:val="0"/>
                <w:sz w:val="18"/>
              </w:rPr>
              <w:t>Virtual-lab simulation and desk-based threat analysis</w:t>
            </w:r>
          </w:p>
        </w:tc>
      </w:tr>
    </w:tbl>
    <w:p/>
    <w:p>
      <w:pPr>
        <w:jc w:val="center"/>
      </w:pPr>
      <w:r>
        <w:rPr>
          <w:b/>
        </w:rPr>
        <w:t>Important scope note</w:t>
      </w:r>
    </w:p>
    <w:p>
      <w:pPr>
        <w:jc w:val="center"/>
      </w:pPr>
      <w:r>
        <w:t>This report is a learning template based on an illustrative lab design. No live network scan or verification is claimed. Replace example findings with evidence from your authorized lab before submitting as completed practical work.</w:t>
      </w:r>
    </w:p>
    <w:p>
      <w:r>
        <w:br w:type="page"/>
      </w:r>
    </w:p>
    <w:p>
      <w:pPr>
        <w:pStyle w:val="Heading1"/>
      </w:pPr>
      <w:r>
        <w:t>Executive Summary</w:t>
      </w:r>
    </w:p>
    <w:p>
      <w:r>
        <w:t>This report presents a structured threat-modeling and vulnerability-assessment exercise for a small virtual network containing an administrator workstation, a virtual firewall, a web application, a private database, and centralized logging. The purpose is to define the system boundary, identify plausible attack paths, assess example risks, and recommend proportionate controls. The STRIDE framework is used to organize threats involving spoofing, tampering, repudiation, information disclosure, denial of service, and elevation of privilege. Risk is rated using a simple likelihood-and-impact matrix aligned with the risk-assessment approach described by NIST SP 800-30 Rev. 1.</w:t>
      </w:r>
    </w:p>
    <w:p>
      <w:r>
        <w:t>Because no virtual-machine configuration, scan output, or target IP address was supplied with the task, the vulnerabilities in this report are explicitly treated as potential or illustrative findings rather than verified defects. The methodology includes safe, authorized use of open-source tools such as Nmap for host and service discovery and OWASP ZAP for web-application testing. The report also explains how to record evidence, validate findings manually, and prioritize remediation. The main recommended actions are to restrict exposed services, enforce strong authentication and least privilege, patch software, protect data in transit and at rest, centralize logs, and establish a repeatable vulnerability-management cycle.</w:t>
      </w:r>
    </w:p>
    <w:p>
      <w:pPr>
        <w:pStyle w:val="Heading1"/>
      </w:pPr>
      <w:r>
        <w:t>Report Description (200+ words)</w:t>
      </w:r>
    </w:p>
    <w:p>
      <w:r>
        <w:t>This report documents a virtual threat-modeling and vulnerability-assessment exercise designed to develop practical understanding of cybersecurity risk identification and mitigation. The exercise begins by defining the scope and boundaries of a sample virtual network, including an administrator workstation, a network firewall, a web application, a private database, and a logging component. It identifies the assets that require protection, the types of information handled by the system, and the trust boundaries between components. The STRIDE threat-modeling framework is then applied to systematically consider spoofing, tampering, repudiation, information disclosure, denial of service, and elevation-of-privilege scenarios. Each scenario is linked to a potential attack vector, a security objective, and a recommended control.</w:t>
      </w:r>
    </w:p>
    <w:p>
      <w:r>
        <w:t>The vulnerability-assessment methodology combines documentation review, configuration review, safe network-service discovery, web-application testing, and manual validation. Open-source tools such as Nmap and OWASP ZAP are proposed for use only against systems in the authorized virtual lab. The report does not claim that a scan was actually completed because no lab address, system documentation, or scan evidence was provided. Therefore, example weaknesses are clearly marked as hypotheses that must be confirmed or rejected using real findings. A qualitative risk model assigns likelihood and impact scores from one to five and calculates an illustrative risk score to support prioritization. The report concludes with a risk register, remediation actions, suggested timelines, a validation plan, and references to recognized cybersecurity guidance. The overall goal is to demonstrate a structured, evidence-based, and ethical approach to reducing security risk while keeping testing confined to the approved environment.</w:t>
      </w:r>
    </w:p>
    <w:p>
      <w:pPr>
        <w:pStyle w:val="Heading1"/>
      </w:pPr>
      <w:r>
        <w:t>1. Objectives</w:t>
      </w:r>
    </w:p>
    <w:p>
      <w:pPr>
        <w:pStyle w:val="ListBullet"/>
      </w:pPr>
      <w:r>
        <w:t>Define the virtual network boundary, important assets, trust boundaries, and data flows.</w:t>
      </w:r>
    </w:p>
    <w:p>
      <w:pPr>
        <w:pStyle w:val="ListBullet"/>
      </w:pPr>
      <w:r>
        <w:t>Identify likely threats using the STRIDE framework.</w:t>
      </w:r>
    </w:p>
    <w:p>
      <w:pPr>
        <w:pStyle w:val="ListBullet"/>
      </w:pPr>
      <w:r>
        <w:t>Describe a repeatable vulnerability-assessment process using open-source tools and manual checks.</w:t>
      </w:r>
    </w:p>
    <w:p>
      <w:pPr>
        <w:pStyle w:val="ListBullet"/>
      </w:pPr>
      <w:r>
        <w:t>Rate example risks using likelihood and impact, with clear assumptions.</w:t>
      </w:r>
    </w:p>
    <w:p>
      <w:pPr>
        <w:pStyle w:val="ListBullet"/>
      </w:pPr>
      <w:r>
        <w:t>Recommend prioritized mitigation actions, owners, target timelines, and validation steps.</w:t>
      </w:r>
    </w:p>
    <w:p>
      <w:pPr>
        <w:pStyle w:val="ListBullet"/>
      </w:pPr>
      <w:r>
        <w:t>Document limitations and reference recognized cybersecurity guidance.</w:t>
      </w:r>
    </w:p>
    <w:p>
      <w:pPr>
        <w:pStyle w:val="Heading1"/>
      </w:pPr>
      <w:r>
        <w:t>2. Scope, Assumptions, and Rules of Engagement</w:t>
      </w:r>
    </w:p>
    <w:p>
      <w:pPr>
        <w:pStyle w:val="Heading2"/>
      </w:pPr>
      <w:r>
        <w:t>2.1 In scope</w:t>
      </w:r>
    </w:p>
    <w:p>
      <w:pPr>
        <w:pStyle w:val="ListBullet"/>
      </w:pPr>
      <w:r>
        <w:t>An isolated, host-only or internal virtual network created for training.</w:t>
      </w:r>
    </w:p>
    <w:p>
      <w:pPr>
        <w:pStyle w:val="ListBullet"/>
      </w:pPr>
      <w:r>
        <w:t>One administrator/test workstation, one firewall or virtual router, one web application server, one database service, and one logging/monitoring component.</w:t>
      </w:r>
    </w:p>
    <w:p>
      <w:pPr>
        <w:pStyle w:val="ListBullet"/>
      </w:pPr>
      <w:r>
        <w:t>Configuration review, service inventory, patch review, authentication and authorization checks, TLS review, logging checks, and non-destructive web testing.</w:t>
      </w:r>
    </w:p>
    <w:p>
      <w:pPr>
        <w:pStyle w:val="Heading2"/>
      </w:pPr>
      <w:r>
        <w:t>2.2 Out of scope</w:t>
      </w:r>
    </w:p>
    <w:p>
      <w:pPr>
        <w:pStyle w:val="ListBullet"/>
      </w:pPr>
      <w:r>
        <w:t>Public IP addresses, systems belonging to other people or organizations, production systems, cloud accounts not explicitly authorized, and third-party infrastructure.</w:t>
      </w:r>
    </w:p>
    <w:p>
      <w:pPr>
        <w:pStyle w:val="ListBullet"/>
      </w:pPr>
      <w:r>
        <w:t>Denial-of-service testing, destructive payloads, credential theft, persistence, malware deployment, exploitation that changes data, and testing with real personal data.</w:t>
      </w:r>
    </w:p>
    <w:p>
      <w:pPr>
        <w:pStyle w:val="ListBullet"/>
      </w:pPr>
      <w:r>
        <w:t>Any host not expressly included in the written scope.</w:t>
      </w:r>
    </w:p>
    <w:p>
      <w:pPr>
        <w:pStyle w:val="Heading2"/>
      </w:pPr>
      <w:r>
        <w:t>2.3 Assumptions and limitations</w:t>
      </w:r>
    </w:p>
    <w:p>
      <w:r>
        <w:t>The architecture is illustrative because the task brief did not include a specific lab topology or virtual-system documentation. All example risks are hypotheses, not verified vulnerabilities. A real submission should attach the actual scan date, tool versions, authorized target range, sanitized command output, screenshots, and confirmation status. Do not state that a tool found a vulnerability unless its output supports that statement.</w:t>
      </w:r>
    </w:p>
    <w:p>
      <w:pPr>
        <w:pStyle w:val="Heading1"/>
      </w:pPr>
      <w:r>
        <w:t>3. System Model and Data Flows</w:t>
      </w:r>
    </w:p>
    <w:p>
      <w:r>
        <w:t>The diagram below represents the proposed training environment. Arrows show expected communication paths; firewall rules should deny all other traffic by default.</w:t>
      </w:r>
    </w:p>
    <w:p>
      <w:pPr>
        <w:jc w:val="center"/>
      </w:pPr>
      <w:r>
        <w:drawing>
          <wp:inline xmlns:a="http://schemas.openxmlformats.org/drawingml/2006/main" xmlns:pic="http://schemas.openxmlformats.org/drawingml/2006/picture">
            <wp:extent cx="6217920" cy="2953599"/>
            <wp:docPr id="1" name="Picture 1"/>
            <wp:cNvGraphicFramePr>
              <a:graphicFrameLocks noChangeAspect="1"/>
            </wp:cNvGraphicFramePr>
            <a:graphic>
              <a:graphicData uri="http://schemas.openxmlformats.org/drawingml/2006/picture">
                <pic:pic>
                  <pic:nvPicPr>
                    <pic:cNvPr id="0" name="virtual_network_diagram.png"/>
                    <pic:cNvPicPr/>
                  </pic:nvPicPr>
                  <pic:blipFill>
                    <a:blip r:embed="rId9"/>
                    <a:stretch>
                      <a:fillRect/>
                    </a:stretch>
                  </pic:blipFill>
                  <pic:spPr>
                    <a:xfrm>
                      <a:off x="0" y="0"/>
                      <a:ext cx="6217920" cy="2953599"/>
                    </a:xfrm>
                    <a:prstGeom prst="rect"/>
                  </pic:spPr>
                </pic:pic>
              </a:graphicData>
            </a:graphic>
          </wp:inline>
        </w:drawing>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rFonts w:ascii="Times New Roman" w:hAnsi="Times New Roman"/>
                <w:b/>
                <w:sz w:val="18"/>
              </w:rPr>
              <w:t>Component / Asset</w:t>
            </w:r>
          </w:p>
        </w:tc>
        <w:tc>
          <w:tcPr>
            <w:tcW w:type="dxa" w:w="3360"/>
            <w:vAlign w:val="center"/>
            <w:shd w:fill="D9EAF7"/>
          </w:tcPr>
          <w:p>
            <w:r/>
            <w:r>
              <w:rPr>
                <w:rFonts w:ascii="Times New Roman" w:hAnsi="Times New Roman"/>
                <w:b/>
                <w:sz w:val="18"/>
              </w:rPr>
              <w:t>Purpose</w:t>
            </w:r>
          </w:p>
        </w:tc>
        <w:tc>
          <w:tcPr>
            <w:tcW w:type="dxa" w:w="3360"/>
            <w:vAlign w:val="center"/>
            <w:shd w:fill="D9EAF7"/>
          </w:tcPr>
          <w:p>
            <w:r/>
            <w:r>
              <w:rPr>
                <w:rFonts w:ascii="Times New Roman" w:hAnsi="Times New Roman"/>
                <w:b/>
                <w:sz w:val="18"/>
              </w:rPr>
              <w:t>Security Requirements</w:t>
            </w:r>
          </w:p>
        </w:tc>
      </w:tr>
      <w:tr>
        <w:tc>
          <w:tcPr>
            <w:tcW w:type="dxa" w:w="3360"/>
            <w:vAlign w:val="center"/>
          </w:tcPr>
          <w:p>
            <w:r/>
            <w:r>
              <w:rPr>
                <w:rFonts w:ascii="Times New Roman" w:hAnsi="Times New Roman"/>
                <w:b w:val="0"/>
                <w:sz w:val="18"/>
              </w:rPr>
              <w:t>Administrator workstation</w:t>
            </w:r>
          </w:p>
        </w:tc>
        <w:tc>
          <w:tcPr>
            <w:tcW w:type="dxa" w:w="3360"/>
            <w:vAlign w:val="center"/>
          </w:tcPr>
          <w:p>
            <w:r/>
            <w:r>
              <w:rPr>
                <w:rFonts w:ascii="Times New Roman" w:hAnsi="Times New Roman"/>
                <w:b w:val="0"/>
                <w:sz w:val="18"/>
              </w:rPr>
              <w:t>Runs authorized assessment tools and administers the lab.</w:t>
            </w:r>
          </w:p>
        </w:tc>
        <w:tc>
          <w:tcPr>
            <w:tcW w:type="dxa" w:w="3360"/>
            <w:vAlign w:val="center"/>
          </w:tcPr>
          <w:p>
            <w:r/>
            <w:r>
              <w:rPr>
                <w:rFonts w:ascii="Times New Roman" w:hAnsi="Times New Roman"/>
                <w:b w:val="0"/>
                <w:sz w:val="18"/>
              </w:rPr>
              <w:t>MFA where supported, patched OS, restricted access, no shared credentials.</w:t>
            </w:r>
          </w:p>
        </w:tc>
      </w:tr>
      <w:tr>
        <w:tc>
          <w:tcPr>
            <w:tcW w:type="dxa" w:w="3360"/>
            <w:vAlign w:val="center"/>
          </w:tcPr>
          <w:p>
            <w:r/>
            <w:r>
              <w:rPr>
                <w:rFonts w:ascii="Times New Roman" w:hAnsi="Times New Roman"/>
                <w:b w:val="0"/>
                <w:sz w:val="18"/>
              </w:rPr>
              <w:t>Firewall / virtual router</w:t>
            </w:r>
          </w:p>
        </w:tc>
        <w:tc>
          <w:tcPr>
            <w:tcW w:type="dxa" w:w="3360"/>
            <w:vAlign w:val="center"/>
          </w:tcPr>
          <w:p>
            <w:r/>
            <w:r>
              <w:rPr>
                <w:rFonts w:ascii="Times New Roman" w:hAnsi="Times New Roman"/>
                <w:b w:val="0"/>
                <w:sz w:val="18"/>
              </w:rPr>
              <w:t>Separates lab components and controls traffic.</w:t>
            </w:r>
          </w:p>
        </w:tc>
        <w:tc>
          <w:tcPr>
            <w:tcW w:type="dxa" w:w="3360"/>
            <w:vAlign w:val="center"/>
          </w:tcPr>
          <w:p>
            <w:r/>
            <w:r>
              <w:rPr>
                <w:rFonts w:ascii="Times New Roman" w:hAnsi="Times New Roman"/>
                <w:b w:val="0"/>
                <w:sz w:val="18"/>
              </w:rPr>
              <w:t>Default-deny rules, management interface restricted, rules reviewed.</w:t>
            </w:r>
          </w:p>
        </w:tc>
      </w:tr>
      <w:tr>
        <w:tc>
          <w:tcPr>
            <w:tcW w:type="dxa" w:w="3360"/>
            <w:vAlign w:val="center"/>
          </w:tcPr>
          <w:p>
            <w:r/>
            <w:r>
              <w:rPr>
                <w:rFonts w:ascii="Times New Roman" w:hAnsi="Times New Roman"/>
                <w:b w:val="0"/>
                <w:sz w:val="18"/>
              </w:rPr>
              <w:t>Web application</w:t>
            </w:r>
          </w:p>
        </w:tc>
        <w:tc>
          <w:tcPr>
            <w:tcW w:type="dxa" w:w="3360"/>
            <w:vAlign w:val="center"/>
          </w:tcPr>
          <w:p>
            <w:r/>
            <w:r>
              <w:rPr>
                <w:rFonts w:ascii="Times New Roman" w:hAnsi="Times New Roman"/>
                <w:b w:val="0"/>
                <w:sz w:val="18"/>
              </w:rPr>
              <w:t>Receives user requests and returns application content.</w:t>
            </w:r>
          </w:p>
        </w:tc>
        <w:tc>
          <w:tcPr>
            <w:tcW w:type="dxa" w:w="3360"/>
            <w:vAlign w:val="center"/>
          </w:tcPr>
          <w:p>
            <w:r/>
            <w:r>
              <w:rPr>
                <w:rFonts w:ascii="Times New Roman" w:hAnsi="Times New Roman"/>
                <w:b w:val="0"/>
                <w:sz w:val="18"/>
              </w:rPr>
              <w:t>HTTPS, input validation, secure sessions, access control, security headers.</w:t>
            </w:r>
          </w:p>
        </w:tc>
      </w:tr>
      <w:tr>
        <w:tc>
          <w:tcPr>
            <w:tcW w:type="dxa" w:w="3360"/>
            <w:vAlign w:val="center"/>
          </w:tcPr>
          <w:p>
            <w:r/>
            <w:r>
              <w:rPr>
                <w:rFonts w:ascii="Times New Roman" w:hAnsi="Times New Roman"/>
                <w:b w:val="0"/>
                <w:sz w:val="18"/>
              </w:rPr>
              <w:t>Database</w:t>
            </w:r>
          </w:p>
        </w:tc>
        <w:tc>
          <w:tcPr>
            <w:tcW w:type="dxa" w:w="3360"/>
            <w:vAlign w:val="center"/>
          </w:tcPr>
          <w:p>
            <w:r/>
            <w:r>
              <w:rPr>
                <w:rFonts w:ascii="Times New Roman" w:hAnsi="Times New Roman"/>
                <w:b w:val="0"/>
                <w:sz w:val="18"/>
              </w:rPr>
              <w:t>Stores application records and account-related data.</w:t>
            </w:r>
          </w:p>
        </w:tc>
        <w:tc>
          <w:tcPr>
            <w:tcW w:type="dxa" w:w="3360"/>
            <w:vAlign w:val="center"/>
          </w:tcPr>
          <w:p>
            <w:r/>
            <w:r>
              <w:rPr>
                <w:rFonts w:ascii="Times New Roman" w:hAnsi="Times New Roman"/>
                <w:b w:val="0"/>
                <w:sz w:val="18"/>
              </w:rPr>
              <w:t>Private network only, least-privilege service account, backups, encryption.</w:t>
            </w:r>
          </w:p>
        </w:tc>
      </w:tr>
      <w:tr>
        <w:tc>
          <w:tcPr>
            <w:tcW w:type="dxa" w:w="3360"/>
            <w:vAlign w:val="center"/>
          </w:tcPr>
          <w:p>
            <w:r/>
            <w:r>
              <w:rPr>
                <w:rFonts w:ascii="Times New Roman" w:hAnsi="Times New Roman"/>
                <w:b w:val="0"/>
                <w:sz w:val="18"/>
              </w:rPr>
              <w:t>Logging / monitoring</w:t>
            </w:r>
          </w:p>
        </w:tc>
        <w:tc>
          <w:tcPr>
            <w:tcW w:type="dxa" w:w="3360"/>
            <w:vAlign w:val="center"/>
          </w:tcPr>
          <w:p>
            <w:r/>
            <w:r>
              <w:rPr>
                <w:rFonts w:ascii="Times New Roman" w:hAnsi="Times New Roman"/>
                <w:b w:val="0"/>
                <w:sz w:val="18"/>
              </w:rPr>
              <w:t>Collects application, authentication, and system events.</w:t>
            </w:r>
          </w:p>
        </w:tc>
        <w:tc>
          <w:tcPr>
            <w:tcW w:type="dxa" w:w="3360"/>
            <w:vAlign w:val="center"/>
          </w:tcPr>
          <w:p>
            <w:r/>
            <w:r>
              <w:rPr>
                <w:rFonts w:ascii="Times New Roman" w:hAnsi="Times New Roman"/>
                <w:b w:val="0"/>
                <w:sz w:val="18"/>
              </w:rPr>
              <w:t>Time synchronization, restricted log access, retention, alerting, tamper resistance.</w:t>
            </w:r>
          </w:p>
        </w:tc>
      </w:tr>
      <w:tr>
        <w:tc>
          <w:tcPr>
            <w:tcW w:type="dxa" w:w="3360"/>
            <w:vAlign w:val="center"/>
          </w:tcPr>
          <w:p>
            <w:r/>
            <w:r>
              <w:rPr>
                <w:rFonts w:ascii="Times New Roman" w:hAnsi="Times New Roman"/>
                <w:b w:val="0"/>
                <w:sz w:val="18"/>
              </w:rPr>
              <w:t>Data flows</w:t>
            </w:r>
          </w:p>
        </w:tc>
        <w:tc>
          <w:tcPr>
            <w:tcW w:type="dxa" w:w="3360"/>
            <w:vAlign w:val="center"/>
          </w:tcPr>
          <w:p>
            <w:r/>
            <w:r>
              <w:rPr>
                <w:rFonts w:ascii="Times New Roman" w:hAnsi="Times New Roman"/>
                <w:b w:val="0"/>
                <w:sz w:val="18"/>
              </w:rPr>
              <w:t>Admin-to-lab management; client-to-web over HTTPS; web-to-database on a restricted port; services-to-logging.</w:t>
            </w:r>
          </w:p>
        </w:tc>
        <w:tc>
          <w:tcPr>
            <w:tcW w:type="dxa" w:w="3360"/>
            <w:vAlign w:val="center"/>
          </w:tcPr>
          <w:p>
            <w:r/>
            <w:r>
              <w:rPr>
                <w:rFonts w:ascii="Times New Roman" w:hAnsi="Times New Roman"/>
                <w:b w:val="0"/>
                <w:sz w:val="18"/>
              </w:rPr>
              <w:t>Explicitly documented ports, authenticated connections, minimum required data.</w:t>
            </w:r>
          </w:p>
        </w:tc>
      </w:tr>
    </w:tbl>
    <w:p/>
    <w:p>
      <w:pPr>
        <w:pStyle w:val="Heading1"/>
      </w:pPr>
      <w:r>
        <w:t>4. Methodology</w:t>
      </w:r>
    </w:p>
    <w:p>
      <w:r>
        <w:rPr>
          <w:b/>
        </w:rPr>
        <w:t xml:space="preserve">Step 1 — Confirm authorization and inventory: </w:t>
      </w:r>
      <w:r>
        <w:t>Record the approved lab range, virtual-machine names, operating systems, application versions, test window, and exclusions. Confirm that snapshots or backups exist.</w:t>
      </w:r>
    </w:p>
    <w:p>
      <w:r>
        <w:rPr>
          <w:b/>
        </w:rPr>
        <w:t xml:space="preserve">Step 2 — Review documentation: </w:t>
      </w:r>
      <w:r>
        <w:t>Review network diagrams, firewall rules, asset inventory, application architecture, data classification, account roles, and patch records.</w:t>
      </w:r>
    </w:p>
    <w:p>
      <w:r>
        <w:rPr>
          <w:b/>
        </w:rPr>
        <w:t xml:space="preserve">Step 3 — Map trust boundaries and flows: </w:t>
      </w:r>
      <w:r>
        <w:t>Identify where user input crosses into the application, where the application connects to the database, and where administrators manage the environment.</w:t>
      </w:r>
    </w:p>
    <w:p>
      <w:r>
        <w:rPr>
          <w:b/>
        </w:rPr>
        <w:t xml:space="preserve">Step 4 — Apply STRIDE: </w:t>
      </w:r>
      <w:r>
        <w:t>For each component and data flow, ask how an attacker could impersonate a user, alter data, hide activity, disclose information, disrupt availability, or gain excess privileges.</w:t>
      </w:r>
    </w:p>
    <w:p>
      <w:r>
        <w:rPr>
          <w:b/>
        </w:rPr>
        <w:t xml:space="preserve">Step 5 — Conduct safe discovery: </w:t>
      </w:r>
      <w:r>
        <w:t>Within the approved lab only, use Nmap to identify reachable hosts and exposed services. Save outputs with timestamps. Avoid scanning any external or unapproved address.</w:t>
      </w:r>
    </w:p>
    <w:p>
      <w:r>
        <w:rPr>
          <w:b/>
        </w:rPr>
        <w:t xml:space="preserve">Step 6 — Review the web application: </w:t>
      </w:r>
      <w:r>
        <w:t>Use OWASP ZAP in a controlled test environment. Begin with passive checks; use active scanning only when explicitly authorized and safe for the lab. Do not submit real personal data.</w:t>
      </w:r>
    </w:p>
    <w:p>
      <w:r>
        <w:rPr>
          <w:b/>
        </w:rPr>
        <w:t xml:space="preserve">Step 7 — Perform manual validation: </w:t>
      </w:r>
      <w:r>
        <w:t>Check whether each tool alert is relevant, reproducible, and in scope. Review headers, TLS settings, authentication, role boundaries, error messages, file permissions, backups, and logs.</w:t>
      </w:r>
    </w:p>
    <w:p>
      <w:r>
        <w:rPr>
          <w:b/>
        </w:rPr>
        <w:t xml:space="preserve">Step 8 — Rate and prioritize risk: </w:t>
      </w:r>
      <w:r>
        <w:t>Assign likelihood and impact scores using the rubric below. Document assumptions, evidence, affected asset, recommended control, owner, due date, and residual risk.</w:t>
      </w:r>
    </w:p>
    <w:p>
      <w:r>
        <w:rPr>
          <w:b/>
        </w:rPr>
        <w:t xml:space="preserve">Step 9 — Report and retest: </w:t>
      </w:r>
      <w:r>
        <w:t>Prepare a risk register, fix plan, and retest checklist. Close a finding only after evidence demonstrates that the control works.</w:t>
      </w:r>
    </w:p>
    <w:p>
      <w:pPr>
        <w:pStyle w:val="Heading1"/>
      </w:pPr>
      <w:r>
        <w:t>5. Threat Model: STRIDE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D9EAF7"/>
          </w:tcPr>
          <w:p>
            <w:r/>
            <w:r>
              <w:rPr>
                <w:rFonts w:ascii="Times New Roman" w:hAnsi="Times New Roman"/>
                <w:b/>
                <w:sz w:val="18"/>
              </w:rPr>
              <w:t>STRIDE Category</w:t>
            </w:r>
          </w:p>
        </w:tc>
        <w:tc>
          <w:tcPr>
            <w:tcW w:type="dxa" w:w="2520"/>
            <w:vAlign w:val="center"/>
            <w:shd w:fill="D9EAF7"/>
          </w:tcPr>
          <w:p>
            <w:r/>
            <w:r>
              <w:rPr>
                <w:rFonts w:ascii="Times New Roman" w:hAnsi="Times New Roman"/>
                <w:b/>
                <w:sz w:val="18"/>
              </w:rPr>
              <w:t>Example Threat Scenario</w:t>
            </w:r>
          </w:p>
        </w:tc>
        <w:tc>
          <w:tcPr>
            <w:tcW w:type="dxa" w:w="2520"/>
            <w:vAlign w:val="center"/>
            <w:shd w:fill="D9EAF7"/>
          </w:tcPr>
          <w:p>
            <w:r/>
            <w:r>
              <w:rPr>
                <w:rFonts w:ascii="Times New Roman" w:hAnsi="Times New Roman"/>
                <w:b/>
                <w:sz w:val="18"/>
              </w:rPr>
              <w:t>Potential Impact</w:t>
            </w:r>
          </w:p>
        </w:tc>
        <w:tc>
          <w:tcPr>
            <w:tcW w:type="dxa" w:w="2520"/>
            <w:vAlign w:val="center"/>
            <w:shd w:fill="D9EAF7"/>
          </w:tcPr>
          <w:p>
            <w:r/>
            <w:r>
              <w:rPr>
                <w:rFonts w:ascii="Times New Roman" w:hAnsi="Times New Roman"/>
                <w:b/>
                <w:sz w:val="18"/>
              </w:rPr>
              <w:t>Recommended Controls</w:t>
            </w:r>
          </w:p>
        </w:tc>
      </w:tr>
      <w:tr>
        <w:tc>
          <w:tcPr>
            <w:tcW w:type="dxa" w:w="2520"/>
            <w:vAlign w:val="center"/>
          </w:tcPr>
          <w:p>
            <w:r/>
            <w:r>
              <w:rPr>
                <w:rFonts w:ascii="Times New Roman" w:hAnsi="Times New Roman"/>
                <w:b w:val="0"/>
                <w:sz w:val="18"/>
              </w:rPr>
              <w:t>Spoofing</w:t>
            </w:r>
          </w:p>
        </w:tc>
        <w:tc>
          <w:tcPr>
            <w:tcW w:type="dxa" w:w="2520"/>
            <w:vAlign w:val="center"/>
          </w:tcPr>
          <w:p>
            <w:r/>
            <w:r>
              <w:rPr>
                <w:rFonts w:ascii="Times New Roman" w:hAnsi="Times New Roman"/>
                <w:b w:val="0"/>
                <w:sz w:val="18"/>
              </w:rPr>
              <w:t>An attacker reuses a stolen password or session token to impersonate an administrator.</w:t>
            </w:r>
          </w:p>
        </w:tc>
        <w:tc>
          <w:tcPr>
            <w:tcW w:type="dxa" w:w="2520"/>
            <w:vAlign w:val="center"/>
          </w:tcPr>
          <w:p>
            <w:r/>
            <w:r>
              <w:rPr>
                <w:rFonts w:ascii="Times New Roman" w:hAnsi="Times New Roman"/>
                <w:b w:val="0"/>
                <w:sz w:val="18"/>
              </w:rPr>
              <w:t>Unauthorized access and data exposure.</w:t>
            </w:r>
          </w:p>
        </w:tc>
        <w:tc>
          <w:tcPr>
            <w:tcW w:type="dxa" w:w="2520"/>
            <w:vAlign w:val="center"/>
          </w:tcPr>
          <w:p>
            <w:r/>
            <w:r>
              <w:rPr>
                <w:rFonts w:ascii="Times New Roman" w:hAnsi="Times New Roman"/>
                <w:b w:val="0"/>
                <w:sz w:val="18"/>
              </w:rPr>
              <w:t>MFA, secure session handling, short-lived tokens, login-rate controls, credential hygiene.</w:t>
            </w:r>
          </w:p>
        </w:tc>
      </w:tr>
      <w:tr>
        <w:tc>
          <w:tcPr>
            <w:tcW w:type="dxa" w:w="2520"/>
            <w:vAlign w:val="center"/>
          </w:tcPr>
          <w:p>
            <w:r/>
            <w:r>
              <w:rPr>
                <w:rFonts w:ascii="Times New Roman" w:hAnsi="Times New Roman"/>
                <w:b w:val="0"/>
                <w:sz w:val="18"/>
              </w:rPr>
              <w:t>Tampering</w:t>
            </w:r>
          </w:p>
        </w:tc>
        <w:tc>
          <w:tcPr>
            <w:tcW w:type="dxa" w:w="2520"/>
            <w:vAlign w:val="center"/>
          </w:tcPr>
          <w:p>
            <w:r/>
            <w:r>
              <w:rPr>
                <w:rFonts w:ascii="Times New Roman" w:hAnsi="Times New Roman"/>
                <w:b w:val="0"/>
                <w:sz w:val="18"/>
              </w:rPr>
              <w:t>A user manipulates a request or modifies application data without permission.</w:t>
            </w:r>
          </w:p>
        </w:tc>
        <w:tc>
          <w:tcPr>
            <w:tcW w:type="dxa" w:w="2520"/>
            <w:vAlign w:val="center"/>
          </w:tcPr>
          <w:p>
            <w:r/>
            <w:r>
              <w:rPr>
                <w:rFonts w:ascii="Times New Roman" w:hAnsi="Times New Roman"/>
                <w:b w:val="0"/>
                <w:sz w:val="18"/>
              </w:rPr>
              <w:t>Integrity loss, fraudulent records, service disruption.</w:t>
            </w:r>
          </w:p>
        </w:tc>
        <w:tc>
          <w:tcPr>
            <w:tcW w:type="dxa" w:w="2520"/>
            <w:vAlign w:val="center"/>
          </w:tcPr>
          <w:p>
            <w:r/>
            <w:r>
              <w:rPr>
                <w:rFonts w:ascii="Times New Roman" w:hAnsi="Times New Roman"/>
                <w:b w:val="0"/>
                <w:sz w:val="18"/>
              </w:rPr>
              <w:t>Server-side validation, parameterized queries, authorization checks, integrity monitoring.</w:t>
            </w:r>
          </w:p>
        </w:tc>
      </w:tr>
      <w:tr>
        <w:tc>
          <w:tcPr>
            <w:tcW w:type="dxa" w:w="2520"/>
            <w:vAlign w:val="center"/>
          </w:tcPr>
          <w:p>
            <w:r/>
            <w:r>
              <w:rPr>
                <w:rFonts w:ascii="Times New Roman" w:hAnsi="Times New Roman"/>
                <w:b w:val="0"/>
                <w:sz w:val="18"/>
              </w:rPr>
              <w:t>Repudiation</w:t>
            </w:r>
          </w:p>
        </w:tc>
        <w:tc>
          <w:tcPr>
            <w:tcW w:type="dxa" w:w="2520"/>
            <w:vAlign w:val="center"/>
          </w:tcPr>
          <w:p>
            <w:r/>
            <w:r>
              <w:rPr>
                <w:rFonts w:ascii="Times New Roman" w:hAnsi="Times New Roman"/>
                <w:b w:val="0"/>
                <w:sz w:val="18"/>
              </w:rPr>
              <w:t>An account performs sensitive actions but logs are missing or can be altered.</w:t>
            </w:r>
          </w:p>
        </w:tc>
        <w:tc>
          <w:tcPr>
            <w:tcW w:type="dxa" w:w="2520"/>
            <w:vAlign w:val="center"/>
          </w:tcPr>
          <w:p>
            <w:r/>
            <w:r>
              <w:rPr>
                <w:rFonts w:ascii="Times New Roman" w:hAnsi="Times New Roman"/>
                <w:b w:val="0"/>
                <w:sz w:val="18"/>
              </w:rPr>
              <w:t>Incident investigation and accountability are weakened.</w:t>
            </w:r>
          </w:p>
        </w:tc>
        <w:tc>
          <w:tcPr>
            <w:tcW w:type="dxa" w:w="2520"/>
            <w:vAlign w:val="center"/>
          </w:tcPr>
          <w:p>
            <w:r/>
            <w:r>
              <w:rPr>
                <w:rFonts w:ascii="Times New Roman" w:hAnsi="Times New Roman"/>
                <w:b w:val="0"/>
                <w:sz w:val="18"/>
              </w:rPr>
              <w:t>Centralized logs, synchronized time, protected log access, audit events for sensitive actions.</w:t>
            </w:r>
          </w:p>
        </w:tc>
      </w:tr>
      <w:tr>
        <w:tc>
          <w:tcPr>
            <w:tcW w:type="dxa" w:w="2520"/>
            <w:vAlign w:val="center"/>
          </w:tcPr>
          <w:p>
            <w:r/>
            <w:r>
              <w:rPr>
                <w:rFonts w:ascii="Times New Roman" w:hAnsi="Times New Roman"/>
                <w:b w:val="0"/>
                <w:sz w:val="18"/>
              </w:rPr>
              <w:t>Information Disclosure</w:t>
            </w:r>
          </w:p>
        </w:tc>
        <w:tc>
          <w:tcPr>
            <w:tcW w:type="dxa" w:w="2520"/>
            <w:vAlign w:val="center"/>
          </w:tcPr>
          <w:p>
            <w:r/>
            <w:r>
              <w:rPr>
                <w:rFonts w:ascii="Times New Roman" w:hAnsi="Times New Roman"/>
                <w:b w:val="0"/>
                <w:sz w:val="18"/>
              </w:rPr>
              <w:t>Database ports or sensitive files are reachable from an untrusted segment; errors reveal internal details.</w:t>
            </w:r>
          </w:p>
        </w:tc>
        <w:tc>
          <w:tcPr>
            <w:tcW w:type="dxa" w:w="2520"/>
            <w:vAlign w:val="center"/>
          </w:tcPr>
          <w:p>
            <w:r/>
            <w:r>
              <w:rPr>
                <w:rFonts w:ascii="Times New Roman" w:hAnsi="Times New Roman"/>
                <w:b w:val="0"/>
                <w:sz w:val="18"/>
              </w:rPr>
              <w:t>Confidentiality and privacy impact.</w:t>
            </w:r>
          </w:p>
        </w:tc>
        <w:tc>
          <w:tcPr>
            <w:tcW w:type="dxa" w:w="2520"/>
            <w:vAlign w:val="center"/>
          </w:tcPr>
          <w:p>
            <w:r/>
            <w:r>
              <w:rPr>
                <w:rFonts w:ascii="Times New Roman" w:hAnsi="Times New Roman"/>
                <w:b w:val="0"/>
                <w:sz w:val="18"/>
              </w:rPr>
              <w:t>Private database subnet, least privilege, encryption, safe error handling, data minimization.</w:t>
            </w:r>
          </w:p>
        </w:tc>
      </w:tr>
      <w:tr>
        <w:tc>
          <w:tcPr>
            <w:tcW w:type="dxa" w:w="2520"/>
            <w:vAlign w:val="center"/>
          </w:tcPr>
          <w:p>
            <w:r/>
            <w:r>
              <w:rPr>
                <w:rFonts w:ascii="Times New Roman" w:hAnsi="Times New Roman"/>
                <w:b w:val="0"/>
                <w:sz w:val="18"/>
              </w:rPr>
              <w:t>Denial of Service</w:t>
            </w:r>
          </w:p>
        </w:tc>
        <w:tc>
          <w:tcPr>
            <w:tcW w:type="dxa" w:w="2520"/>
            <w:vAlign w:val="center"/>
          </w:tcPr>
          <w:p>
            <w:r/>
            <w:r>
              <w:rPr>
                <w:rFonts w:ascii="Times New Roman" w:hAnsi="Times New Roman"/>
                <w:b w:val="0"/>
                <w:sz w:val="18"/>
              </w:rPr>
              <w:t>An endpoint accepts excessive requests or resource-intensive input without limits.</w:t>
            </w:r>
          </w:p>
        </w:tc>
        <w:tc>
          <w:tcPr>
            <w:tcW w:type="dxa" w:w="2520"/>
            <w:vAlign w:val="center"/>
          </w:tcPr>
          <w:p>
            <w:r/>
            <w:r>
              <w:rPr>
                <w:rFonts w:ascii="Times New Roman" w:hAnsi="Times New Roman"/>
                <w:b w:val="0"/>
                <w:sz w:val="18"/>
              </w:rPr>
              <w:t>Application unavailability and resource exhaustion.</w:t>
            </w:r>
          </w:p>
        </w:tc>
        <w:tc>
          <w:tcPr>
            <w:tcW w:type="dxa" w:w="2520"/>
            <w:vAlign w:val="center"/>
          </w:tcPr>
          <w:p>
            <w:r/>
            <w:r>
              <w:rPr>
                <w:rFonts w:ascii="Times New Roman" w:hAnsi="Times New Roman"/>
                <w:b w:val="0"/>
                <w:sz w:val="18"/>
              </w:rPr>
              <w:t>Rate limiting, request-size limits, timeouts, resource monitoring, tested recovery procedures.</w:t>
            </w:r>
          </w:p>
        </w:tc>
      </w:tr>
      <w:tr>
        <w:tc>
          <w:tcPr>
            <w:tcW w:type="dxa" w:w="2520"/>
            <w:vAlign w:val="center"/>
          </w:tcPr>
          <w:p>
            <w:r/>
            <w:r>
              <w:rPr>
                <w:rFonts w:ascii="Times New Roman" w:hAnsi="Times New Roman"/>
                <w:b w:val="0"/>
                <w:sz w:val="18"/>
              </w:rPr>
              <w:t>Elevation of Privilege</w:t>
            </w:r>
          </w:p>
        </w:tc>
        <w:tc>
          <w:tcPr>
            <w:tcW w:type="dxa" w:w="2520"/>
            <w:vAlign w:val="center"/>
          </w:tcPr>
          <w:p>
            <w:r/>
            <w:r>
              <w:rPr>
                <w:rFonts w:ascii="Times New Roman" w:hAnsi="Times New Roman"/>
                <w:b w:val="0"/>
                <w:sz w:val="18"/>
              </w:rPr>
              <w:t>A low-privilege user accesses administrator functions due to missing server-side role checks.</w:t>
            </w:r>
          </w:p>
        </w:tc>
        <w:tc>
          <w:tcPr>
            <w:tcW w:type="dxa" w:w="2520"/>
            <w:vAlign w:val="center"/>
          </w:tcPr>
          <w:p>
            <w:r/>
            <w:r>
              <w:rPr>
                <w:rFonts w:ascii="Times New Roman" w:hAnsi="Times New Roman"/>
                <w:b w:val="0"/>
                <w:sz w:val="18"/>
              </w:rPr>
              <w:t>Full application or data compromise.</w:t>
            </w:r>
          </w:p>
        </w:tc>
        <w:tc>
          <w:tcPr>
            <w:tcW w:type="dxa" w:w="2520"/>
            <w:vAlign w:val="center"/>
          </w:tcPr>
          <w:p>
            <w:r/>
            <w:r>
              <w:rPr>
                <w:rFonts w:ascii="Times New Roman" w:hAnsi="Times New Roman"/>
                <w:b w:val="0"/>
                <w:sz w:val="18"/>
              </w:rPr>
              <w:t>Deny-by-default authorization, server-side role checks, least privilege, negative access tests.</w:t>
            </w:r>
          </w:p>
        </w:tc>
      </w:tr>
    </w:tbl>
    <w:p/>
    <w:p>
      <w:pPr>
        <w:pStyle w:val="Heading1"/>
      </w:pPr>
      <w:r>
        <w:t>6. Vulnerability Assessment Plan</w:t>
      </w:r>
    </w:p>
    <w:p>
      <w:pPr>
        <w:pStyle w:val="Heading2"/>
      </w:pPr>
      <w:r>
        <w:t>6.1 Suggested open-source tools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rFonts w:ascii="Times New Roman" w:hAnsi="Times New Roman"/>
                <w:b/>
                <w:sz w:val="18"/>
              </w:rPr>
              <w:t>Tool</w:t>
            </w:r>
          </w:p>
        </w:tc>
        <w:tc>
          <w:tcPr>
            <w:tcW w:type="dxa" w:w="3360"/>
            <w:vAlign w:val="center"/>
            <w:shd w:fill="D9EAF7"/>
          </w:tcPr>
          <w:p>
            <w:r/>
            <w:r>
              <w:rPr>
                <w:rFonts w:ascii="Times New Roman" w:hAnsi="Times New Roman"/>
                <w:b/>
                <w:sz w:val="18"/>
              </w:rPr>
              <w:t>Purpose</w:t>
            </w:r>
          </w:p>
        </w:tc>
        <w:tc>
          <w:tcPr>
            <w:tcW w:type="dxa" w:w="3360"/>
            <w:vAlign w:val="center"/>
            <w:shd w:fill="D9EAF7"/>
          </w:tcPr>
          <w:p>
            <w:r/>
            <w:r>
              <w:rPr>
                <w:rFonts w:ascii="Times New Roman" w:hAnsi="Times New Roman"/>
                <w:b/>
                <w:sz w:val="18"/>
              </w:rPr>
              <w:t>Safe use in this task</w:t>
            </w:r>
          </w:p>
        </w:tc>
      </w:tr>
      <w:tr>
        <w:tc>
          <w:tcPr>
            <w:tcW w:type="dxa" w:w="3360"/>
            <w:vAlign w:val="center"/>
          </w:tcPr>
          <w:p>
            <w:r/>
            <w:r>
              <w:rPr>
                <w:rFonts w:ascii="Times New Roman" w:hAnsi="Times New Roman"/>
                <w:b w:val="0"/>
                <w:sz w:val="18"/>
              </w:rPr>
              <w:t>Nmap</w:t>
            </w:r>
          </w:p>
        </w:tc>
        <w:tc>
          <w:tcPr>
            <w:tcW w:type="dxa" w:w="3360"/>
            <w:vAlign w:val="center"/>
          </w:tcPr>
          <w:p>
            <w:r/>
            <w:r>
              <w:rPr>
                <w:rFonts w:ascii="Times New Roman" w:hAnsi="Times New Roman"/>
                <w:b w:val="0"/>
                <w:sz w:val="18"/>
              </w:rPr>
              <w:t>Host discovery and service/port inventory.</w:t>
            </w:r>
          </w:p>
        </w:tc>
        <w:tc>
          <w:tcPr>
            <w:tcW w:type="dxa" w:w="3360"/>
            <w:vAlign w:val="center"/>
          </w:tcPr>
          <w:p>
            <w:r/>
            <w:r>
              <w:rPr>
                <w:rFonts w:ascii="Times New Roman" w:hAnsi="Times New Roman"/>
                <w:b w:val="0"/>
                <w:sz w:val="18"/>
              </w:rPr>
              <w:t>Scan only the explicitly authorized private lab range; use conservative discovery and save output.</w:t>
            </w:r>
          </w:p>
        </w:tc>
      </w:tr>
      <w:tr>
        <w:tc>
          <w:tcPr>
            <w:tcW w:type="dxa" w:w="3360"/>
            <w:vAlign w:val="center"/>
          </w:tcPr>
          <w:p>
            <w:r/>
            <w:r>
              <w:rPr>
                <w:rFonts w:ascii="Times New Roman" w:hAnsi="Times New Roman"/>
                <w:b w:val="0"/>
                <w:sz w:val="18"/>
              </w:rPr>
              <w:t>OWASP ZAP</w:t>
            </w:r>
          </w:p>
        </w:tc>
        <w:tc>
          <w:tcPr>
            <w:tcW w:type="dxa" w:w="3360"/>
            <w:vAlign w:val="center"/>
          </w:tcPr>
          <w:p>
            <w:r/>
            <w:r>
              <w:rPr>
                <w:rFonts w:ascii="Times New Roman" w:hAnsi="Times New Roman"/>
                <w:b w:val="0"/>
                <w:sz w:val="18"/>
              </w:rPr>
              <w:t>Web application security testing.</w:t>
            </w:r>
          </w:p>
        </w:tc>
        <w:tc>
          <w:tcPr>
            <w:tcW w:type="dxa" w:w="3360"/>
            <w:vAlign w:val="center"/>
          </w:tcPr>
          <w:p>
            <w:r/>
            <w:r>
              <w:rPr>
                <w:rFonts w:ascii="Times New Roman" w:hAnsi="Times New Roman"/>
                <w:b w:val="0"/>
                <w:sz w:val="18"/>
              </w:rPr>
              <w:t>Start with passive analysis; active tests only on the intentionally vulnerable or approved test app.</w:t>
            </w:r>
          </w:p>
        </w:tc>
      </w:tr>
      <w:tr>
        <w:tc>
          <w:tcPr>
            <w:tcW w:type="dxa" w:w="3360"/>
            <w:vAlign w:val="center"/>
          </w:tcPr>
          <w:p>
            <w:r/>
            <w:r>
              <w:rPr>
                <w:rFonts w:ascii="Times New Roman" w:hAnsi="Times New Roman"/>
                <w:b w:val="0"/>
                <w:sz w:val="18"/>
              </w:rPr>
              <w:t>Greenbone Community Edition / OpenVAS</w:t>
            </w:r>
          </w:p>
        </w:tc>
        <w:tc>
          <w:tcPr>
            <w:tcW w:type="dxa" w:w="3360"/>
            <w:vAlign w:val="center"/>
          </w:tcPr>
          <w:p>
            <w:r/>
            <w:r>
              <w:rPr>
                <w:rFonts w:ascii="Times New Roman" w:hAnsi="Times New Roman"/>
                <w:b w:val="0"/>
                <w:sz w:val="18"/>
              </w:rPr>
              <w:t>Authenticated or network vulnerability scanning, depending on setup.</w:t>
            </w:r>
          </w:p>
        </w:tc>
        <w:tc>
          <w:tcPr>
            <w:tcW w:type="dxa" w:w="3360"/>
            <w:vAlign w:val="center"/>
          </w:tcPr>
          <w:p>
            <w:r/>
            <w:r>
              <w:rPr>
                <w:rFonts w:ascii="Times New Roman" w:hAnsi="Times New Roman"/>
                <w:b w:val="0"/>
                <w:sz w:val="18"/>
              </w:rPr>
              <w:t>Use only in the lab, update feeds, and review potential false positives.</w:t>
            </w:r>
          </w:p>
        </w:tc>
      </w:tr>
      <w:tr>
        <w:tc>
          <w:tcPr>
            <w:tcW w:type="dxa" w:w="3360"/>
            <w:vAlign w:val="center"/>
          </w:tcPr>
          <w:p>
            <w:r/>
            <w:r>
              <w:rPr>
                <w:rFonts w:ascii="Times New Roman" w:hAnsi="Times New Roman"/>
                <w:b w:val="0"/>
                <w:sz w:val="18"/>
              </w:rPr>
              <w:t>Manual configuration review</w:t>
            </w:r>
          </w:p>
        </w:tc>
        <w:tc>
          <w:tcPr>
            <w:tcW w:type="dxa" w:w="3360"/>
            <w:vAlign w:val="center"/>
          </w:tcPr>
          <w:p>
            <w:r/>
            <w:r>
              <w:rPr>
                <w:rFonts w:ascii="Times New Roman" w:hAnsi="Times New Roman"/>
                <w:b w:val="0"/>
                <w:sz w:val="18"/>
              </w:rPr>
              <w:t>Validate security controls that scanners may not reliably assess.</w:t>
            </w:r>
          </w:p>
        </w:tc>
        <w:tc>
          <w:tcPr>
            <w:tcW w:type="dxa" w:w="3360"/>
            <w:vAlign w:val="center"/>
          </w:tcPr>
          <w:p>
            <w:r/>
            <w:r>
              <w:rPr>
                <w:rFonts w:ascii="Times New Roman" w:hAnsi="Times New Roman"/>
                <w:b w:val="0"/>
                <w:sz w:val="18"/>
              </w:rPr>
              <w:t>Review firewall rules, account privileges, patch status, TLS, logs, backups, and database exposure.</w:t>
            </w:r>
          </w:p>
        </w:tc>
      </w:tr>
    </w:tbl>
    <w:p/>
    <w:p>
      <w:pPr>
        <w:pStyle w:val="Heading2"/>
      </w:pPr>
      <w:r>
        <w:t>6.2 Example commands — authorized lab only</w:t>
      </w:r>
    </w:p>
    <w:p>
      <w:r>
        <w:t>Replace 192.168.56.0/24 with the exact range assigned to your isolated lab. Do not copy commands against public or third-party targets.</w:t>
      </w:r>
    </w:p>
    <w:p>
      <w:r>
        <w:rPr>
          <w:rFonts w:ascii="Courier New" w:hAnsi="Courier New"/>
          <w:sz w:val="18"/>
        </w:rPr>
        <w:t>nmap -sn 192.168.56.0/24 -oN host-discovery.txt</w:t>
      </w:r>
    </w:p>
    <w:p>
      <w:r>
        <w:rPr>
          <w:rFonts w:ascii="Courier New" w:hAnsi="Courier New"/>
          <w:sz w:val="18"/>
        </w:rPr>
        <w:t>nmap -sV --top-ports 100 192.168.56.10 -oN service-inventory.txt</w:t>
      </w:r>
    </w:p>
    <w:p>
      <w:r>
        <w:t>These commands are examples of bounded inventory work, not evidence that a scan was performed. Confirm the target address and authorization before running them. For web testing, configure OWASP ZAP to target only the lab application's URL and preserve the report output. Avoid aggressive scripts or disruptive tests unless they are specifically approved.</w:t>
      </w:r>
    </w:p>
    <w:p>
      <w:pPr>
        <w:pStyle w:val="Heading2"/>
      </w:pPr>
      <w:r>
        <w:t>6.3 Evidence to collect</w:t>
      </w:r>
    </w:p>
    <w:p>
      <w:pPr>
        <w:pStyle w:val="ListBullet"/>
      </w:pPr>
      <w:r>
        <w:t>Lab diagram, target inventory, date/time, tool names and versions.</w:t>
      </w:r>
    </w:p>
    <w:p>
      <w:pPr>
        <w:pStyle w:val="ListBullet"/>
      </w:pPr>
      <w:r>
        <w:t>Sanitized Nmap output listing reachable hosts and services.</w:t>
      </w:r>
    </w:p>
    <w:p>
      <w:pPr>
        <w:pStyle w:val="ListBullet"/>
      </w:pPr>
      <w:r>
        <w:t>ZAP report or screenshots showing alerts, URLs, and evidence, with secrets removed.</w:t>
      </w:r>
    </w:p>
    <w:p>
      <w:pPr>
        <w:pStyle w:val="ListBullet"/>
      </w:pPr>
      <w:r>
        <w:t>Configuration evidence for firewall rules, account roles, patch level, TLS, logging, and backup settings.</w:t>
      </w:r>
    </w:p>
    <w:p>
      <w:pPr>
        <w:pStyle w:val="ListBullet"/>
      </w:pPr>
      <w:r>
        <w:t>For every finding: reproduction steps, expected behavior, observed behavior, affected asset, confidence, and validation result.</w:t>
      </w:r>
    </w:p>
    <w:p>
      <w:pPr>
        <w:pStyle w:val="Heading1"/>
      </w:pPr>
      <w:r>
        <w:t>7. Risk Rating Method</w:t>
      </w:r>
    </w:p>
    <w:p>
      <w:r>
        <w:t>Likelihood and impact are scored from 1 (very low) to 5 (very high). Risk score = likelihood × impact. The score supports prioritization and is not a substitute for professional judgment. These example ratings are provisional and must be revised after evidence is collected.</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rFonts w:ascii="Times New Roman" w:hAnsi="Times New Roman"/>
                <w:b/>
                <w:sz w:val="18"/>
              </w:rPr>
              <w:t>Score</w:t>
            </w:r>
          </w:p>
        </w:tc>
        <w:tc>
          <w:tcPr>
            <w:tcW w:type="dxa" w:w="3360"/>
            <w:vAlign w:val="center"/>
            <w:shd w:fill="D9EAF7"/>
          </w:tcPr>
          <w:p>
            <w:r/>
            <w:r>
              <w:rPr>
                <w:rFonts w:ascii="Times New Roman" w:hAnsi="Times New Roman"/>
                <w:b/>
                <w:sz w:val="18"/>
              </w:rPr>
              <w:t>Likelihood guide</w:t>
            </w:r>
          </w:p>
        </w:tc>
        <w:tc>
          <w:tcPr>
            <w:tcW w:type="dxa" w:w="3360"/>
            <w:vAlign w:val="center"/>
            <w:shd w:fill="D9EAF7"/>
          </w:tcPr>
          <w:p>
            <w:r/>
            <w:r>
              <w:rPr>
                <w:rFonts w:ascii="Times New Roman" w:hAnsi="Times New Roman"/>
                <w:b/>
                <w:sz w:val="18"/>
              </w:rPr>
              <w:t>Impact guide</w:t>
            </w:r>
          </w:p>
        </w:tc>
      </w:tr>
      <w:tr>
        <w:tc>
          <w:tcPr>
            <w:tcW w:type="dxa" w:w="3360"/>
            <w:vAlign w:val="center"/>
          </w:tcPr>
          <w:p>
            <w:r/>
            <w:r>
              <w:rPr>
                <w:rFonts w:ascii="Times New Roman" w:hAnsi="Times New Roman"/>
                <w:b w:val="0"/>
                <w:sz w:val="18"/>
              </w:rPr>
              <w:t>1</w:t>
            </w:r>
          </w:p>
        </w:tc>
        <w:tc>
          <w:tcPr>
            <w:tcW w:type="dxa" w:w="3360"/>
            <w:vAlign w:val="center"/>
          </w:tcPr>
          <w:p>
            <w:r/>
            <w:r>
              <w:rPr>
                <w:rFonts w:ascii="Times New Roman" w:hAnsi="Times New Roman"/>
                <w:b w:val="0"/>
                <w:sz w:val="18"/>
              </w:rPr>
              <w:t>Rare; strong controls and little exposure.</w:t>
            </w:r>
          </w:p>
        </w:tc>
        <w:tc>
          <w:tcPr>
            <w:tcW w:type="dxa" w:w="3360"/>
            <w:vAlign w:val="center"/>
          </w:tcPr>
          <w:p>
            <w:r/>
            <w:r>
              <w:rPr>
                <w:rFonts w:ascii="Times New Roman" w:hAnsi="Times New Roman"/>
                <w:b w:val="0"/>
                <w:sz w:val="18"/>
              </w:rPr>
              <w:t>Negligible operational or data impact.</w:t>
            </w:r>
          </w:p>
        </w:tc>
      </w:tr>
      <w:tr>
        <w:tc>
          <w:tcPr>
            <w:tcW w:type="dxa" w:w="3360"/>
            <w:vAlign w:val="center"/>
          </w:tcPr>
          <w:p>
            <w:r/>
            <w:r>
              <w:rPr>
                <w:rFonts w:ascii="Times New Roman" w:hAnsi="Times New Roman"/>
                <w:b w:val="0"/>
                <w:sz w:val="18"/>
              </w:rPr>
              <w:t>2</w:t>
            </w:r>
          </w:p>
        </w:tc>
        <w:tc>
          <w:tcPr>
            <w:tcW w:type="dxa" w:w="3360"/>
            <w:vAlign w:val="center"/>
          </w:tcPr>
          <w:p>
            <w:r/>
            <w:r>
              <w:rPr>
                <w:rFonts w:ascii="Times New Roman" w:hAnsi="Times New Roman"/>
                <w:b w:val="0"/>
                <w:sz w:val="18"/>
              </w:rPr>
              <w:t>Unlikely; requires unusual conditions.</w:t>
            </w:r>
          </w:p>
        </w:tc>
        <w:tc>
          <w:tcPr>
            <w:tcW w:type="dxa" w:w="3360"/>
            <w:vAlign w:val="center"/>
          </w:tcPr>
          <w:p>
            <w:r/>
            <w:r>
              <w:rPr>
                <w:rFonts w:ascii="Times New Roman" w:hAnsi="Times New Roman"/>
                <w:b w:val="0"/>
                <w:sz w:val="18"/>
              </w:rPr>
              <w:t>Limited disruption or low-sensitivity exposure.</w:t>
            </w:r>
          </w:p>
        </w:tc>
      </w:tr>
      <w:tr>
        <w:tc>
          <w:tcPr>
            <w:tcW w:type="dxa" w:w="3360"/>
            <w:vAlign w:val="center"/>
          </w:tcPr>
          <w:p>
            <w:r/>
            <w:r>
              <w:rPr>
                <w:rFonts w:ascii="Times New Roman" w:hAnsi="Times New Roman"/>
                <w:b w:val="0"/>
                <w:sz w:val="18"/>
              </w:rPr>
              <w:t>3</w:t>
            </w:r>
          </w:p>
        </w:tc>
        <w:tc>
          <w:tcPr>
            <w:tcW w:type="dxa" w:w="3360"/>
            <w:vAlign w:val="center"/>
          </w:tcPr>
          <w:p>
            <w:r/>
            <w:r>
              <w:rPr>
                <w:rFonts w:ascii="Times New Roman" w:hAnsi="Times New Roman"/>
                <w:b w:val="0"/>
                <w:sz w:val="18"/>
              </w:rPr>
              <w:t>Possible; plausible weakness or reachable attack surface.</w:t>
            </w:r>
          </w:p>
        </w:tc>
        <w:tc>
          <w:tcPr>
            <w:tcW w:type="dxa" w:w="3360"/>
            <w:vAlign w:val="center"/>
          </w:tcPr>
          <w:p>
            <w:r/>
            <w:r>
              <w:rPr>
                <w:rFonts w:ascii="Times New Roman" w:hAnsi="Times New Roman"/>
                <w:b w:val="0"/>
                <w:sz w:val="18"/>
              </w:rPr>
              <w:t>Moderate interruption, limited data exposure, or recoverable integrity issue.</w:t>
            </w:r>
          </w:p>
        </w:tc>
      </w:tr>
      <w:tr>
        <w:tc>
          <w:tcPr>
            <w:tcW w:type="dxa" w:w="3360"/>
            <w:vAlign w:val="center"/>
          </w:tcPr>
          <w:p>
            <w:r/>
            <w:r>
              <w:rPr>
                <w:rFonts w:ascii="Times New Roman" w:hAnsi="Times New Roman"/>
                <w:b w:val="0"/>
                <w:sz w:val="18"/>
              </w:rPr>
              <w:t>4</w:t>
            </w:r>
          </w:p>
        </w:tc>
        <w:tc>
          <w:tcPr>
            <w:tcW w:type="dxa" w:w="3360"/>
            <w:vAlign w:val="center"/>
          </w:tcPr>
          <w:p>
            <w:r/>
            <w:r>
              <w:rPr>
                <w:rFonts w:ascii="Times New Roman" w:hAnsi="Times New Roman"/>
                <w:b w:val="0"/>
                <w:sz w:val="18"/>
              </w:rPr>
              <w:t>Likely; accessible weakness or weak control.</w:t>
            </w:r>
          </w:p>
        </w:tc>
        <w:tc>
          <w:tcPr>
            <w:tcW w:type="dxa" w:w="3360"/>
            <w:vAlign w:val="center"/>
          </w:tcPr>
          <w:p>
            <w:r/>
            <w:r>
              <w:rPr>
                <w:rFonts w:ascii="Times New Roman" w:hAnsi="Times New Roman"/>
                <w:b w:val="0"/>
                <w:sz w:val="18"/>
              </w:rPr>
              <w:t>Major service disruption, sensitive data exposure, or significant unauthorized change.</w:t>
            </w:r>
          </w:p>
        </w:tc>
      </w:tr>
      <w:tr>
        <w:tc>
          <w:tcPr>
            <w:tcW w:type="dxa" w:w="3360"/>
            <w:vAlign w:val="center"/>
          </w:tcPr>
          <w:p>
            <w:r/>
            <w:r>
              <w:rPr>
                <w:rFonts w:ascii="Times New Roman" w:hAnsi="Times New Roman"/>
                <w:b w:val="0"/>
                <w:sz w:val="18"/>
              </w:rPr>
              <w:t>5</w:t>
            </w:r>
          </w:p>
        </w:tc>
        <w:tc>
          <w:tcPr>
            <w:tcW w:type="dxa" w:w="3360"/>
            <w:vAlign w:val="center"/>
          </w:tcPr>
          <w:p>
            <w:r/>
            <w:r>
              <w:rPr>
                <w:rFonts w:ascii="Times New Roman" w:hAnsi="Times New Roman"/>
                <w:b w:val="0"/>
                <w:sz w:val="18"/>
              </w:rPr>
              <w:t>Very likely or readily exploitable in context.</w:t>
            </w:r>
          </w:p>
        </w:tc>
        <w:tc>
          <w:tcPr>
            <w:tcW w:type="dxa" w:w="3360"/>
            <w:vAlign w:val="center"/>
          </w:tcPr>
          <w:p>
            <w:r/>
            <w:r>
              <w:rPr>
                <w:rFonts w:ascii="Times New Roman" w:hAnsi="Times New Roman"/>
                <w:b w:val="0"/>
                <w:sz w:val="18"/>
              </w:rPr>
              <w:t>Severe compromise, broad data exposure, prolonged outage, or privileged takeover.</w:t>
            </w:r>
          </w:p>
        </w:tc>
      </w:tr>
    </w:tbl>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rFonts w:ascii="Times New Roman" w:hAnsi="Times New Roman"/>
                <w:b/>
                <w:sz w:val="18"/>
              </w:rPr>
              <w:t>Risk Score</w:t>
            </w:r>
          </w:p>
        </w:tc>
        <w:tc>
          <w:tcPr>
            <w:tcW w:type="dxa" w:w="3360"/>
            <w:vAlign w:val="center"/>
            <w:shd w:fill="D9EAF7"/>
          </w:tcPr>
          <w:p>
            <w:r/>
            <w:r>
              <w:rPr>
                <w:rFonts w:ascii="Times New Roman" w:hAnsi="Times New Roman"/>
                <w:b/>
                <w:sz w:val="18"/>
              </w:rPr>
              <w:t>Priority</w:t>
            </w:r>
          </w:p>
        </w:tc>
        <w:tc>
          <w:tcPr>
            <w:tcW w:type="dxa" w:w="3360"/>
            <w:vAlign w:val="center"/>
            <w:shd w:fill="D9EAF7"/>
          </w:tcPr>
          <w:p>
            <w:r/>
            <w:r>
              <w:rPr>
                <w:rFonts w:ascii="Times New Roman" w:hAnsi="Times New Roman"/>
                <w:b/>
                <w:sz w:val="18"/>
              </w:rPr>
              <w:t>Target response (suggested)</w:t>
            </w:r>
          </w:p>
        </w:tc>
      </w:tr>
      <w:tr>
        <w:tc>
          <w:tcPr>
            <w:tcW w:type="dxa" w:w="3360"/>
            <w:vAlign w:val="center"/>
          </w:tcPr>
          <w:p>
            <w:r/>
            <w:r>
              <w:rPr>
                <w:rFonts w:ascii="Times New Roman" w:hAnsi="Times New Roman"/>
                <w:b w:val="0"/>
                <w:sz w:val="18"/>
              </w:rPr>
              <w:t>20–25</w:t>
            </w:r>
          </w:p>
        </w:tc>
        <w:tc>
          <w:tcPr>
            <w:tcW w:type="dxa" w:w="3360"/>
            <w:vAlign w:val="center"/>
          </w:tcPr>
          <w:p>
            <w:r/>
            <w:r>
              <w:rPr>
                <w:rFonts w:ascii="Times New Roman" w:hAnsi="Times New Roman"/>
                <w:b w:val="0"/>
                <w:sz w:val="18"/>
              </w:rPr>
              <w:t>Critical</w:t>
            </w:r>
          </w:p>
        </w:tc>
        <w:tc>
          <w:tcPr>
            <w:tcW w:type="dxa" w:w="3360"/>
            <w:vAlign w:val="center"/>
          </w:tcPr>
          <w:p>
            <w:r/>
            <w:r>
              <w:rPr>
                <w:rFonts w:ascii="Times New Roman" w:hAnsi="Times New Roman"/>
                <w:b w:val="0"/>
                <w:sz w:val="18"/>
              </w:rPr>
              <w:t>Immediate containment; escalate and remediate as soon as practicable.</w:t>
            </w:r>
          </w:p>
        </w:tc>
      </w:tr>
      <w:tr>
        <w:tc>
          <w:tcPr>
            <w:tcW w:type="dxa" w:w="3360"/>
            <w:vAlign w:val="center"/>
          </w:tcPr>
          <w:p>
            <w:r/>
            <w:r>
              <w:rPr>
                <w:rFonts w:ascii="Times New Roman" w:hAnsi="Times New Roman"/>
                <w:b w:val="0"/>
                <w:sz w:val="18"/>
              </w:rPr>
              <w:t>15–19</w:t>
            </w:r>
          </w:p>
        </w:tc>
        <w:tc>
          <w:tcPr>
            <w:tcW w:type="dxa" w:w="3360"/>
            <w:vAlign w:val="center"/>
          </w:tcPr>
          <w:p>
            <w:r/>
            <w:r>
              <w:rPr>
                <w:rFonts w:ascii="Times New Roman" w:hAnsi="Times New Roman"/>
                <w:b w:val="0"/>
                <w:sz w:val="18"/>
              </w:rPr>
              <w:t>High</w:t>
            </w:r>
          </w:p>
        </w:tc>
        <w:tc>
          <w:tcPr>
            <w:tcW w:type="dxa" w:w="3360"/>
            <w:vAlign w:val="center"/>
          </w:tcPr>
          <w:p>
            <w:r/>
            <w:r>
              <w:rPr>
                <w:rFonts w:ascii="Times New Roman" w:hAnsi="Times New Roman"/>
                <w:b w:val="0"/>
                <w:sz w:val="18"/>
              </w:rPr>
              <w:t>Mitigation plan within 7 days; target remediation within 14 days.</w:t>
            </w:r>
          </w:p>
        </w:tc>
      </w:tr>
      <w:tr>
        <w:tc>
          <w:tcPr>
            <w:tcW w:type="dxa" w:w="3360"/>
            <w:vAlign w:val="center"/>
          </w:tcPr>
          <w:p>
            <w:r/>
            <w:r>
              <w:rPr>
                <w:rFonts w:ascii="Times New Roman" w:hAnsi="Times New Roman"/>
                <w:b w:val="0"/>
                <w:sz w:val="18"/>
              </w:rPr>
              <w:t>8–14</w:t>
            </w:r>
          </w:p>
        </w:tc>
        <w:tc>
          <w:tcPr>
            <w:tcW w:type="dxa" w:w="3360"/>
            <w:vAlign w:val="center"/>
          </w:tcPr>
          <w:p>
            <w:r/>
            <w:r>
              <w:rPr>
                <w:rFonts w:ascii="Times New Roman" w:hAnsi="Times New Roman"/>
                <w:b w:val="0"/>
                <w:sz w:val="18"/>
              </w:rPr>
              <w:t>Medium</w:t>
            </w:r>
          </w:p>
        </w:tc>
        <w:tc>
          <w:tcPr>
            <w:tcW w:type="dxa" w:w="3360"/>
            <w:vAlign w:val="center"/>
          </w:tcPr>
          <w:p>
            <w:r/>
            <w:r>
              <w:rPr>
                <w:rFonts w:ascii="Times New Roman" w:hAnsi="Times New Roman"/>
                <w:b w:val="0"/>
                <w:sz w:val="18"/>
              </w:rPr>
              <w:t>Plan within 14 days; target remediation within 30–60 days.</w:t>
            </w:r>
          </w:p>
        </w:tc>
      </w:tr>
      <w:tr>
        <w:tc>
          <w:tcPr>
            <w:tcW w:type="dxa" w:w="3360"/>
            <w:vAlign w:val="center"/>
          </w:tcPr>
          <w:p>
            <w:r/>
            <w:r>
              <w:rPr>
                <w:rFonts w:ascii="Times New Roman" w:hAnsi="Times New Roman"/>
                <w:b w:val="0"/>
                <w:sz w:val="18"/>
              </w:rPr>
              <w:t>1–7</w:t>
            </w:r>
          </w:p>
        </w:tc>
        <w:tc>
          <w:tcPr>
            <w:tcW w:type="dxa" w:w="3360"/>
            <w:vAlign w:val="center"/>
          </w:tcPr>
          <w:p>
            <w:r/>
            <w:r>
              <w:rPr>
                <w:rFonts w:ascii="Times New Roman" w:hAnsi="Times New Roman"/>
                <w:b w:val="0"/>
                <w:sz w:val="18"/>
              </w:rPr>
              <w:t>Low</w:t>
            </w:r>
          </w:p>
        </w:tc>
        <w:tc>
          <w:tcPr>
            <w:tcW w:type="dxa" w:w="3360"/>
            <w:vAlign w:val="center"/>
          </w:tcPr>
          <w:p>
            <w:r/>
            <w:r>
              <w:rPr>
                <w:rFonts w:ascii="Times New Roman" w:hAnsi="Times New Roman"/>
                <w:b w:val="0"/>
                <w:sz w:val="18"/>
              </w:rPr>
              <w:t>Track and address within 90 days or during routine maintenance.</w:t>
            </w:r>
          </w:p>
        </w:tc>
      </w:tr>
    </w:tbl>
    <w:p/>
    <w:p>
      <w:pPr>
        <w:pStyle w:val="Heading1"/>
      </w:pPr>
      <w:r>
        <w:t>8. Illustrative Risk Register — Validate Before Use</w:t>
      </w:r>
    </w:p>
    <w:p>
      <w:r>
        <w:t>The items below are common example weaknesses for a small virtual application environment. They are not asserted to exist in your lab. Mark each as Confirmed, Not Present, or Unable to Verify after testing.</w:t>
      </w:r>
    </w:p>
    <w:tbl>
      <w:tblPr>
        <w:tblStyle w:val="TableGrid"/>
        <w:tblW w:type="auto" w:w="0"/>
        <w:jc w:val="center"/>
        <w:tblLook w:firstColumn="1" w:firstRow="1" w:lastColumn="0" w:lastRow="0" w:noHBand="0" w:noVBand="1" w:val="04A0"/>
      </w:tblPr>
      <w:tblGrid>
        <w:gridCol w:w="1260"/>
        <w:gridCol w:w="1260"/>
        <w:gridCol w:w="1260"/>
        <w:gridCol w:w="1260"/>
        <w:gridCol w:w="1260"/>
        <w:gridCol w:w="1260"/>
        <w:gridCol w:w="1260"/>
        <w:gridCol w:w="1260"/>
      </w:tblGrid>
      <w:tr>
        <w:tc>
          <w:tcPr>
            <w:tcW w:type="dxa" w:w="1260"/>
            <w:vAlign w:val="center"/>
            <w:shd w:fill="D9EAF7"/>
          </w:tcPr>
          <w:p>
            <w:r/>
            <w:r>
              <w:rPr>
                <w:rFonts w:ascii="Times New Roman" w:hAnsi="Times New Roman"/>
                <w:b/>
                <w:sz w:val="18"/>
              </w:rPr>
              <w:t>ID</w:t>
            </w:r>
          </w:p>
        </w:tc>
        <w:tc>
          <w:tcPr>
            <w:tcW w:type="dxa" w:w="1260"/>
            <w:vAlign w:val="center"/>
            <w:shd w:fill="D9EAF7"/>
          </w:tcPr>
          <w:p>
            <w:r/>
            <w:r>
              <w:rPr>
                <w:rFonts w:ascii="Times New Roman" w:hAnsi="Times New Roman"/>
                <w:b/>
                <w:sz w:val="18"/>
              </w:rPr>
              <w:t>Potential weakness</w:t>
            </w:r>
          </w:p>
        </w:tc>
        <w:tc>
          <w:tcPr>
            <w:tcW w:type="dxa" w:w="1260"/>
            <w:vAlign w:val="center"/>
            <w:shd w:fill="D9EAF7"/>
          </w:tcPr>
          <w:p>
            <w:r/>
            <w:r>
              <w:rPr>
                <w:rFonts w:ascii="Times New Roman" w:hAnsi="Times New Roman"/>
                <w:b/>
                <w:sz w:val="18"/>
              </w:rPr>
              <w:t>Scenario / evidence to check</w:t>
            </w:r>
          </w:p>
        </w:tc>
        <w:tc>
          <w:tcPr>
            <w:tcW w:type="dxa" w:w="1260"/>
            <w:vAlign w:val="center"/>
            <w:shd w:fill="D9EAF7"/>
          </w:tcPr>
          <w:p>
            <w:r/>
            <w:r>
              <w:rPr>
                <w:rFonts w:ascii="Times New Roman" w:hAnsi="Times New Roman"/>
                <w:b/>
                <w:sz w:val="18"/>
              </w:rPr>
              <w:t>L</w:t>
            </w:r>
          </w:p>
        </w:tc>
        <w:tc>
          <w:tcPr>
            <w:tcW w:type="dxa" w:w="1260"/>
            <w:vAlign w:val="center"/>
            <w:shd w:fill="D9EAF7"/>
          </w:tcPr>
          <w:p>
            <w:r/>
            <w:r>
              <w:rPr>
                <w:rFonts w:ascii="Times New Roman" w:hAnsi="Times New Roman"/>
                <w:b/>
                <w:sz w:val="18"/>
              </w:rPr>
              <w:t>I</w:t>
            </w:r>
          </w:p>
        </w:tc>
        <w:tc>
          <w:tcPr>
            <w:tcW w:type="dxa" w:w="1260"/>
            <w:vAlign w:val="center"/>
            <w:shd w:fill="D9EAF7"/>
          </w:tcPr>
          <w:p>
            <w:r/>
            <w:r>
              <w:rPr>
                <w:rFonts w:ascii="Times New Roman" w:hAnsi="Times New Roman"/>
                <w:b/>
                <w:sz w:val="18"/>
              </w:rPr>
              <w:t>Score</w:t>
            </w:r>
          </w:p>
        </w:tc>
        <w:tc>
          <w:tcPr>
            <w:tcW w:type="dxa" w:w="1260"/>
            <w:vAlign w:val="center"/>
            <w:shd w:fill="D9EAF7"/>
          </w:tcPr>
          <w:p>
            <w:r/>
            <w:r>
              <w:rPr>
                <w:rFonts w:ascii="Times New Roman" w:hAnsi="Times New Roman"/>
                <w:b/>
                <w:sz w:val="18"/>
              </w:rPr>
              <w:t>Priority</w:t>
            </w:r>
          </w:p>
        </w:tc>
        <w:tc>
          <w:tcPr>
            <w:tcW w:type="dxa" w:w="1260"/>
            <w:vAlign w:val="center"/>
            <w:shd w:fill="D9EAF7"/>
          </w:tcPr>
          <w:p>
            <w:r/>
            <w:r>
              <w:rPr>
                <w:rFonts w:ascii="Times New Roman" w:hAnsi="Times New Roman"/>
                <w:b/>
                <w:sz w:val="18"/>
              </w:rPr>
              <w:t>Mitigation</w:t>
            </w:r>
          </w:p>
        </w:tc>
      </w:tr>
      <w:tr>
        <w:tc>
          <w:tcPr>
            <w:tcW w:type="dxa" w:w="1260"/>
            <w:vAlign w:val="center"/>
          </w:tcPr>
          <w:p>
            <w:r/>
            <w:r>
              <w:rPr>
                <w:rFonts w:ascii="Times New Roman" w:hAnsi="Times New Roman"/>
                <w:b w:val="0"/>
                <w:sz w:val="18"/>
              </w:rPr>
              <w:t>V-01</w:t>
            </w:r>
          </w:p>
        </w:tc>
        <w:tc>
          <w:tcPr>
            <w:tcW w:type="dxa" w:w="1260"/>
            <w:vAlign w:val="center"/>
          </w:tcPr>
          <w:p>
            <w:r/>
            <w:r>
              <w:rPr>
                <w:rFonts w:ascii="Times New Roman" w:hAnsi="Times New Roman"/>
                <w:b w:val="0"/>
                <w:sz w:val="18"/>
              </w:rPr>
              <w:t>Potentially exposed database service</w:t>
            </w:r>
          </w:p>
        </w:tc>
        <w:tc>
          <w:tcPr>
            <w:tcW w:type="dxa" w:w="1260"/>
            <w:vAlign w:val="center"/>
          </w:tcPr>
          <w:p>
            <w:r/>
            <w:r>
              <w:rPr>
                <w:rFonts w:ascii="Times New Roman" w:hAnsi="Times New Roman"/>
                <w:b w:val="0"/>
                <w:sz w:val="18"/>
              </w:rPr>
              <w:t>Database port reachable from an untrusted segment or bound to all interfaces.</w:t>
            </w:r>
          </w:p>
        </w:tc>
        <w:tc>
          <w:tcPr>
            <w:tcW w:type="dxa" w:w="1260"/>
            <w:vAlign w:val="center"/>
          </w:tcPr>
          <w:p>
            <w:r/>
            <w:r>
              <w:rPr>
                <w:rFonts w:ascii="Times New Roman" w:hAnsi="Times New Roman"/>
                <w:b w:val="0"/>
                <w:sz w:val="18"/>
              </w:rPr>
              <w:t>4</w:t>
            </w:r>
          </w:p>
        </w:tc>
        <w:tc>
          <w:tcPr>
            <w:tcW w:type="dxa" w:w="1260"/>
            <w:vAlign w:val="center"/>
          </w:tcPr>
          <w:p>
            <w:r/>
            <w:r>
              <w:rPr>
                <w:rFonts w:ascii="Times New Roman" w:hAnsi="Times New Roman"/>
                <w:b w:val="0"/>
                <w:sz w:val="18"/>
              </w:rPr>
              <w:t>5</w:t>
            </w:r>
          </w:p>
        </w:tc>
        <w:tc>
          <w:tcPr>
            <w:tcW w:type="dxa" w:w="1260"/>
            <w:vAlign w:val="center"/>
          </w:tcPr>
          <w:p>
            <w:r/>
            <w:r>
              <w:rPr>
                <w:rFonts w:ascii="Times New Roman" w:hAnsi="Times New Roman"/>
                <w:b w:val="0"/>
                <w:sz w:val="18"/>
              </w:rPr>
              <w:t>20</w:t>
            </w:r>
          </w:p>
        </w:tc>
        <w:tc>
          <w:tcPr>
            <w:tcW w:type="dxa" w:w="1260"/>
            <w:vAlign w:val="center"/>
          </w:tcPr>
          <w:p>
            <w:r/>
            <w:r>
              <w:rPr>
                <w:rFonts w:ascii="Times New Roman" w:hAnsi="Times New Roman"/>
                <w:b w:val="0"/>
                <w:sz w:val="18"/>
              </w:rPr>
              <w:t>Critical</w:t>
            </w:r>
          </w:p>
        </w:tc>
        <w:tc>
          <w:tcPr>
            <w:tcW w:type="dxa" w:w="1260"/>
            <w:vAlign w:val="center"/>
          </w:tcPr>
          <w:p>
            <w:r/>
            <w:r>
              <w:rPr>
                <w:rFonts w:ascii="Times New Roman" w:hAnsi="Times New Roman"/>
                <w:b w:val="0"/>
                <w:sz w:val="18"/>
              </w:rPr>
              <w:t>Restrict database traffic to the application host/subnet; bind to private interface; review firewall rules; retest reachability.</w:t>
            </w:r>
          </w:p>
        </w:tc>
      </w:tr>
      <w:tr>
        <w:tc>
          <w:tcPr>
            <w:tcW w:type="dxa" w:w="1260"/>
            <w:vAlign w:val="center"/>
          </w:tcPr>
          <w:p>
            <w:r/>
            <w:r>
              <w:rPr>
                <w:rFonts w:ascii="Times New Roman" w:hAnsi="Times New Roman"/>
                <w:b w:val="0"/>
                <w:sz w:val="18"/>
              </w:rPr>
              <w:t>V-02</w:t>
            </w:r>
          </w:p>
        </w:tc>
        <w:tc>
          <w:tcPr>
            <w:tcW w:type="dxa" w:w="1260"/>
            <w:vAlign w:val="center"/>
          </w:tcPr>
          <w:p>
            <w:r/>
            <w:r>
              <w:rPr>
                <w:rFonts w:ascii="Times New Roman" w:hAnsi="Times New Roman"/>
                <w:b w:val="0"/>
                <w:sz w:val="18"/>
              </w:rPr>
              <w:t>Weak or missing multi-factor authentication</w:t>
            </w:r>
          </w:p>
        </w:tc>
        <w:tc>
          <w:tcPr>
            <w:tcW w:type="dxa" w:w="1260"/>
            <w:vAlign w:val="center"/>
          </w:tcPr>
          <w:p>
            <w:r/>
            <w:r>
              <w:rPr>
                <w:rFonts w:ascii="Times New Roman" w:hAnsi="Times New Roman"/>
                <w:b w:val="0"/>
                <w:sz w:val="18"/>
              </w:rPr>
              <w:t>Privileged accounts rely only on passwords.</w:t>
            </w:r>
          </w:p>
        </w:tc>
        <w:tc>
          <w:tcPr>
            <w:tcW w:type="dxa" w:w="1260"/>
            <w:vAlign w:val="center"/>
          </w:tcPr>
          <w:p>
            <w:r/>
            <w:r>
              <w:rPr>
                <w:rFonts w:ascii="Times New Roman" w:hAnsi="Times New Roman"/>
                <w:b w:val="0"/>
                <w:sz w:val="18"/>
              </w:rPr>
              <w:t>4</w:t>
            </w:r>
          </w:p>
        </w:tc>
        <w:tc>
          <w:tcPr>
            <w:tcW w:type="dxa" w:w="1260"/>
            <w:vAlign w:val="center"/>
          </w:tcPr>
          <w:p>
            <w:r/>
            <w:r>
              <w:rPr>
                <w:rFonts w:ascii="Times New Roman" w:hAnsi="Times New Roman"/>
                <w:b w:val="0"/>
                <w:sz w:val="18"/>
              </w:rPr>
              <w:t>4</w:t>
            </w:r>
          </w:p>
        </w:tc>
        <w:tc>
          <w:tcPr>
            <w:tcW w:type="dxa" w:w="1260"/>
            <w:vAlign w:val="center"/>
          </w:tcPr>
          <w:p>
            <w:r/>
            <w:r>
              <w:rPr>
                <w:rFonts w:ascii="Times New Roman" w:hAnsi="Times New Roman"/>
                <w:b w:val="0"/>
                <w:sz w:val="18"/>
              </w:rPr>
              <w:t>16</w:t>
            </w:r>
          </w:p>
        </w:tc>
        <w:tc>
          <w:tcPr>
            <w:tcW w:type="dxa" w:w="1260"/>
            <w:vAlign w:val="center"/>
          </w:tcPr>
          <w:p>
            <w:r/>
            <w:r>
              <w:rPr>
                <w:rFonts w:ascii="Times New Roman" w:hAnsi="Times New Roman"/>
                <w:b w:val="0"/>
                <w:sz w:val="18"/>
              </w:rPr>
              <w:t>High</w:t>
            </w:r>
          </w:p>
        </w:tc>
        <w:tc>
          <w:tcPr>
            <w:tcW w:type="dxa" w:w="1260"/>
            <w:vAlign w:val="center"/>
          </w:tcPr>
          <w:p>
            <w:r/>
            <w:r>
              <w:rPr>
                <w:rFonts w:ascii="Times New Roman" w:hAnsi="Times New Roman"/>
                <w:b w:val="0"/>
                <w:sz w:val="18"/>
              </w:rPr>
              <w:t>Enable MFA for administrative access; remove shared accounts; enforce strong authentication and secure recovery.</w:t>
            </w:r>
          </w:p>
        </w:tc>
      </w:tr>
      <w:tr>
        <w:tc>
          <w:tcPr>
            <w:tcW w:type="dxa" w:w="1260"/>
            <w:vAlign w:val="center"/>
          </w:tcPr>
          <w:p>
            <w:r/>
            <w:r>
              <w:rPr>
                <w:rFonts w:ascii="Times New Roman" w:hAnsi="Times New Roman"/>
                <w:b w:val="0"/>
                <w:sz w:val="18"/>
              </w:rPr>
              <w:t>V-03</w:t>
            </w:r>
          </w:p>
        </w:tc>
        <w:tc>
          <w:tcPr>
            <w:tcW w:type="dxa" w:w="1260"/>
            <w:vAlign w:val="center"/>
          </w:tcPr>
          <w:p>
            <w:r/>
            <w:r>
              <w:rPr>
                <w:rFonts w:ascii="Times New Roman" w:hAnsi="Times New Roman"/>
                <w:b w:val="0"/>
                <w:sz w:val="18"/>
              </w:rPr>
              <w:t>Unpatched OS or application components</w:t>
            </w:r>
          </w:p>
        </w:tc>
        <w:tc>
          <w:tcPr>
            <w:tcW w:type="dxa" w:w="1260"/>
            <w:vAlign w:val="center"/>
          </w:tcPr>
          <w:p>
            <w:r/>
            <w:r>
              <w:rPr>
                <w:rFonts w:ascii="Times New Roman" w:hAnsi="Times New Roman"/>
                <w:b w:val="0"/>
                <w:sz w:val="18"/>
              </w:rPr>
              <w:t>Installed packages may be unsupported or missing security updates.</w:t>
            </w:r>
          </w:p>
        </w:tc>
        <w:tc>
          <w:tcPr>
            <w:tcW w:type="dxa" w:w="1260"/>
            <w:vAlign w:val="center"/>
          </w:tcPr>
          <w:p>
            <w:r/>
            <w:r>
              <w:rPr>
                <w:rFonts w:ascii="Times New Roman" w:hAnsi="Times New Roman"/>
                <w:b w:val="0"/>
                <w:sz w:val="18"/>
              </w:rPr>
              <w:t>4</w:t>
            </w:r>
          </w:p>
        </w:tc>
        <w:tc>
          <w:tcPr>
            <w:tcW w:type="dxa" w:w="1260"/>
            <w:vAlign w:val="center"/>
          </w:tcPr>
          <w:p>
            <w:r/>
            <w:r>
              <w:rPr>
                <w:rFonts w:ascii="Times New Roman" w:hAnsi="Times New Roman"/>
                <w:b w:val="0"/>
                <w:sz w:val="18"/>
              </w:rPr>
              <w:t>4</w:t>
            </w:r>
          </w:p>
        </w:tc>
        <w:tc>
          <w:tcPr>
            <w:tcW w:type="dxa" w:w="1260"/>
            <w:vAlign w:val="center"/>
          </w:tcPr>
          <w:p>
            <w:r/>
            <w:r>
              <w:rPr>
                <w:rFonts w:ascii="Times New Roman" w:hAnsi="Times New Roman"/>
                <w:b w:val="0"/>
                <w:sz w:val="18"/>
              </w:rPr>
              <w:t>16</w:t>
            </w:r>
          </w:p>
        </w:tc>
        <w:tc>
          <w:tcPr>
            <w:tcW w:type="dxa" w:w="1260"/>
            <w:vAlign w:val="center"/>
          </w:tcPr>
          <w:p>
            <w:r/>
            <w:r>
              <w:rPr>
                <w:rFonts w:ascii="Times New Roman" w:hAnsi="Times New Roman"/>
                <w:b w:val="0"/>
                <w:sz w:val="18"/>
              </w:rPr>
              <w:t>High</w:t>
            </w:r>
          </w:p>
        </w:tc>
        <w:tc>
          <w:tcPr>
            <w:tcW w:type="dxa" w:w="1260"/>
            <w:vAlign w:val="center"/>
          </w:tcPr>
          <w:p>
            <w:r/>
            <w:r>
              <w:rPr>
                <w:rFonts w:ascii="Times New Roman" w:hAnsi="Times New Roman"/>
                <w:b w:val="0"/>
                <w:sz w:val="18"/>
              </w:rPr>
              <w:t>Inventory versions; compare against vendor advisories; patch or upgrade; verify versions after change.</w:t>
            </w:r>
          </w:p>
        </w:tc>
      </w:tr>
      <w:tr>
        <w:tc>
          <w:tcPr>
            <w:tcW w:type="dxa" w:w="1260"/>
            <w:vAlign w:val="center"/>
          </w:tcPr>
          <w:p>
            <w:r/>
            <w:r>
              <w:rPr>
                <w:rFonts w:ascii="Times New Roman" w:hAnsi="Times New Roman"/>
                <w:b w:val="0"/>
                <w:sz w:val="18"/>
              </w:rPr>
              <w:t>V-04</w:t>
            </w:r>
          </w:p>
        </w:tc>
        <w:tc>
          <w:tcPr>
            <w:tcW w:type="dxa" w:w="1260"/>
            <w:vAlign w:val="center"/>
          </w:tcPr>
          <w:p>
            <w:r/>
            <w:r>
              <w:rPr>
                <w:rFonts w:ascii="Times New Roman" w:hAnsi="Times New Roman"/>
                <w:b w:val="0"/>
                <w:sz w:val="18"/>
              </w:rPr>
              <w:t>Insufficient role-based authorization</w:t>
            </w:r>
          </w:p>
        </w:tc>
        <w:tc>
          <w:tcPr>
            <w:tcW w:type="dxa" w:w="1260"/>
            <w:vAlign w:val="center"/>
          </w:tcPr>
          <w:p>
            <w:r/>
            <w:r>
              <w:rPr>
                <w:rFonts w:ascii="Times New Roman" w:hAnsi="Times New Roman"/>
                <w:b w:val="0"/>
                <w:sz w:val="18"/>
              </w:rPr>
              <w:t>Application may trust client-side checks or fail to verify roles server-side.</w:t>
            </w:r>
          </w:p>
        </w:tc>
        <w:tc>
          <w:tcPr>
            <w:tcW w:type="dxa" w:w="1260"/>
            <w:vAlign w:val="center"/>
          </w:tcPr>
          <w:p>
            <w:r/>
            <w:r>
              <w:rPr>
                <w:rFonts w:ascii="Times New Roman" w:hAnsi="Times New Roman"/>
                <w:b w:val="0"/>
                <w:sz w:val="18"/>
              </w:rPr>
              <w:t>3</w:t>
            </w:r>
          </w:p>
        </w:tc>
        <w:tc>
          <w:tcPr>
            <w:tcW w:type="dxa" w:w="1260"/>
            <w:vAlign w:val="center"/>
          </w:tcPr>
          <w:p>
            <w:r/>
            <w:r>
              <w:rPr>
                <w:rFonts w:ascii="Times New Roman" w:hAnsi="Times New Roman"/>
                <w:b w:val="0"/>
                <w:sz w:val="18"/>
              </w:rPr>
              <w:t>5</w:t>
            </w:r>
          </w:p>
        </w:tc>
        <w:tc>
          <w:tcPr>
            <w:tcW w:type="dxa" w:w="1260"/>
            <w:vAlign w:val="center"/>
          </w:tcPr>
          <w:p>
            <w:r/>
            <w:r>
              <w:rPr>
                <w:rFonts w:ascii="Times New Roman" w:hAnsi="Times New Roman"/>
                <w:b w:val="0"/>
                <w:sz w:val="18"/>
              </w:rPr>
              <w:t>15</w:t>
            </w:r>
          </w:p>
        </w:tc>
        <w:tc>
          <w:tcPr>
            <w:tcW w:type="dxa" w:w="1260"/>
            <w:vAlign w:val="center"/>
          </w:tcPr>
          <w:p>
            <w:r/>
            <w:r>
              <w:rPr>
                <w:rFonts w:ascii="Times New Roman" w:hAnsi="Times New Roman"/>
                <w:b w:val="0"/>
                <w:sz w:val="18"/>
              </w:rPr>
              <w:t>High</w:t>
            </w:r>
          </w:p>
        </w:tc>
        <w:tc>
          <w:tcPr>
            <w:tcW w:type="dxa" w:w="1260"/>
            <w:vAlign w:val="center"/>
          </w:tcPr>
          <w:p>
            <w:r/>
            <w:r>
              <w:rPr>
                <w:rFonts w:ascii="Times New Roman" w:hAnsi="Times New Roman"/>
                <w:b w:val="0"/>
                <w:sz w:val="18"/>
              </w:rPr>
              <w:t>Apply deny-by-default server-side checks; test horizontal and vertical access control with test accounts.</w:t>
            </w:r>
          </w:p>
        </w:tc>
      </w:tr>
      <w:tr>
        <w:tc>
          <w:tcPr>
            <w:tcW w:type="dxa" w:w="1260"/>
            <w:vAlign w:val="center"/>
          </w:tcPr>
          <w:p>
            <w:r/>
            <w:r>
              <w:rPr>
                <w:rFonts w:ascii="Times New Roman" w:hAnsi="Times New Roman"/>
                <w:b w:val="0"/>
                <w:sz w:val="18"/>
              </w:rPr>
              <w:t>V-05</w:t>
            </w:r>
          </w:p>
        </w:tc>
        <w:tc>
          <w:tcPr>
            <w:tcW w:type="dxa" w:w="1260"/>
            <w:vAlign w:val="center"/>
          </w:tcPr>
          <w:p>
            <w:r/>
            <w:r>
              <w:rPr>
                <w:rFonts w:ascii="Times New Roman" w:hAnsi="Times New Roman"/>
                <w:b w:val="0"/>
                <w:sz w:val="18"/>
              </w:rPr>
              <w:t>Insufficient security logging</w:t>
            </w:r>
          </w:p>
        </w:tc>
        <w:tc>
          <w:tcPr>
            <w:tcW w:type="dxa" w:w="1260"/>
            <w:vAlign w:val="center"/>
          </w:tcPr>
          <w:p>
            <w:r/>
            <w:r>
              <w:rPr>
                <w:rFonts w:ascii="Times New Roman" w:hAnsi="Times New Roman"/>
                <w:b w:val="0"/>
                <w:sz w:val="18"/>
              </w:rPr>
              <w:t>Sensitive actions may not be logged centrally or logs may be editable by the same account.</w:t>
            </w:r>
          </w:p>
        </w:tc>
        <w:tc>
          <w:tcPr>
            <w:tcW w:type="dxa" w:w="1260"/>
            <w:vAlign w:val="center"/>
          </w:tcPr>
          <w:p>
            <w:r/>
            <w:r>
              <w:rPr>
                <w:rFonts w:ascii="Times New Roman" w:hAnsi="Times New Roman"/>
                <w:b w:val="0"/>
                <w:sz w:val="18"/>
              </w:rPr>
              <w:t>3</w:t>
            </w:r>
          </w:p>
        </w:tc>
        <w:tc>
          <w:tcPr>
            <w:tcW w:type="dxa" w:w="1260"/>
            <w:vAlign w:val="center"/>
          </w:tcPr>
          <w:p>
            <w:r/>
            <w:r>
              <w:rPr>
                <w:rFonts w:ascii="Times New Roman" w:hAnsi="Times New Roman"/>
                <w:b w:val="0"/>
                <w:sz w:val="18"/>
              </w:rPr>
              <w:t>4</w:t>
            </w:r>
          </w:p>
        </w:tc>
        <w:tc>
          <w:tcPr>
            <w:tcW w:type="dxa" w:w="1260"/>
            <w:vAlign w:val="center"/>
          </w:tcPr>
          <w:p>
            <w:r/>
            <w:r>
              <w:rPr>
                <w:rFonts w:ascii="Times New Roman" w:hAnsi="Times New Roman"/>
                <w:b w:val="0"/>
                <w:sz w:val="18"/>
              </w:rPr>
              <w:t>12</w:t>
            </w:r>
          </w:p>
        </w:tc>
        <w:tc>
          <w:tcPr>
            <w:tcW w:type="dxa" w:w="1260"/>
            <w:vAlign w:val="center"/>
          </w:tcPr>
          <w:p>
            <w:r/>
            <w:r>
              <w:rPr>
                <w:rFonts w:ascii="Times New Roman" w:hAnsi="Times New Roman"/>
                <w:b w:val="0"/>
                <w:sz w:val="18"/>
              </w:rPr>
              <w:t>Medium</w:t>
            </w:r>
          </w:p>
        </w:tc>
        <w:tc>
          <w:tcPr>
            <w:tcW w:type="dxa" w:w="1260"/>
            <w:vAlign w:val="center"/>
          </w:tcPr>
          <w:p>
            <w:r/>
            <w:r>
              <w:rPr>
                <w:rFonts w:ascii="Times New Roman" w:hAnsi="Times New Roman"/>
                <w:b w:val="0"/>
                <w:sz w:val="18"/>
              </w:rPr>
              <w:t>Log authentication and privileged changes; centralize logs; restrict access; synchronize time; test alerts.</w:t>
            </w:r>
          </w:p>
        </w:tc>
      </w:tr>
      <w:tr>
        <w:tc>
          <w:tcPr>
            <w:tcW w:type="dxa" w:w="1260"/>
            <w:vAlign w:val="center"/>
          </w:tcPr>
          <w:p>
            <w:r/>
            <w:r>
              <w:rPr>
                <w:rFonts w:ascii="Times New Roman" w:hAnsi="Times New Roman"/>
                <w:b w:val="0"/>
                <w:sz w:val="18"/>
              </w:rPr>
              <w:t>V-06</w:t>
            </w:r>
          </w:p>
        </w:tc>
        <w:tc>
          <w:tcPr>
            <w:tcW w:type="dxa" w:w="1260"/>
            <w:vAlign w:val="center"/>
          </w:tcPr>
          <w:p>
            <w:r/>
            <w:r>
              <w:rPr>
                <w:rFonts w:ascii="Times New Roman" w:hAnsi="Times New Roman"/>
                <w:b w:val="0"/>
                <w:sz w:val="18"/>
              </w:rPr>
              <w:t>Weak transport or session configuration</w:t>
            </w:r>
          </w:p>
        </w:tc>
        <w:tc>
          <w:tcPr>
            <w:tcW w:type="dxa" w:w="1260"/>
            <w:vAlign w:val="center"/>
          </w:tcPr>
          <w:p>
            <w:r/>
            <w:r>
              <w:rPr>
                <w:rFonts w:ascii="Times New Roman" w:hAnsi="Times New Roman"/>
                <w:b w:val="0"/>
                <w:sz w:val="18"/>
              </w:rPr>
              <w:t>HTTPS, cookie flags, or TLS settings may be incomplete.</w:t>
            </w:r>
          </w:p>
        </w:tc>
        <w:tc>
          <w:tcPr>
            <w:tcW w:type="dxa" w:w="1260"/>
            <w:vAlign w:val="center"/>
          </w:tcPr>
          <w:p>
            <w:r/>
            <w:r>
              <w:rPr>
                <w:rFonts w:ascii="Times New Roman" w:hAnsi="Times New Roman"/>
                <w:b w:val="0"/>
                <w:sz w:val="18"/>
              </w:rPr>
              <w:t>3</w:t>
            </w:r>
          </w:p>
        </w:tc>
        <w:tc>
          <w:tcPr>
            <w:tcW w:type="dxa" w:w="1260"/>
            <w:vAlign w:val="center"/>
          </w:tcPr>
          <w:p>
            <w:r/>
            <w:r>
              <w:rPr>
                <w:rFonts w:ascii="Times New Roman" w:hAnsi="Times New Roman"/>
                <w:b w:val="0"/>
                <w:sz w:val="18"/>
              </w:rPr>
              <w:t>4</w:t>
            </w:r>
          </w:p>
        </w:tc>
        <w:tc>
          <w:tcPr>
            <w:tcW w:type="dxa" w:w="1260"/>
            <w:vAlign w:val="center"/>
          </w:tcPr>
          <w:p>
            <w:r/>
            <w:r>
              <w:rPr>
                <w:rFonts w:ascii="Times New Roman" w:hAnsi="Times New Roman"/>
                <w:b w:val="0"/>
                <w:sz w:val="18"/>
              </w:rPr>
              <w:t>12</w:t>
            </w:r>
          </w:p>
        </w:tc>
        <w:tc>
          <w:tcPr>
            <w:tcW w:type="dxa" w:w="1260"/>
            <w:vAlign w:val="center"/>
          </w:tcPr>
          <w:p>
            <w:r/>
            <w:r>
              <w:rPr>
                <w:rFonts w:ascii="Times New Roman" w:hAnsi="Times New Roman"/>
                <w:b w:val="0"/>
                <w:sz w:val="18"/>
              </w:rPr>
              <w:t>Medium</w:t>
            </w:r>
          </w:p>
        </w:tc>
        <w:tc>
          <w:tcPr>
            <w:tcW w:type="dxa" w:w="1260"/>
            <w:vAlign w:val="center"/>
          </w:tcPr>
          <w:p>
            <w:r/>
            <w:r>
              <w:rPr>
                <w:rFonts w:ascii="Times New Roman" w:hAnsi="Times New Roman"/>
                <w:b w:val="0"/>
                <w:sz w:val="18"/>
              </w:rPr>
              <w:t>Require HTTPS; review TLS configuration; set Secure, HttpOnly, and appropriate SameSite cookie attributes; rotate session IDs on login.</w:t>
            </w:r>
          </w:p>
        </w:tc>
      </w:tr>
      <w:tr>
        <w:tc>
          <w:tcPr>
            <w:tcW w:type="dxa" w:w="1260"/>
            <w:vAlign w:val="center"/>
          </w:tcPr>
          <w:p>
            <w:r/>
            <w:r>
              <w:rPr>
                <w:rFonts w:ascii="Times New Roman" w:hAnsi="Times New Roman"/>
                <w:b w:val="0"/>
                <w:sz w:val="18"/>
              </w:rPr>
              <w:t>V-07</w:t>
            </w:r>
          </w:p>
        </w:tc>
        <w:tc>
          <w:tcPr>
            <w:tcW w:type="dxa" w:w="1260"/>
            <w:vAlign w:val="center"/>
          </w:tcPr>
          <w:p>
            <w:r/>
            <w:r>
              <w:rPr>
                <w:rFonts w:ascii="Times New Roman" w:hAnsi="Times New Roman"/>
                <w:b w:val="0"/>
                <w:sz w:val="18"/>
              </w:rPr>
              <w:t>No verified restore test</w:t>
            </w:r>
          </w:p>
        </w:tc>
        <w:tc>
          <w:tcPr>
            <w:tcW w:type="dxa" w:w="1260"/>
            <w:vAlign w:val="center"/>
          </w:tcPr>
          <w:p>
            <w:r/>
            <w:r>
              <w:rPr>
                <w:rFonts w:ascii="Times New Roman" w:hAnsi="Times New Roman"/>
                <w:b w:val="0"/>
                <w:sz w:val="18"/>
              </w:rPr>
              <w:t>Backups may be missing, unprotected, or not restorable.</w:t>
            </w:r>
          </w:p>
        </w:tc>
        <w:tc>
          <w:tcPr>
            <w:tcW w:type="dxa" w:w="1260"/>
            <w:vAlign w:val="center"/>
          </w:tcPr>
          <w:p>
            <w:r/>
            <w:r>
              <w:rPr>
                <w:rFonts w:ascii="Times New Roman" w:hAnsi="Times New Roman"/>
                <w:b w:val="0"/>
                <w:sz w:val="18"/>
              </w:rPr>
              <w:t>2</w:t>
            </w:r>
          </w:p>
        </w:tc>
        <w:tc>
          <w:tcPr>
            <w:tcW w:type="dxa" w:w="1260"/>
            <w:vAlign w:val="center"/>
          </w:tcPr>
          <w:p>
            <w:r/>
            <w:r>
              <w:rPr>
                <w:rFonts w:ascii="Times New Roman" w:hAnsi="Times New Roman"/>
                <w:b w:val="0"/>
                <w:sz w:val="18"/>
              </w:rPr>
              <w:t>5</w:t>
            </w:r>
          </w:p>
        </w:tc>
        <w:tc>
          <w:tcPr>
            <w:tcW w:type="dxa" w:w="1260"/>
            <w:vAlign w:val="center"/>
          </w:tcPr>
          <w:p>
            <w:r/>
            <w:r>
              <w:rPr>
                <w:rFonts w:ascii="Times New Roman" w:hAnsi="Times New Roman"/>
                <w:b w:val="0"/>
                <w:sz w:val="18"/>
              </w:rPr>
              <w:t>10</w:t>
            </w:r>
          </w:p>
        </w:tc>
        <w:tc>
          <w:tcPr>
            <w:tcW w:type="dxa" w:w="1260"/>
            <w:vAlign w:val="center"/>
          </w:tcPr>
          <w:p>
            <w:r/>
            <w:r>
              <w:rPr>
                <w:rFonts w:ascii="Times New Roman" w:hAnsi="Times New Roman"/>
                <w:b w:val="0"/>
                <w:sz w:val="18"/>
              </w:rPr>
              <w:t>Medium</w:t>
            </w:r>
          </w:p>
        </w:tc>
        <w:tc>
          <w:tcPr>
            <w:tcW w:type="dxa" w:w="1260"/>
            <w:vAlign w:val="center"/>
          </w:tcPr>
          <w:p>
            <w:r/>
            <w:r>
              <w:rPr>
                <w:rFonts w:ascii="Times New Roman" w:hAnsi="Times New Roman"/>
                <w:b w:val="0"/>
                <w:sz w:val="18"/>
              </w:rPr>
              <w:t>Encrypt and restrict backups; define retention; perform a documented restore test and record recovery time.</w:t>
            </w:r>
          </w:p>
        </w:tc>
      </w:tr>
    </w:tbl>
    <w:p/>
    <w:p>
      <w:pPr>
        <w:jc w:val="center"/>
      </w:pPr>
      <w:r>
        <w:drawing>
          <wp:inline xmlns:a="http://schemas.openxmlformats.org/drawingml/2006/main" xmlns:pic="http://schemas.openxmlformats.org/drawingml/2006/picture">
            <wp:extent cx="5212080" cy="2931533"/>
            <wp:docPr id="2" name="Picture 2"/>
            <wp:cNvGraphicFramePr>
              <a:graphicFrameLocks noChangeAspect="1"/>
            </wp:cNvGraphicFramePr>
            <a:graphic>
              <a:graphicData uri="http://schemas.openxmlformats.org/drawingml/2006/picture">
                <pic:pic>
                  <pic:nvPicPr>
                    <pic:cNvPr id="0" name="risk_distribution_chart.png"/>
                    <pic:cNvPicPr/>
                  </pic:nvPicPr>
                  <pic:blipFill>
                    <a:blip r:embed="rId10"/>
                    <a:stretch>
                      <a:fillRect/>
                    </a:stretch>
                  </pic:blipFill>
                  <pic:spPr>
                    <a:xfrm>
                      <a:off x="0" y="0"/>
                      <a:ext cx="5212080" cy="2931533"/>
                    </a:xfrm>
                    <a:prstGeom prst="rect"/>
                  </pic:spPr>
                </pic:pic>
              </a:graphicData>
            </a:graphic>
          </wp:inline>
        </w:drawing>
      </w:r>
    </w:p>
    <w:p>
      <w:pPr>
        <w:pStyle w:val="Heading1"/>
      </w:pPr>
      <w:r>
        <w:t>9. Prioritized Remediation Roadmap</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rFonts w:ascii="Times New Roman" w:hAnsi="Times New Roman"/>
                <w:b/>
                <w:sz w:val="18"/>
              </w:rPr>
              <w:t>When</w:t>
            </w:r>
          </w:p>
        </w:tc>
        <w:tc>
          <w:tcPr>
            <w:tcW w:type="dxa" w:w="3360"/>
            <w:vAlign w:val="center"/>
            <w:shd w:fill="D9EAF7"/>
          </w:tcPr>
          <w:p>
            <w:r/>
            <w:r>
              <w:rPr>
                <w:rFonts w:ascii="Times New Roman" w:hAnsi="Times New Roman"/>
                <w:b/>
                <w:sz w:val="18"/>
              </w:rPr>
              <w:t>Actions</w:t>
            </w:r>
          </w:p>
        </w:tc>
        <w:tc>
          <w:tcPr>
            <w:tcW w:type="dxa" w:w="3360"/>
            <w:vAlign w:val="center"/>
            <w:shd w:fill="D9EAF7"/>
          </w:tcPr>
          <w:p>
            <w:r/>
            <w:r>
              <w:rPr>
                <w:rFonts w:ascii="Times New Roman" w:hAnsi="Times New Roman"/>
                <w:b/>
                <w:sz w:val="18"/>
              </w:rPr>
              <w:t>Completion evidence</w:t>
            </w:r>
          </w:p>
        </w:tc>
      </w:tr>
      <w:tr>
        <w:tc>
          <w:tcPr>
            <w:tcW w:type="dxa" w:w="3360"/>
            <w:vAlign w:val="center"/>
          </w:tcPr>
          <w:p>
            <w:r/>
            <w:r>
              <w:rPr>
                <w:rFonts w:ascii="Times New Roman" w:hAnsi="Times New Roman"/>
                <w:b w:val="0"/>
                <w:sz w:val="18"/>
              </w:rPr>
              <w:t>First 24–48 hours after confirmation</w:t>
            </w:r>
          </w:p>
        </w:tc>
        <w:tc>
          <w:tcPr>
            <w:tcW w:type="dxa" w:w="3360"/>
            <w:vAlign w:val="center"/>
          </w:tcPr>
          <w:p>
            <w:r/>
            <w:r>
              <w:rPr>
                <w:rFonts w:ascii="Times New Roman" w:hAnsi="Times New Roman"/>
                <w:b w:val="0"/>
                <w:sz w:val="18"/>
              </w:rPr>
              <w:t>If a database or admin interface is exposed, restrict network access immediately. Disable unused services and preserve evidence if an incident is suspected.</w:t>
            </w:r>
          </w:p>
        </w:tc>
        <w:tc>
          <w:tcPr>
            <w:tcW w:type="dxa" w:w="3360"/>
            <w:vAlign w:val="center"/>
          </w:tcPr>
          <w:p>
            <w:r/>
            <w:r>
              <w:rPr>
                <w:rFonts w:ascii="Times New Roman" w:hAnsi="Times New Roman"/>
                <w:b w:val="0"/>
                <w:sz w:val="18"/>
              </w:rPr>
              <w:t>Updated firewall rules; repeat reachability test; change record.</w:t>
            </w:r>
          </w:p>
        </w:tc>
      </w:tr>
      <w:tr>
        <w:tc>
          <w:tcPr>
            <w:tcW w:type="dxa" w:w="3360"/>
            <w:vAlign w:val="center"/>
          </w:tcPr>
          <w:p>
            <w:r/>
            <w:r>
              <w:rPr>
                <w:rFonts w:ascii="Times New Roman" w:hAnsi="Times New Roman"/>
                <w:b w:val="0"/>
                <w:sz w:val="18"/>
              </w:rPr>
              <w:t>Within 7 days</w:t>
            </w:r>
          </w:p>
        </w:tc>
        <w:tc>
          <w:tcPr>
            <w:tcW w:type="dxa" w:w="3360"/>
            <w:vAlign w:val="center"/>
          </w:tcPr>
          <w:p>
            <w:r/>
            <w:r>
              <w:rPr>
                <w:rFonts w:ascii="Times New Roman" w:hAnsi="Times New Roman"/>
                <w:b w:val="0"/>
                <w:sz w:val="18"/>
              </w:rPr>
              <w:t>Review privileged accounts, remove shared/default credentials, enable MFA where available, and confirm ownership of all assets.</w:t>
            </w:r>
          </w:p>
        </w:tc>
        <w:tc>
          <w:tcPr>
            <w:tcW w:type="dxa" w:w="3360"/>
            <w:vAlign w:val="center"/>
          </w:tcPr>
          <w:p>
            <w:r/>
            <w:r>
              <w:rPr>
                <w:rFonts w:ascii="Times New Roman" w:hAnsi="Times New Roman"/>
                <w:b w:val="0"/>
                <w:sz w:val="18"/>
              </w:rPr>
              <w:t>Account review, MFA settings, and approved access list.</w:t>
            </w:r>
          </w:p>
        </w:tc>
      </w:tr>
      <w:tr>
        <w:tc>
          <w:tcPr>
            <w:tcW w:type="dxa" w:w="3360"/>
            <w:vAlign w:val="center"/>
          </w:tcPr>
          <w:p>
            <w:r/>
            <w:r>
              <w:rPr>
                <w:rFonts w:ascii="Times New Roman" w:hAnsi="Times New Roman"/>
                <w:b w:val="0"/>
                <w:sz w:val="18"/>
              </w:rPr>
              <w:t>Within 14 days</w:t>
            </w:r>
          </w:p>
        </w:tc>
        <w:tc>
          <w:tcPr>
            <w:tcW w:type="dxa" w:w="3360"/>
            <w:vAlign w:val="center"/>
          </w:tcPr>
          <w:p>
            <w:r/>
            <w:r>
              <w:rPr>
                <w:rFonts w:ascii="Times New Roman" w:hAnsi="Times New Roman"/>
                <w:b w:val="0"/>
                <w:sz w:val="18"/>
              </w:rPr>
              <w:t>Patch confirmed high-risk components; correct authorization gaps; remove unnecessary services and risky defaults.</w:t>
            </w:r>
          </w:p>
        </w:tc>
        <w:tc>
          <w:tcPr>
            <w:tcW w:type="dxa" w:w="3360"/>
            <w:vAlign w:val="center"/>
          </w:tcPr>
          <w:p>
            <w:r/>
            <w:r>
              <w:rPr>
                <w:rFonts w:ascii="Times New Roman" w:hAnsi="Times New Roman"/>
                <w:b w:val="0"/>
                <w:sz w:val="18"/>
              </w:rPr>
              <w:t>Version inventory, change tickets, test results, access-control test cases.</w:t>
            </w:r>
          </w:p>
        </w:tc>
      </w:tr>
      <w:tr>
        <w:tc>
          <w:tcPr>
            <w:tcW w:type="dxa" w:w="3360"/>
            <w:vAlign w:val="center"/>
          </w:tcPr>
          <w:p>
            <w:r/>
            <w:r>
              <w:rPr>
                <w:rFonts w:ascii="Times New Roman" w:hAnsi="Times New Roman"/>
                <w:b w:val="0"/>
                <w:sz w:val="18"/>
              </w:rPr>
              <w:t>Within 30 days</w:t>
            </w:r>
          </w:p>
        </w:tc>
        <w:tc>
          <w:tcPr>
            <w:tcW w:type="dxa" w:w="3360"/>
            <w:vAlign w:val="center"/>
          </w:tcPr>
          <w:p>
            <w:r/>
            <w:r>
              <w:rPr>
                <w:rFonts w:ascii="Times New Roman" w:hAnsi="Times New Roman"/>
                <w:b w:val="0"/>
                <w:sz w:val="18"/>
              </w:rPr>
              <w:t>Harden TLS and sessions, centralize security logs, create alert rules, and test backup restoration.</w:t>
            </w:r>
          </w:p>
        </w:tc>
        <w:tc>
          <w:tcPr>
            <w:tcW w:type="dxa" w:w="3360"/>
            <w:vAlign w:val="center"/>
          </w:tcPr>
          <w:p>
            <w:r/>
            <w:r>
              <w:rPr>
                <w:rFonts w:ascii="Times New Roman" w:hAnsi="Times New Roman"/>
                <w:b w:val="0"/>
                <w:sz w:val="18"/>
              </w:rPr>
              <w:t>Configuration evidence, sample audit events, successful restore record.</w:t>
            </w:r>
          </w:p>
        </w:tc>
      </w:tr>
      <w:tr>
        <w:tc>
          <w:tcPr>
            <w:tcW w:type="dxa" w:w="3360"/>
            <w:vAlign w:val="center"/>
          </w:tcPr>
          <w:p>
            <w:r/>
            <w:r>
              <w:rPr>
                <w:rFonts w:ascii="Times New Roman" w:hAnsi="Times New Roman"/>
                <w:b w:val="0"/>
                <w:sz w:val="18"/>
              </w:rPr>
              <w:t>Ongoing / monthly</w:t>
            </w:r>
          </w:p>
        </w:tc>
        <w:tc>
          <w:tcPr>
            <w:tcW w:type="dxa" w:w="3360"/>
            <w:vAlign w:val="center"/>
          </w:tcPr>
          <w:p>
            <w:r/>
            <w:r>
              <w:rPr>
                <w:rFonts w:ascii="Times New Roman" w:hAnsi="Times New Roman"/>
                <w:b w:val="0"/>
                <w:sz w:val="18"/>
              </w:rPr>
              <w:t>Run a repeatable vulnerability scan, review new alerts, track remediation, and re-test closed findings.</w:t>
            </w:r>
          </w:p>
        </w:tc>
        <w:tc>
          <w:tcPr>
            <w:tcW w:type="dxa" w:w="3360"/>
            <w:vAlign w:val="center"/>
          </w:tcPr>
          <w:p>
            <w:r/>
            <w:r>
              <w:rPr>
                <w:rFonts w:ascii="Times New Roman" w:hAnsi="Times New Roman"/>
                <w:b w:val="0"/>
                <w:sz w:val="18"/>
              </w:rPr>
              <w:t>Dated scan reports, risk register history, closure evidence.</w:t>
            </w:r>
          </w:p>
        </w:tc>
      </w:tr>
    </w:tbl>
    <w:p/>
    <w:p>
      <w:pPr>
        <w:pStyle w:val="Heading1"/>
      </w:pPr>
      <w:r>
        <w:t>10. Validation and Retesting Checklist</w:t>
      </w:r>
    </w:p>
    <w:p>
      <w:pPr>
        <w:pStyle w:val="ListBullet"/>
      </w:pPr>
      <w:r>
        <w:t>Confirm the exact target is inside the authorized virtual network.</w:t>
      </w:r>
    </w:p>
    <w:p>
      <w:pPr>
        <w:pStyle w:val="ListBullet"/>
      </w:pPr>
      <w:r>
        <w:t>Re-run the relevant non-destructive check after the change.</w:t>
      </w:r>
    </w:p>
    <w:p>
      <w:pPr>
        <w:pStyle w:val="ListBullet"/>
      </w:pPr>
      <w:r>
        <w:t>Verify that only required ports are reachable from the intended source.</w:t>
      </w:r>
    </w:p>
    <w:p>
      <w:pPr>
        <w:pStyle w:val="ListBullet"/>
      </w:pPr>
      <w:r>
        <w:t>Test that ordinary users cannot access administrator-only functions.</w:t>
      </w:r>
    </w:p>
    <w:p>
      <w:pPr>
        <w:pStyle w:val="ListBullet"/>
      </w:pPr>
      <w:r>
        <w:t>Confirm HTTPS and secure session attributes in the browser or test tool.</w:t>
      </w:r>
    </w:p>
    <w:p>
      <w:pPr>
        <w:pStyle w:val="ListBullet"/>
      </w:pPr>
      <w:r>
        <w:t>Confirm logs record successful and failed authentication and sensitive administrative actions.</w:t>
      </w:r>
    </w:p>
    <w:p>
      <w:pPr>
        <w:pStyle w:val="ListBullet"/>
      </w:pPr>
      <w:r>
        <w:t>Restore a test backup in an isolated location and record the outcome.</w:t>
      </w:r>
    </w:p>
    <w:p>
      <w:pPr>
        <w:pStyle w:val="ListBullet"/>
      </w:pPr>
      <w:r>
        <w:t>Update the risk score and document any residual risk or accepted exception.</w:t>
      </w:r>
    </w:p>
    <w:p>
      <w:pPr>
        <w:pStyle w:val="Heading1"/>
      </w:pPr>
      <w:r>
        <w:t>11. Ethical and Professional Considerations</w:t>
      </w:r>
    </w:p>
    <w:p>
      <w:r>
        <w:t>All assessment activity must be authorized, proportionate, and limited to the agreed lab. Use test accounts and synthetic data. Do not scan unrelated networks, attempt to access another person's information, or run disruptive tests without explicit approval. Store reports securely and redact passwords, tokens, personal information, and sensitive internal details before sharing. Findings should be reported constructively with reproducible evidence and practical remediation advice.</w:t>
      </w:r>
    </w:p>
    <w:p>
      <w:pPr>
        <w:pStyle w:val="Heading1"/>
      </w:pPr>
      <w:r>
        <w:t>12. Conclusion</w:t>
      </w:r>
    </w:p>
    <w:p>
      <w:r>
        <w:t>This exercise demonstrates how threat modeling and vulnerability assessment can be combined into a repeatable risk-reduction process. STRIDE helps structure threat identification, while the likelihood-impact matrix supports transparent prioritization. Open-source tools can assist with asset discovery and application testing, but their alerts require manual validation and contextual interpretation. The most important next step is to apply this template to the actual authorized virtual lab, record genuine evidence, confirm or reject each example risk, and update the final risk register. Remediation should be followed by retesting so that the report reflects verified security improvements rather than assumptions.</w:t>
      </w:r>
    </w:p>
    <w:p>
      <w:pPr>
        <w:pStyle w:val="Heading1"/>
      </w:pPr>
      <w:r>
        <w:t>References</w:t>
      </w:r>
    </w:p>
    <w:p>
      <w:pPr>
        <w:pStyle w:val="ListNumber"/>
      </w:pPr>
      <w:r>
        <w:t>National Institute of Standards and Technology (NIST). (2012). Guide for Conducting Risk Assessments, SP 800-30 Rev. 1.</w:t>
        <w:br/>
      </w:r>
      <w:r>
        <w:rPr>
          <w:sz w:val="18"/>
        </w:rPr>
        <w:t>https://csrc.nist.gov/pubs/sp/800/30/r1/final</w:t>
      </w:r>
    </w:p>
    <w:p>
      <w:pPr>
        <w:pStyle w:val="ListNumber"/>
      </w:pPr>
      <w:r>
        <w:t>OWASP. Threat Modeling Cheat Sheet — system modeling, STRIDE, threat ranking, and mitigation.</w:t>
        <w:br/>
      </w:r>
      <w:r>
        <w:rPr>
          <w:sz w:val="18"/>
        </w:rPr>
        <w:t>https://cheatsheetseries.owasp.org/cheatsheets/Threat_Modeling_Cheat_Sheet.html</w:t>
      </w:r>
    </w:p>
    <w:p>
      <w:pPr>
        <w:pStyle w:val="ListNumber"/>
      </w:pPr>
      <w:r>
        <w:t>The Nmap Project. Nmap Network Scanning — official guide and reference documentation.</w:t>
        <w:br/>
      </w:r>
      <w:r>
        <w:rPr>
          <w:sz w:val="18"/>
        </w:rPr>
        <w:t>https://nmap.org/book/</w:t>
      </w:r>
    </w:p>
    <w:p>
      <w:pPr>
        <w:pStyle w:val="ListNumber"/>
      </w:pPr>
      <w:r>
        <w:t>The Nmap Project. Nmap Reference Guide.</w:t>
        <w:br/>
      </w:r>
      <w:r>
        <w:rPr>
          <w:sz w:val="18"/>
        </w:rPr>
        <w:t>https://nmap.org/book/man.html</w:t>
      </w:r>
    </w:p>
    <w:p>
      <w:pPr>
        <w:pStyle w:val="ListNumber"/>
      </w:pPr>
      <w:r>
        <w:t>OWASP. ZAP Documentation.</w:t>
        <w:br/>
      </w:r>
      <w:r>
        <w:rPr>
          <w:sz w:val="18"/>
        </w:rPr>
        <w:t>https://www.zaproxy.org/docs/</w:t>
      </w:r>
    </w:p>
    <w:p>
      <w:pPr>
        <w:pStyle w:val="ListNumber"/>
      </w:pPr>
      <w:r>
        <w:t>Cybersecurity and Infrastructure Security Agency (CISA). Cybersecurity Incident &amp; Vulnerability Response Playbooks.</w:t>
        <w:br/>
      </w:r>
      <w:r>
        <w:rPr>
          <w:sz w:val="18"/>
        </w:rPr>
        <w:t>https://www.cisa.gov/resources-tools/resources/cybersecurity-incident-vulnerability-response-playbooks</w:t>
      </w:r>
    </w:p>
    <w:p>
      <w:pPr>
        <w:pStyle w:val="Heading1"/>
      </w:pPr>
      <w:r>
        <w:t>Appendix A — Findings Record Template</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rFonts w:ascii="Times New Roman" w:hAnsi="Times New Roman"/>
                <w:b/>
                <w:sz w:val="18"/>
              </w:rPr>
              <w:t>Field</w:t>
            </w:r>
          </w:p>
        </w:tc>
        <w:tc>
          <w:tcPr>
            <w:tcW w:type="dxa" w:w="5040"/>
            <w:vAlign w:val="center"/>
            <w:shd w:fill="D9EAF7"/>
          </w:tcPr>
          <w:p>
            <w:r/>
            <w:r>
              <w:rPr>
                <w:rFonts w:ascii="Times New Roman" w:hAnsi="Times New Roman"/>
                <w:b/>
                <w:sz w:val="18"/>
              </w:rPr>
              <w:t>Record</w:t>
            </w:r>
          </w:p>
        </w:tc>
      </w:tr>
      <w:tr>
        <w:tc>
          <w:tcPr>
            <w:tcW w:type="dxa" w:w="5040"/>
            <w:vAlign w:val="center"/>
          </w:tcPr>
          <w:p>
            <w:r/>
            <w:r>
              <w:rPr>
                <w:rFonts w:ascii="Times New Roman" w:hAnsi="Times New Roman"/>
                <w:b w:val="0"/>
                <w:sz w:val="18"/>
              </w:rPr>
              <w:t>Finding ID / Title</w:t>
            </w:r>
          </w:p>
        </w:tc>
        <w:tc>
          <w:tcPr>
            <w:tcW w:type="dxa" w:w="5040"/>
            <w:vAlign w:val="center"/>
          </w:tcPr>
          <w:p>
            <w:r/>
            <w:r>
              <w:rPr>
                <w:rFonts w:ascii="Times New Roman" w:hAnsi="Times New Roman"/>
                <w:b w:val="0"/>
                <w:sz w:val="18"/>
              </w:rPr>
            </w:r>
          </w:p>
        </w:tc>
      </w:tr>
      <w:tr>
        <w:tc>
          <w:tcPr>
            <w:tcW w:type="dxa" w:w="5040"/>
            <w:vAlign w:val="center"/>
          </w:tcPr>
          <w:p>
            <w:r/>
            <w:r>
              <w:rPr>
                <w:rFonts w:ascii="Times New Roman" w:hAnsi="Times New Roman"/>
                <w:b w:val="0"/>
                <w:sz w:val="18"/>
              </w:rPr>
              <w:t>Asset / IP / URL</w:t>
            </w:r>
          </w:p>
        </w:tc>
        <w:tc>
          <w:tcPr>
            <w:tcW w:type="dxa" w:w="5040"/>
            <w:vAlign w:val="center"/>
          </w:tcPr>
          <w:p>
            <w:r/>
            <w:r>
              <w:rPr>
                <w:rFonts w:ascii="Times New Roman" w:hAnsi="Times New Roman"/>
                <w:b w:val="0"/>
                <w:sz w:val="18"/>
              </w:rPr>
            </w:r>
          </w:p>
        </w:tc>
      </w:tr>
      <w:tr>
        <w:tc>
          <w:tcPr>
            <w:tcW w:type="dxa" w:w="5040"/>
            <w:vAlign w:val="center"/>
          </w:tcPr>
          <w:p>
            <w:r/>
            <w:r>
              <w:rPr>
                <w:rFonts w:ascii="Times New Roman" w:hAnsi="Times New Roman"/>
                <w:b w:val="0"/>
                <w:sz w:val="18"/>
              </w:rPr>
              <w:t>Date and tool version</w:t>
            </w:r>
          </w:p>
        </w:tc>
        <w:tc>
          <w:tcPr>
            <w:tcW w:type="dxa" w:w="5040"/>
            <w:vAlign w:val="center"/>
          </w:tcPr>
          <w:p>
            <w:r/>
            <w:r>
              <w:rPr>
                <w:rFonts w:ascii="Times New Roman" w:hAnsi="Times New Roman"/>
                <w:b w:val="0"/>
                <w:sz w:val="18"/>
              </w:rPr>
            </w:r>
          </w:p>
        </w:tc>
      </w:tr>
      <w:tr>
        <w:tc>
          <w:tcPr>
            <w:tcW w:type="dxa" w:w="5040"/>
            <w:vAlign w:val="center"/>
          </w:tcPr>
          <w:p>
            <w:r/>
            <w:r>
              <w:rPr>
                <w:rFonts w:ascii="Times New Roman" w:hAnsi="Times New Roman"/>
                <w:b w:val="0"/>
                <w:sz w:val="18"/>
              </w:rPr>
              <w:t>Evidence / output reference</w:t>
            </w:r>
          </w:p>
        </w:tc>
        <w:tc>
          <w:tcPr>
            <w:tcW w:type="dxa" w:w="5040"/>
            <w:vAlign w:val="center"/>
          </w:tcPr>
          <w:p>
            <w:r/>
            <w:r>
              <w:rPr>
                <w:rFonts w:ascii="Times New Roman" w:hAnsi="Times New Roman"/>
                <w:b w:val="0"/>
                <w:sz w:val="18"/>
              </w:rPr>
            </w:r>
          </w:p>
        </w:tc>
      </w:tr>
      <w:tr>
        <w:tc>
          <w:tcPr>
            <w:tcW w:type="dxa" w:w="5040"/>
            <w:vAlign w:val="center"/>
          </w:tcPr>
          <w:p>
            <w:r/>
            <w:r>
              <w:rPr>
                <w:rFonts w:ascii="Times New Roman" w:hAnsi="Times New Roman"/>
                <w:b w:val="0"/>
                <w:sz w:val="18"/>
              </w:rPr>
              <w:t>Expected vs observed result</w:t>
            </w:r>
          </w:p>
        </w:tc>
        <w:tc>
          <w:tcPr>
            <w:tcW w:type="dxa" w:w="5040"/>
            <w:vAlign w:val="center"/>
          </w:tcPr>
          <w:p>
            <w:r/>
            <w:r>
              <w:rPr>
                <w:rFonts w:ascii="Times New Roman" w:hAnsi="Times New Roman"/>
                <w:b w:val="0"/>
                <w:sz w:val="18"/>
              </w:rPr>
            </w:r>
          </w:p>
        </w:tc>
      </w:tr>
      <w:tr>
        <w:tc>
          <w:tcPr>
            <w:tcW w:type="dxa" w:w="5040"/>
            <w:vAlign w:val="center"/>
          </w:tcPr>
          <w:p>
            <w:r/>
            <w:r>
              <w:rPr>
                <w:rFonts w:ascii="Times New Roman" w:hAnsi="Times New Roman"/>
                <w:b w:val="0"/>
                <w:sz w:val="18"/>
              </w:rPr>
              <w:t>Likelihood / impact / score</w:t>
            </w:r>
          </w:p>
        </w:tc>
        <w:tc>
          <w:tcPr>
            <w:tcW w:type="dxa" w:w="5040"/>
            <w:vAlign w:val="center"/>
          </w:tcPr>
          <w:p>
            <w:r/>
            <w:r>
              <w:rPr>
                <w:rFonts w:ascii="Times New Roman" w:hAnsi="Times New Roman"/>
                <w:b w:val="0"/>
                <w:sz w:val="18"/>
              </w:rPr>
            </w:r>
          </w:p>
        </w:tc>
      </w:tr>
      <w:tr>
        <w:tc>
          <w:tcPr>
            <w:tcW w:type="dxa" w:w="5040"/>
            <w:vAlign w:val="center"/>
          </w:tcPr>
          <w:p>
            <w:r/>
            <w:r>
              <w:rPr>
                <w:rFonts w:ascii="Times New Roman" w:hAnsi="Times New Roman"/>
                <w:b w:val="0"/>
                <w:sz w:val="18"/>
              </w:rPr>
              <w:t>Validation status (Confirmed / Not Present / Unable to Verify)</w:t>
            </w:r>
          </w:p>
        </w:tc>
        <w:tc>
          <w:tcPr>
            <w:tcW w:type="dxa" w:w="5040"/>
            <w:vAlign w:val="center"/>
          </w:tcPr>
          <w:p>
            <w:r/>
            <w:r>
              <w:rPr>
                <w:rFonts w:ascii="Times New Roman" w:hAnsi="Times New Roman"/>
                <w:b w:val="0"/>
                <w:sz w:val="18"/>
              </w:rPr>
            </w:r>
          </w:p>
        </w:tc>
      </w:tr>
      <w:tr>
        <w:tc>
          <w:tcPr>
            <w:tcW w:type="dxa" w:w="5040"/>
            <w:vAlign w:val="center"/>
          </w:tcPr>
          <w:p>
            <w:r/>
            <w:r>
              <w:rPr>
                <w:rFonts w:ascii="Times New Roman" w:hAnsi="Times New Roman"/>
                <w:b w:val="0"/>
                <w:sz w:val="18"/>
              </w:rPr>
              <w:t>Recommended mitigation and owner</w:t>
            </w:r>
          </w:p>
        </w:tc>
        <w:tc>
          <w:tcPr>
            <w:tcW w:type="dxa" w:w="5040"/>
            <w:vAlign w:val="center"/>
          </w:tcPr>
          <w:p>
            <w:r/>
            <w:r>
              <w:rPr>
                <w:rFonts w:ascii="Times New Roman" w:hAnsi="Times New Roman"/>
                <w:b w:val="0"/>
                <w:sz w:val="18"/>
              </w:rPr>
            </w:r>
          </w:p>
        </w:tc>
      </w:tr>
      <w:tr>
        <w:tc>
          <w:tcPr>
            <w:tcW w:type="dxa" w:w="5040"/>
            <w:vAlign w:val="center"/>
          </w:tcPr>
          <w:p>
            <w:r/>
            <w:r>
              <w:rPr>
                <w:rFonts w:ascii="Times New Roman" w:hAnsi="Times New Roman"/>
                <w:b w:val="0"/>
                <w:sz w:val="18"/>
              </w:rPr>
              <w:t>Target date and retest evidence</w:t>
            </w:r>
          </w:p>
        </w:tc>
        <w:tc>
          <w:tcPr>
            <w:tcW w:type="dxa" w:w="5040"/>
            <w:vAlign w:val="center"/>
          </w:tcPr>
          <w:p>
            <w:r/>
            <w:r>
              <w:rPr>
                <w:rFonts w:ascii="Times New Roman" w:hAnsi="Times New Roman"/>
                <w:b w:val="0"/>
                <w:sz w:val="18"/>
              </w:rPr>
            </w:r>
          </w:p>
        </w:tc>
      </w:tr>
      <w:tr>
        <w:tc>
          <w:tcPr>
            <w:tcW w:type="dxa" w:w="5040"/>
            <w:vAlign w:val="center"/>
          </w:tcPr>
          <w:p>
            <w:r/>
            <w:r>
              <w:rPr>
                <w:rFonts w:ascii="Times New Roman" w:hAnsi="Times New Roman"/>
                <w:b w:val="0"/>
                <w:sz w:val="18"/>
              </w:rPr>
              <w:t>Residual risk / exception</w:t>
            </w:r>
          </w:p>
        </w:tc>
        <w:tc>
          <w:tcPr>
            <w:tcW w:type="dxa" w:w="5040"/>
            <w:vAlign w:val="center"/>
          </w:tcPr>
          <w:p>
            <w:r/>
            <w:r>
              <w:rPr>
                <w:rFonts w:ascii="Times New Roman" w:hAnsi="Times New Roman"/>
                <w:b w:val="0"/>
                <w:sz w:val="18"/>
              </w:rPr>
            </w:r>
          </w:p>
        </w:tc>
      </w:tr>
    </w:tbl>
    <w:p/>
    <w:p>
      <w:pPr>
        <w:pStyle w:val="Heading1"/>
      </w:pPr>
      <w:r>
        <w:t>Appendix B — Final Submission Quality Check</w:t>
      </w:r>
    </w:p>
    <w:p>
      <w:pPr>
        <w:pStyle w:val="ListBullet"/>
      </w:pPr>
      <w:r>
        <w:t>Replace placeholders with your name, internship organization, date, and actual lab details.</w:t>
      </w:r>
    </w:p>
    <w:p>
      <w:pPr>
        <w:pStyle w:val="ListBullet"/>
      </w:pPr>
      <w:r>
        <w:t>Remove or update any example finding that is not supported by your assessment evidence.</w:t>
      </w:r>
    </w:p>
    <w:p>
      <w:pPr>
        <w:pStyle w:val="ListBullet"/>
      </w:pPr>
      <w:r>
        <w:t>Attach sanitized screenshots or scan output if your supervisor requires proof of practical work.</w:t>
      </w:r>
    </w:p>
    <w:p>
      <w:pPr>
        <w:pStyle w:val="ListBullet"/>
      </w:pPr>
      <w:r>
        <w:t>Ensure the report describes what you actually did; do not claim to have run scans unless you did.</w:t>
      </w:r>
    </w:p>
    <w:p>
      <w:pPr>
        <w:pStyle w:val="ListBullet"/>
      </w:pPr>
      <w:r>
        <w:t>Save and submit this report in Word (.docx) format as requested.</w:t>
      </w:r>
    </w:p>
    <w:sectPr w:rsidR="00FC693F" w:rsidRPr="0006063C" w:rsidSect="00034616">
      <w:footerReference w:type="default" r:id="rId11"/>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Week 1 — Virtual Threat Modeling and Vulnerability Assessment | Page </w:t>
    </w:r>
    <w:fldChar w:fldCharType="begin"/>
    <w:instrText xml:space="preserve">PAGE</w:instrText>
    <w:fldChar w:fldCharType="end"/>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