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D8C8" w14:textId="77777777" w:rsidR="008537E8" w:rsidRPr="008537E8" w:rsidRDefault="008537E8" w:rsidP="008537E8">
      <w:pPr>
        <w:jc w:val="center"/>
        <w:rPr>
          <w:rFonts w:ascii="Times New Roman" w:hAnsi="Times New Roman" w:cs="Times New Roman"/>
          <w:sz w:val="28"/>
          <w:szCs w:val="28"/>
        </w:rPr>
      </w:pPr>
      <w:r w:rsidRPr="008537E8">
        <w:rPr>
          <w:rFonts w:ascii="Times New Roman" w:hAnsi="Times New Roman" w:cs="Times New Roman"/>
          <w:b/>
          <w:bCs/>
          <w:sz w:val="28"/>
          <w:szCs w:val="28"/>
        </w:rPr>
        <w:t>FINDINGS OF THE ASSIGNMENT</w:t>
      </w:r>
    </w:p>
    <w:p w14:paraId="120D580F" w14:textId="77777777" w:rsidR="008537E8" w:rsidRPr="008537E8" w:rsidRDefault="008537E8" w:rsidP="008537E8">
      <w:pPr>
        <w:jc w:val="center"/>
        <w:rPr>
          <w:rFonts w:ascii="Times New Roman" w:hAnsi="Times New Roman" w:cs="Times New Roman"/>
        </w:rPr>
      </w:pPr>
      <w:r w:rsidRPr="008537E8">
        <w:rPr>
          <w:rFonts w:ascii="Times New Roman" w:hAnsi="Times New Roman" w:cs="Times New Roman"/>
          <w:b/>
          <w:bCs/>
        </w:rPr>
        <w:t>Healthcare Data Analysis and Insights</w:t>
      </w:r>
    </w:p>
    <w:p w14:paraId="24F80467"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1. Introduction</w:t>
      </w:r>
    </w:p>
    <w:p w14:paraId="59CDABCC"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healthcare dataset was analysed to understand patient health characteristics, hospitalisation information and healthcare charges. The analysis involved data cleaning, data transformation, combining three related tables using Customer ID, and creating visualisations such as doughnut charts, column charts and scatter plots. The findings below are based on the analyses specified in the assignment and are intended to present the main insights in a simple and understandable way.</w:t>
      </w:r>
    </w:p>
    <w:p w14:paraId="42449CC8"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2. Findings from Data Cleaning and Transformation</w:t>
      </w:r>
    </w:p>
    <w:p w14:paraId="5D3F7F2B"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 xml:space="preserve">Missing values were identified and handled: </w:t>
      </w:r>
      <w:r w:rsidRPr="008537E8">
        <w:rPr>
          <w:rFonts w:ascii="Times New Roman" w:hAnsi="Times New Roman" w:cs="Times New Roman"/>
        </w:rPr>
        <w:t>Missing values marked with '?' were checked in the Medical Examinations and Hospitalisation Details tables. The missing month values were replaced with September, missing year values were replaced using the rounded average, and missing categorical values were completed using the most frequently occurring values. Missing State ID values were recorded as 'Unknown'.</w:t>
      </w:r>
    </w:p>
    <w:p w14:paraId="67FE7EA4"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 xml:space="preserve">Customer names were organised: </w:t>
      </w:r>
      <w:r w:rsidRPr="008537E8">
        <w:rPr>
          <w:rFonts w:ascii="Times New Roman" w:hAnsi="Times New Roman" w:cs="Times New Roman"/>
        </w:rPr>
        <w:t>The original names column was divided into Title, First Name and Last Name. This made the customer information more structured and easier to use for analysis.</w:t>
      </w:r>
    </w:p>
    <w:p w14:paraId="294D5A9B" w14:textId="7E7C308C"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 xml:space="preserve">Major surgeries were converted into numerical data: </w:t>
      </w:r>
      <w:r w:rsidRPr="008537E8">
        <w:rPr>
          <w:rFonts w:ascii="Times New Roman" w:hAnsi="Times New Roman" w:cs="Times New Roman"/>
        </w:rPr>
        <w:t>The text value 'No major surgery' was converted to 0 so that the Number</w:t>
      </w:r>
      <w:r>
        <w:rPr>
          <w:rFonts w:ascii="Times New Roman" w:hAnsi="Times New Roman" w:cs="Times New Roman"/>
        </w:rPr>
        <w:t xml:space="preserve"> of </w:t>
      </w:r>
      <w:r w:rsidRPr="008537E8">
        <w:rPr>
          <w:rFonts w:ascii="Times New Roman" w:hAnsi="Times New Roman" w:cs="Times New Roman"/>
        </w:rPr>
        <w:t>Major</w:t>
      </w:r>
      <w:r>
        <w:rPr>
          <w:rFonts w:ascii="Times New Roman" w:hAnsi="Times New Roman" w:cs="Times New Roman"/>
        </w:rPr>
        <w:t xml:space="preserve"> </w:t>
      </w:r>
      <w:r w:rsidRPr="008537E8">
        <w:rPr>
          <w:rFonts w:ascii="Times New Roman" w:hAnsi="Times New Roman" w:cs="Times New Roman"/>
        </w:rPr>
        <w:t>Surgeries field could be used for numerical calculations and comparison.</w:t>
      </w:r>
    </w:p>
    <w:p w14:paraId="1799BDE9"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 xml:space="preserve">Health categories were created: </w:t>
      </w:r>
      <w:r w:rsidRPr="008537E8">
        <w:rPr>
          <w:rFonts w:ascii="Times New Roman" w:hAnsi="Times New Roman" w:cs="Times New Roman"/>
        </w:rPr>
        <w:t>BMI values were grouped into Underweight, Normal Weight, Overweight and Obesity. HbA1C values were grouped into Normal, Prediabetes and Diabetes. These categories made it easier to compare health conditions.</w:t>
      </w:r>
    </w:p>
    <w:p w14:paraId="00173FB5"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 xml:space="preserve">Date and age were calculated: </w:t>
      </w:r>
      <w:r w:rsidRPr="008537E8">
        <w:rPr>
          <w:rFonts w:ascii="Times New Roman" w:hAnsi="Times New Roman" w:cs="Times New Roman"/>
        </w:rPr>
        <w:t>The year, month and date fields were combined into a Date of Birth field. Age was then calculated using 8 June 2023 as the dataset collection date.</w:t>
      </w:r>
    </w:p>
    <w:p w14:paraId="16F3AEBD"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 xml:space="preserve">Healthcare charges were formatted: </w:t>
      </w:r>
      <w:r w:rsidRPr="008537E8">
        <w:rPr>
          <w:rFonts w:ascii="Times New Roman" w:hAnsi="Times New Roman" w:cs="Times New Roman"/>
        </w:rPr>
        <w:t>The charges field was formatted as currency so that healthcare costs could be read and compared more clearly.</w:t>
      </w:r>
    </w:p>
    <w:p w14:paraId="1D83540B"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 Findings from Data Analysis</w:t>
      </w:r>
    </w:p>
    <w:p w14:paraId="523BE0C9"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3.1 Cancer History among Smokers and Non-Smokers</w:t>
      </w:r>
    </w:p>
    <w:p w14:paraId="5E2B6EE3"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cancer history of customers was compared between smokers and non-smokers using a doughnut chart. The visualisation makes it possible to see how cancer-history categories are distributed within the two smoking groups. This analysis helps identify differences in the pattern of reported cancer history between smokers and non-smokers without relying only on the raw data table.</w:t>
      </w:r>
    </w:p>
    <w:p w14:paraId="4349DB92"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3.2 Major Surgeries and HbA1C by Transplant History</w:t>
      </w:r>
    </w:p>
    <w:p w14:paraId="03795978"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lastRenderedPageBreak/>
        <w:t>Patients were grouped according to whether they had a history of transplants. The total number of major surgeries and the average HbA1C were then compared. The analysis provides a clear view of how surgical history and average HbA1C differ between patients with and without transplant history. The column chart makes the comparison easier to interpret.</w:t>
      </w:r>
    </w:p>
    <w:p w14:paraId="6169F382"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3.3 Healthcare Charges by Weight Status and Diabetes Status</w:t>
      </w:r>
    </w:p>
    <w:p w14:paraId="38AFB4CB"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Average healthcare charges were analysed across the different weight-status and diabetes-status categories. This allows healthcare costs to be compared for combinations such as Normal Weight with Normal status, Overweight with Prediabetes, or Obesity with Diabetes. The analysis shows how healthcare charges can be examined together with important health conditions rather than looking at weight or diabetes separately.</w:t>
      </w:r>
    </w:p>
    <w:p w14:paraId="47B79F2C"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3.4 Average Charges by Hospital Tier and State</w:t>
      </w:r>
    </w:p>
    <w:p w14:paraId="6A622323"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Average healthcare charges were compared for different hospital tiers within each State ID. This analysis helps identify variations in healthcare costs across hospital categories and states. The column chart provides an easy way to compare the average charges for the available hospital tiers in each state.</w:t>
      </w:r>
    </w:p>
    <w:p w14:paraId="51EAF2D8"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3.5 Relationship between Age and BMI</w:t>
      </w:r>
    </w:p>
    <w:p w14:paraId="3D732F59"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A scatter plot was used to examine the relationship between age and BMI. Age was placed on the horizontal axis and BMI on the vertical axis. The distribution of points helps assess whether BMI changes in any noticeable pattern as age increases. A trendline can also be used to support the visual interpretation of the relationship.</w:t>
      </w:r>
    </w:p>
    <w:p w14:paraId="06EC2BDF"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3.6 Relationship between Age and HbA1C</w:t>
      </w:r>
    </w:p>
    <w:p w14:paraId="2D5BC8E1"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relationship between age and HbA1C was examined using a scatter plot. This makes it possible to observe whether HbA1C values show any visible pattern as customer age increases. The chart provides a simple way to identify whether the two numerical variables appear to move together or remain widely scattered.</w:t>
      </w:r>
    </w:p>
    <w:p w14:paraId="3536226D"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3.7 Relationship between Age and Healthcare Charges</w:t>
      </w:r>
    </w:p>
    <w:p w14:paraId="78D37C65"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A scatter plot was created to explore the relationship between age and healthcare charges. Age was used on the X-axis and charges on the Y-axis. The distribution of points helps examine whether healthcare charges show any visible pattern in relation to customer age. A linear trendline may be added to make the overall direction easier to observe.</w:t>
      </w:r>
    </w:p>
    <w:p w14:paraId="645835DC"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4. Dashboard Findings</w:t>
      </w:r>
    </w:p>
    <w:p w14:paraId="27172CD6"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final dashboard brings together the major visualisations created during the analysis. It provides a single view of cancer history, transplant history, healthcare charges, weight status, diabetes status, BMI, HbA1C and age-related relationships. The dashboard improves the presentation of the analysis by allowing the user to compare different aspects of the dataset without moving between multiple analysis sheets.</w:t>
      </w:r>
    </w:p>
    <w:p w14:paraId="3F1FE782"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lastRenderedPageBreak/>
        <w:t>Slicers were added for Weight Status and Diabetes Status. These slicers provide an interactive way to filter the PivotTable-based visualisations and examine the data for selected health categories. This supports easier comparison of healthcare charges and health outcomes based on body weight and diabetes condition.</w:t>
      </w:r>
    </w:p>
    <w:p w14:paraId="460130EE"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5. Overall Findings</w:t>
      </w:r>
    </w:p>
    <w:p w14:paraId="36BEF7F9"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cleaned and transformed dataset provides a more consistent structure for healthcare analysis.</w:t>
      </w:r>
    </w:p>
    <w:p w14:paraId="573BD94E"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Grouping BMI and HbA1C into meaningful health categories makes comparisons easier to understand.</w:t>
      </w:r>
    </w:p>
    <w:p w14:paraId="2E0C7AFA"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analysis connects patient health characteristics with healthcare charges and hospital-related information.</w:t>
      </w:r>
    </w:p>
    <w:p w14:paraId="2FD6830A"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Doughnut and column charts are useful for comparing categories, while scatter plots are suitable for examining relationships between numerical variables.</w:t>
      </w:r>
    </w:p>
    <w:p w14:paraId="536DF5A4"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dashboard provides a clear summary of the major analyses and makes the information easier to interpret.</w:t>
      </w:r>
    </w:p>
    <w:p w14:paraId="3C757AB5"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Interactive slicers improve the usability of the dashboard by allowing selected health categories to be explored in the PivotTable-based analyses.</w:t>
      </w:r>
    </w:p>
    <w:p w14:paraId="01F13B56"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6. Conclusion</w:t>
      </w:r>
    </w:p>
    <w:p w14:paraId="1E7E13F5"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 xml:space="preserve">The healthcare data analysis successfully transformed raw healthcare, hospitalisation and customer information into a structured dataset suitable for analysis and visualisation. The findings focus on smoking and cancer history, transplant history, major surgeries, HbA1C, weight status, diabetes status, hospital tiers, states, age, BMI and healthcare charges. The use of PivotTables, charts, scatter plots and an interactive dashboard </w:t>
      </w:r>
      <w:proofErr w:type="gramStart"/>
      <w:r w:rsidRPr="008537E8">
        <w:rPr>
          <w:rFonts w:ascii="Times New Roman" w:hAnsi="Times New Roman" w:cs="Times New Roman"/>
        </w:rPr>
        <w:t>helps</w:t>
      </w:r>
      <w:proofErr w:type="gramEnd"/>
      <w:r w:rsidRPr="008537E8">
        <w:rPr>
          <w:rFonts w:ascii="Times New Roman" w:hAnsi="Times New Roman" w:cs="Times New Roman"/>
        </w:rPr>
        <w:t xml:space="preserve"> present the information in a clear and practical manner. Overall, the assignment demonstrates how Excel can be used to clean, analyse and communicate insights from healthcare data.</w:t>
      </w:r>
    </w:p>
    <w:p w14:paraId="65D05CF2"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b/>
          <w:bCs/>
        </w:rPr>
        <w:t>7. Note on Interpretation</w:t>
      </w:r>
    </w:p>
    <w:p w14:paraId="058A9093" w14:textId="77777777" w:rsidR="008537E8" w:rsidRPr="008537E8" w:rsidRDefault="008537E8" w:rsidP="008537E8">
      <w:pPr>
        <w:jc w:val="both"/>
        <w:rPr>
          <w:rFonts w:ascii="Times New Roman" w:hAnsi="Times New Roman" w:cs="Times New Roman"/>
        </w:rPr>
      </w:pPr>
      <w:r w:rsidRPr="008537E8">
        <w:rPr>
          <w:rFonts w:ascii="Times New Roman" w:hAnsi="Times New Roman" w:cs="Times New Roman"/>
        </w:rPr>
        <w:t>The findings above describe what each completed analysis demonstrates. Specific statements such as which category has the highest or lowest value should be added only from the final PivotTable or chart values. This avoids making unsupported numerical claims when the underlying analysis results are not included in the assignment instructions.</w:t>
      </w:r>
    </w:p>
    <w:p w14:paraId="093310C5" w14:textId="77777777" w:rsidR="00AE41E9" w:rsidRPr="008537E8" w:rsidRDefault="00AE41E9">
      <w:pPr>
        <w:rPr>
          <w:rFonts w:ascii="Times New Roman" w:hAnsi="Times New Roman" w:cs="Times New Roman"/>
        </w:rPr>
      </w:pPr>
    </w:p>
    <w:sectPr w:rsidR="00AE41E9" w:rsidRPr="00853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E8"/>
    <w:rsid w:val="003D0297"/>
    <w:rsid w:val="003E2274"/>
    <w:rsid w:val="004E2D6B"/>
    <w:rsid w:val="00564A93"/>
    <w:rsid w:val="008537E8"/>
    <w:rsid w:val="00854195"/>
    <w:rsid w:val="00AE41E9"/>
    <w:rsid w:val="00D93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19E3"/>
  <w15:chartTrackingRefBased/>
  <w15:docId w15:val="{B7FE17E0-EE86-4A5A-8A9B-52394BE8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7E8"/>
    <w:rPr>
      <w:rFonts w:eastAsiaTheme="majorEastAsia" w:cstheme="majorBidi"/>
      <w:color w:val="272727" w:themeColor="text1" w:themeTint="D8"/>
    </w:rPr>
  </w:style>
  <w:style w:type="paragraph" w:styleId="Title">
    <w:name w:val="Title"/>
    <w:basedOn w:val="Normal"/>
    <w:next w:val="Normal"/>
    <w:link w:val="TitleChar"/>
    <w:uiPriority w:val="10"/>
    <w:qFormat/>
    <w:rsid w:val="00853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7E8"/>
    <w:pPr>
      <w:spacing w:before="160"/>
      <w:jc w:val="center"/>
    </w:pPr>
    <w:rPr>
      <w:i/>
      <w:iCs/>
      <w:color w:val="404040" w:themeColor="text1" w:themeTint="BF"/>
    </w:rPr>
  </w:style>
  <w:style w:type="character" w:customStyle="1" w:styleId="QuoteChar">
    <w:name w:val="Quote Char"/>
    <w:basedOn w:val="DefaultParagraphFont"/>
    <w:link w:val="Quote"/>
    <w:uiPriority w:val="29"/>
    <w:rsid w:val="008537E8"/>
    <w:rPr>
      <w:i/>
      <w:iCs/>
      <w:color w:val="404040" w:themeColor="text1" w:themeTint="BF"/>
    </w:rPr>
  </w:style>
  <w:style w:type="paragraph" w:styleId="ListParagraph">
    <w:name w:val="List Paragraph"/>
    <w:basedOn w:val="Normal"/>
    <w:uiPriority w:val="34"/>
    <w:qFormat/>
    <w:rsid w:val="008537E8"/>
    <w:pPr>
      <w:ind w:left="720"/>
      <w:contextualSpacing/>
    </w:pPr>
  </w:style>
  <w:style w:type="character" w:styleId="IntenseEmphasis">
    <w:name w:val="Intense Emphasis"/>
    <w:basedOn w:val="DefaultParagraphFont"/>
    <w:uiPriority w:val="21"/>
    <w:qFormat/>
    <w:rsid w:val="008537E8"/>
    <w:rPr>
      <w:i/>
      <w:iCs/>
      <w:color w:val="0F4761" w:themeColor="accent1" w:themeShade="BF"/>
    </w:rPr>
  </w:style>
  <w:style w:type="paragraph" w:styleId="IntenseQuote">
    <w:name w:val="Intense Quote"/>
    <w:basedOn w:val="Normal"/>
    <w:next w:val="Normal"/>
    <w:link w:val="IntenseQuoteChar"/>
    <w:uiPriority w:val="30"/>
    <w:qFormat/>
    <w:rsid w:val="00853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7E8"/>
    <w:rPr>
      <w:i/>
      <w:iCs/>
      <w:color w:val="0F4761" w:themeColor="accent1" w:themeShade="BF"/>
    </w:rPr>
  </w:style>
  <w:style w:type="character" w:styleId="IntenseReference">
    <w:name w:val="Intense Reference"/>
    <w:basedOn w:val="DefaultParagraphFont"/>
    <w:uiPriority w:val="32"/>
    <w:qFormat/>
    <w:rsid w:val="00853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1090</Words>
  <Characters>6215</Characters>
  <Application>Microsoft Office Word</Application>
  <DocSecurity>0</DocSecurity>
  <Lines>51</Lines>
  <Paragraphs>14</Paragraphs>
  <ScaleCrop>false</ScaleCrop>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misryaks@gmail.com</dc:creator>
  <cp:keywords/>
  <dc:description/>
  <cp:lastModifiedBy>misryaks@gmail.com</cp:lastModifiedBy>
  <cp:revision>2</cp:revision>
  <dcterms:created xsi:type="dcterms:W3CDTF">2026-09-30T08:49:00Z</dcterms:created>
  <dcterms:modified xsi:type="dcterms:W3CDTF">2026-09-30T08:49:00Z</dcterms:modified>
</cp:coreProperties>
</file>