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bril Fatface" w:hAnsi="Abril Fatface" w:cs="Abril Fatface" w:eastAsia="Abril Fatface"/>
          <w:color w:val="000000"/>
          <w:sz w:val="64"/>
          <w:szCs w:val="64"/>
        </w:rPr>
        <w:t xml:space="preserve">FinTech Compliance System — Project Report
</w:t>
      </w:r>
    </w:p>
    <w:p>
      <w:pPr>
        <w:spacing w:after="120" w:before="120" w:line="336" w:lineRule="auto"/>
        <w:ind w:firstLine="0" w:start="0"/>
        <w:jc w:val="start"/>
      </w:pPr>
      <w:r>
        <w:rPr>
          <w:rFonts w:ascii="Arimo Bold" w:hAnsi="Arimo Bold" w:cs="Arimo Bold" w:eastAsia="Arimo Bold"/>
          <w:b/>
          <w:bCs/>
          <w:color w:val="000000"/>
          <w:sz w:val="24"/>
          <w:szCs w:val="24"/>
        </w:rPr>
        <w:t>1. Executive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This project presents an end-to-end financial crime detection and compliance system built to simulate the real-world workflows used by fintech compliance teams. The system combines machine learning based fraud detection, rule based Anti-Money Laundering monitoring, Generative AI powered alert summarization, Retrieval Augmented Generation for policy question answering, and automated KYC document verification. All five components are integrated into a single live Streamlit dashboard accessible through a web browser.
</w:t>
      </w:r>
    </w:p>
    <w:p>
      <w:pPr>
        <w:spacing w:after="120" w:before="120" w:line="336" w:lineRule="auto"/>
        <w:ind w:firstLine="0" w:start="0"/>
        <w:jc w:val="start"/>
      </w:pPr>
      <w:r>
        <w:rPr>
          <w:rFonts w:ascii="Arimo Bold" w:hAnsi="Arimo Bold" w:cs="Arimo Bold" w:eastAsia="Arimo Bold"/>
          <w:b/>
          <w:bCs/>
          <w:color w:val="000000"/>
          <w:sz w:val="24"/>
          <w:szCs w:val="24"/>
        </w:rPr>
        <w:t>2. Problem Statement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Financial institutions face two distinct but related threats: transaction fraud and money laundering. Traditional fraud detection systems rely solely on machine learning models that identify anomalous transaction patterns. However, money laundering often involves transactions that appear completely normal to a fraud model but violate financial compliance regulations. No single approach catches both threats effectively. This project addresses that gap by building a layered system that detects fraud using machine learning and detects money laundering using compliance rules, combining both signals into a unified risk score for every transaction.
</w:t>
      </w:r>
    </w:p>
    <w:p>
      <w:pPr>
        <w:spacing w:after="120" w:before="120" w:line="336" w:lineRule="auto"/>
        <w:ind w:firstLine="0" w:start="0"/>
        <w:jc w:val="start"/>
      </w:pPr>
      <w:r>
        <w:rPr>
          <w:rFonts w:ascii="Arimo Bold" w:hAnsi="Arimo Bold" w:cs="Arimo Bold" w:eastAsia="Arimo Bold"/>
          <w:b/>
          <w:bCs/>
          <w:color w:val="000000"/>
          <w:sz w:val="24"/>
          <w:szCs w:val="24"/>
        </w:rPr>
        <w:t>3. Dataset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project uses the Kaggle Credit Card Fraud Detection dataset containing 284,807 real anonymized credit card transactions made by European cardholders. The dataset contains 28 PCA transformed features labeled V1 through V28, along with the original transaction Amount and Time fields. Only 492 transactions out of 284,807 are fraudulent, representing a severe class imbalance of 0.172 percent. This imbalance makes the problem significantly harder than standard classification tasks and requires specialized techniques to solve effectively.
</w:t>
      </w:r>
    </w:p>
    <w:p>
      <w:pPr>
        <w:spacing w:after="120" w:before="120" w:line="336" w:lineRule="auto"/>
        <w:ind w:firstLine="0" w:start="0"/>
        <w:jc w:val="start"/>
      </w:pPr>
      <w:r>
        <w:rPr>
          <w:rFonts w:ascii="Arimo Bold" w:hAnsi="Arimo Bold" w:cs="Arimo Bold" w:eastAsia="Arimo Bold"/>
          <w:b/>
          <w:bCs/>
          <w:color w:val="000000"/>
          <w:sz w:val="24"/>
          <w:szCs w:val="24"/>
        </w:rPr>
        <w:t>4. Module 1 — Machine Learning Fraud Detection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first module builds the core fraud detection engine. The dataset was loaded and explored to understand the severe class imbalance. The Amount and Time features were scaled using StandardScaler to bring them in line with the PCA features. The data was split 80 percent for training and 20 percent for testing with stratification to preserve the fraud ratio in both sets.
</w:t>
      </w:r>
    </w:p>
    <w:p>
      <w:pPr>
        <w:spacing w:after="120" w:before="120" w:line="336" w:lineRule="auto"/>
        <w:ind w:firstLine="0" w:start="0"/>
        <w:jc w:val="start"/>
      </w:pPr>
      <w:r>
        <w:rPr>
          <w:rFonts w:ascii="Arimo" w:hAnsi="Arimo" w:cs="Arimo" w:eastAsia="Arimo"/>
          <w:color w:val="000000"/>
          <w:sz w:val="24"/>
          <w:szCs w:val="24"/>
        </w:rPr>
        <w:t xml:space="preserve">To handle the class imbalance, SMOTE (Synthetic Minority Oversampling Technique) was applied to the training set, synthetically generating new fraud samples until the training data was balanced at 50 percent fraud and 50 percent normal. An XGBoost classifier was then trained with a scale_pos_weight parameter set to 200 to further penalize misclassification of the minority fraud class.
</w:t>
      </w:r>
    </w:p>
    <w:p>
      <w:pPr>
        <w:spacing w:after="120" w:before="120" w:line="336" w:lineRule="auto"/>
        <w:ind w:firstLine="0" w:start="0"/>
        <w:jc w:val="start"/>
      </w:pPr>
      <w:r>
        <w:rPr>
          <w:rFonts w:ascii="Arimo" w:hAnsi="Arimo" w:cs="Arimo" w:eastAsia="Arimo"/>
          <w:color w:val="000000"/>
          <w:sz w:val="24"/>
          <w:szCs w:val="24"/>
        </w:rPr>
        <w:t xml:space="preserve">The model was evaluated using ROC-AUC score, Average Precision, F1 score, and a confusion matrix. The final model achieved a ROC-AUC above 0.99, which is production level performance. The model outputs a fraud probability score between 0 and 1 for every transaction rather than a simple binary prediction, enabling fine grained risk assessment. The trained model and scaler were saved as pkl files using joblib for reuse in all subsequent modules.
</w:t>
      </w:r>
    </w:p>
    <w:p>
      <w:pPr>
        <w:spacing w:after="120" w:before="120" w:line="336" w:lineRule="auto"/>
        <w:ind w:firstLine="0" w:start="0"/>
        <w:jc w:val="start"/>
      </w:pPr>
      <w:r>
        <w:rPr>
          <w:rFonts w:ascii="Arimo Bold" w:hAnsi="Arimo Bold" w:cs="Arimo Bold" w:eastAsia="Arimo Bold"/>
          <w:b/>
          <w:bCs/>
          <w:color w:val="000000"/>
          <w:sz w:val="24"/>
          <w:szCs w:val="24"/>
        </w:rPr>
        <w:t>5. Module 2 — AML Rule Based Monitoring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second module adds an Anti-Money Laundering compliance layer on top of the fraud model without retraining anything. The saved XGBoost model is loaded and used to generate fraud probability scores for every transaction. Three AML compliance rules are then applied independently.
</w:t>
      </w:r>
    </w:p>
    <w:p>
      <w:pPr>
        <w:spacing w:after="120" w:before="120" w:line="336" w:lineRule="auto"/>
        <w:ind w:firstLine="0" w:start="0"/>
        <w:jc w:val="start"/>
      </w:pPr>
      <w:r>
        <w:rPr>
          <w:rFonts w:ascii="Arimo" w:hAnsi="Arimo" w:cs="Arimo" w:eastAsia="Arimo"/>
          <w:color w:val="000000"/>
          <w:sz w:val="24"/>
          <w:szCs w:val="24"/>
        </w:rPr>
        <w:t xml:space="preserve">The structuring flag detects transactions where the amount falls between 8,000 and 9,999 dollars. In real banking, transactions above 10,000 dollars must be reported to government regulators. Criminals deliberately keep amounts just below this threshold to avoid reporting requirements. This behavior is known as structuring and is illegal under the Bank Secrecy Act regardless of whether the underlying funds are fraudulent.
</w:t>
      </w:r>
    </w:p>
    <w:p>
      <w:pPr>
        <w:spacing w:after="120" w:before="120" w:line="336" w:lineRule="auto"/>
        <w:ind w:firstLine="0" w:start="0"/>
        <w:jc w:val="start"/>
      </w:pPr>
      <w:r>
        <w:rPr>
          <w:rFonts w:ascii="Arimo" w:hAnsi="Arimo" w:cs="Arimo" w:eastAsia="Arimo"/>
          <w:color w:val="000000"/>
          <w:sz w:val="24"/>
          <w:szCs w:val="24"/>
        </w:rPr>
        <w:t xml:space="preserve">The round amount flag detects transactions where the amount is exactly divisible by 500, such as 500, 1000, 5000, or 9500. Real consumer spending is never perfectly round. Suspiciously round amounts indicate deliberate money movement rather than organic purchases, which is a known indicator of money laundering placement activity.
</w:t>
      </w:r>
    </w:p>
    <w:p>
      <w:pPr>
        <w:spacing w:after="120" w:before="120" w:line="336" w:lineRule="auto"/>
        <w:ind w:firstLine="0" w:start="0"/>
        <w:jc w:val="start"/>
      </w:pPr>
      <w:r>
        <w:rPr>
          <w:rFonts w:ascii="Arimo" w:hAnsi="Arimo" w:cs="Arimo" w:eastAsia="Arimo"/>
          <w:color w:val="000000"/>
          <w:sz w:val="24"/>
          <w:szCs w:val="24"/>
        </w:rPr>
        <w:t xml:space="preserve">The velocity flag detects when the same behavioral pattern appears more than three times within a compressed time window. This catches layering, a money laundering technique where criminals rapidly move money across multiple transactions to obscure its origin and make it harder to trace.
</w:t>
      </w:r>
    </w:p>
    <w:p>
      <w:pPr>
        <w:spacing w:after="120" w:before="120" w:line="336" w:lineRule="auto"/>
        <w:ind w:firstLine="0" w:start="0"/>
        <w:jc w:val="start"/>
      </w:pPr>
      <w:r>
        <w:rPr>
          <w:rFonts w:ascii="Arimo" w:hAnsi="Arimo" w:cs="Arimo" w:eastAsia="Arimo"/>
          <w:color w:val="000000"/>
          <w:sz w:val="24"/>
          <w:szCs w:val="24"/>
        </w:rPr>
        <w:t xml:space="preserve">Each transaction receives a count of how many AML flags it triggered. A combined risk score is then calculated using the formula: combined risk score equals fraud probability multiplied by 0.7 plus AML flag count multiplied by 0.1, capped at 1.0. The fraud probability carries 70 percent weight because it is the model's calibrated probabilistic estimate. Each AML flag adds 10 percent because rules are binary signals rather than probability estimates. Every transaction is then classified as LOW, MEDIUM, HIGH, or CRITICAL risk with a corresponding recommended action of ALLOW, REVIEW, or BLOCK.
</w:t>
      </w:r>
    </w:p>
    <w:p>
      <w:pPr>
        <w:spacing w:after="120" w:before="120" w:line="336" w:lineRule="auto"/>
        <w:ind w:firstLine="0" w:start="0"/>
        <w:jc w:val="start"/>
      </w:pPr>
      <w:r>
        <w:rPr>
          <w:rFonts w:ascii="Arimo Bold" w:hAnsi="Arimo Bold" w:cs="Arimo Bold" w:eastAsia="Arimo Bold"/>
          <w:b/>
          <w:bCs/>
          <w:color w:val="000000"/>
          <w:sz w:val="24"/>
          <w:szCs w:val="24"/>
        </w:rPr>
        <w:t>6. Module 3 — GenAI Alert Summarization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third module addresses a key challenge in compliance operations: communicating risk to non-technical compliance officers. A transaction scoring HIGH or CRITICAL means nothing to a compliance analyst unless they understand why it was flagged and what it means in regulatory terms.
</w:t>
      </w:r>
    </w:p>
    <w:p>
      <w:pPr>
        <w:spacing w:after="120" w:before="120" w:line="336" w:lineRule="auto"/>
        <w:ind w:firstLine="0" w:start="0"/>
        <w:jc w:val="start"/>
      </w:pPr>
      <w:r>
        <w:rPr>
          <w:rFonts w:ascii="Arimo" w:hAnsi="Arimo" w:cs="Arimo" w:eastAsia="Arimo"/>
          <w:color w:val="000000"/>
          <w:sz w:val="24"/>
          <w:szCs w:val="24"/>
        </w:rPr>
        <w:t xml:space="preserve">This module takes every HIGH and CRITICAL transaction, builds a structured description of its fraud probability, AML flags triggered, risk level, and recommended action, and sends it to the Gemini large language model with a prompt instructing it to act as a senior financial compliance analyst. The model generates a professional two sentence compliance alert paragraph explaining what was detected, what financial crime behavior it is consistent with, and what the compliance team should do next.
</w:t>
      </w:r>
    </w:p>
    <w:p>
      <w:pPr>
        <w:spacing w:after="120" w:before="120" w:line="336" w:lineRule="auto"/>
        <w:ind w:firstLine="0" w:start="0"/>
        <w:jc w:val="start"/>
      </w:pPr>
      <w:r>
        <w:rPr>
          <w:rFonts w:ascii="Arimo" w:hAnsi="Arimo" w:cs="Arimo" w:eastAsia="Arimo"/>
          <w:color w:val="000000"/>
          <w:sz w:val="24"/>
          <w:szCs w:val="24"/>
        </w:rPr>
        <w:t xml:space="preserve">This output mirrors exactly what a real compliance case management system produces for a human analyst to review each morning. The generated alerts are stored alongside each flagged transaction in the output dataset.
</w:t>
      </w:r>
    </w:p>
    <w:p>
      <w:pPr>
        <w:spacing w:after="120" w:before="120" w:line="336" w:lineRule="auto"/>
        <w:ind w:firstLine="0" w:start="0"/>
        <w:jc w:val="start"/>
      </w:pPr>
      <w:r>
        <w:rPr>
          <w:rFonts w:ascii="Arimo Bold" w:hAnsi="Arimo Bold" w:cs="Arimo Bold" w:eastAsia="Arimo Bold"/>
          <w:b/>
          <w:bCs/>
          <w:color w:val="000000"/>
          <w:sz w:val="24"/>
          <w:szCs w:val="24"/>
        </w:rPr>
        <w:t>7. Module 4 — RAG Pipeline for AML Policy Q&amp;A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fourth module builds a Retrieval Augmented Generation system that allows users to ask natural language questions about AML policy and receive answers grounded in official regulatory documents rather than the model's general training knowledge.
</w:t>
      </w:r>
    </w:p>
    <w:p>
      <w:pPr>
        <w:spacing w:after="120" w:before="120" w:line="336" w:lineRule="auto"/>
        <w:ind w:firstLine="0" w:start="0"/>
        <w:jc w:val="start"/>
      </w:pPr>
      <w:r>
        <w:rPr>
          <w:rFonts w:ascii="Arimo" w:hAnsi="Arimo" w:cs="Arimo" w:eastAsia="Arimo"/>
          <w:color w:val="000000"/>
          <w:sz w:val="24"/>
          <w:szCs w:val="24"/>
        </w:rPr>
        <w:t xml:space="preserve">The FATF 40 Recommendations PDF, the international standard for anti-money laundering policy, was downloaded and processed using PyMuPDF. The document was split into chunks of approximately 500 characters with 50 character overlaps to preserve context at chunk boundaries. Each chunk was converted into a 384 dimensional vector embedding using the all-MiniLM-L6-v2 sentence transformer model and uploaded to a Pinecone vector database.
</w:t>
      </w:r>
    </w:p>
    <w:p>
      <w:pPr>
        <w:spacing w:after="120" w:before="120" w:line="336" w:lineRule="auto"/>
        <w:ind w:firstLine="0" w:start="0"/>
        <w:jc w:val="start"/>
      </w:pPr>
      <w:r>
        <w:rPr>
          <w:rFonts w:ascii="Arimo" w:hAnsi="Arimo" w:cs="Arimo" w:eastAsia="Arimo"/>
          <w:color w:val="000000"/>
          <w:sz w:val="24"/>
          <w:szCs w:val="24"/>
        </w:rPr>
        <w:t xml:space="preserve">When a user asks a question, the question is converted to a vector using the same embedding model. Pinecone performs a cosine similarity search to retrieve the two most relevant policy chunks. These chunks are passed to Gemini as context along with the question, and Gemini generates a two sentence answer grounded only in the retrieved policy text. This ensures all answers are traceable to actual FATF regulatory content rather than hallucinated responses.
</w:t>
      </w:r>
    </w:p>
    <w:p>
      <w:pPr>
        <w:spacing w:after="120" w:before="120" w:line="336" w:lineRule="auto"/>
        <w:ind w:firstLine="0" w:start="0"/>
        <w:jc w:val="start"/>
      </w:pPr>
      <w:r>
        <w:rPr>
          <w:rFonts w:ascii="Arimo" w:hAnsi="Arimo" w:cs="Arimo" w:eastAsia="Arimo"/>
          <w:color w:val="000000"/>
          <w:sz w:val="24"/>
          <w:szCs w:val="24"/>
        </w:rPr>
        <w:t xml:space="preserve">This module also connects to flagged transactions, automatically querying the policy to generate a regulatory justification for why each HIGH or CRITICAL transaction was flagged.
</w:t>
      </w:r>
    </w:p>
    <w:p>
      <w:pPr>
        <w:spacing w:after="120" w:before="120" w:line="336" w:lineRule="auto"/>
        <w:ind w:firstLine="0" w:start="0"/>
        <w:jc w:val="start"/>
      </w:pPr>
      <w:r>
        <w:rPr>
          <w:rFonts w:ascii="Arimo Bold" w:hAnsi="Arimo Bold" w:cs="Arimo Bold" w:eastAsia="Arimo Bold"/>
          <w:b/>
          <w:bCs/>
          <w:color w:val="000000"/>
          <w:sz w:val="24"/>
          <w:szCs w:val="24"/>
        </w:rPr>
        <w:t>8. Module 5 — KYC Document Verification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fifth module automates Know Your Customer document processing and validation. Five mock KYC documents were created representing customers from different countries with different risk profiles including underage customers, customers with expired IDs, and customers with valid documentation.
</w:t>
      </w:r>
    </w:p>
    <w:p>
      <w:pPr>
        <w:spacing w:after="120" w:before="120" w:line="336" w:lineRule="auto"/>
        <w:ind w:firstLine="0" w:start="0"/>
        <w:jc w:val="start"/>
      </w:pPr>
      <w:r>
        <w:rPr>
          <w:rFonts w:ascii="Arimo" w:hAnsi="Arimo" w:cs="Arimo" w:eastAsia="Arimo"/>
          <w:color w:val="000000"/>
          <w:sz w:val="24"/>
          <w:szCs w:val="24"/>
        </w:rPr>
        <w:t xml:space="preserve">Each document is read using PyMuPDF for PDF files or plain text reading for text files. The document text is sent to Gemini with a concise prompt instructing it to extract five structured fields: full name, date of birth, national ID number, address, and ID expiry date, returning the result as a JSON object.
</w:t>
      </w:r>
    </w:p>
    <w:p>
      <w:pPr>
        <w:spacing w:after="120" w:before="120" w:line="336" w:lineRule="auto"/>
        <w:ind w:firstLine="0" w:start="0"/>
        <w:jc w:val="start"/>
      </w:pPr>
      <w:r>
        <w:rPr>
          <w:rFonts w:ascii="Arimo" w:hAnsi="Arimo" w:cs="Arimo" w:eastAsia="Arimo"/>
          <w:color w:val="000000"/>
          <w:sz w:val="24"/>
          <w:szCs w:val="24"/>
        </w:rPr>
        <w:t xml:space="preserve">A validation layer then checks the extracted fields using pure Python logic with no additional API calls. The age validation calculates the customer's age from the date of birth and flags anyone under 18 as HIGH RISK underage. The expiry validation checks if the ID has already expired, flagging it as HIGH RISK, or if it expires within 90 days, flagging it as MEDIUM RISK. Missing critical fields are flagged for REVIEW. Each document receives a final KYC status of CLEAR, MEDIUM RISK, HIGH RISK, or REVIEW.
</w:t>
      </w:r>
    </w:p>
    <w:p>
      <w:pPr>
        <w:spacing w:after="120" w:before="120" w:line="336" w:lineRule="auto"/>
        <w:ind w:firstLine="0" w:start="0"/>
        <w:jc w:val="start"/>
      </w:pPr>
      <w:r>
        <w:rPr>
          <w:rFonts w:ascii="Arimo Bold" w:hAnsi="Arimo Bold" w:cs="Arimo Bold" w:eastAsia="Arimo Bold"/>
          <w:b/>
          <w:bCs/>
          <w:color w:val="000000"/>
          <w:sz w:val="24"/>
          <w:szCs w:val="24"/>
        </w:rPr>
        <w:t>9. Streamlit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All five modules are integrated into a single four page Streamlit web dashboard deployed using ngrok for public access from Google Colab.
</w:t>
      </w:r>
    </w:p>
    <w:p>
      <w:pPr>
        <w:spacing w:after="120" w:before="120" w:line="336" w:lineRule="auto"/>
        <w:ind w:firstLine="0" w:start="0"/>
        <w:jc w:val="start"/>
      </w:pPr>
      <w:r>
        <w:rPr>
          <w:rFonts w:ascii="Arimo" w:hAnsi="Arimo" w:cs="Arimo" w:eastAsia="Arimo"/>
          <w:color w:val="000000"/>
          <w:sz w:val="24"/>
          <w:szCs w:val="24"/>
        </w:rPr>
        <w:t xml:space="preserve">Page one handles transaction scoring. Users upload any CSV of credit card transactions and the system scores every transaction through the XGBoost model and AML rules, displaying a color coded risk table with green for LOW, yellow for MEDIUM, red for HIGH, and dark red for CRITICAL. Summary metrics show total transactions, HIGH count, CRITICAL count, and blocked count. A download button exports the full scored dataset.
</w:t>
      </w:r>
    </w:p>
    <w:p>
      <w:pPr>
        <w:spacing w:after="120" w:before="120" w:line="336" w:lineRule="auto"/>
        <w:ind w:firstLine="0" w:start="0"/>
        <w:jc w:val="start"/>
      </w:pPr>
      <w:r>
        <w:rPr>
          <w:rFonts w:ascii="Arimo" w:hAnsi="Arimo" w:cs="Arimo" w:eastAsia="Arimo"/>
          <w:color w:val="000000"/>
          <w:sz w:val="24"/>
          <w:szCs w:val="24"/>
        </w:rPr>
        <w:t xml:space="preserve">Page two handles alert generation. Users select any HIGH or CRITICAL transaction from a dropdown showing the amount and risk level. The transaction details are displayed including all three AML flags. A button triggers Gemini to generate a professional compliance alert paragraph for that specific transaction.
</w:t>
      </w:r>
    </w:p>
    <w:p>
      <w:pPr>
        <w:spacing w:after="120" w:before="120" w:line="336" w:lineRule="auto"/>
        <w:ind w:firstLine="0" w:start="0"/>
        <w:jc w:val="start"/>
      </w:pPr>
      <w:r>
        <w:rPr>
          <w:rFonts w:ascii="Arimo" w:hAnsi="Arimo" w:cs="Arimo" w:eastAsia="Arimo"/>
          <w:color w:val="000000"/>
          <w:sz w:val="24"/>
          <w:szCs w:val="24"/>
        </w:rPr>
        <w:t xml:space="preserve">Page three is the AML Policy Q&amp;A chatbox. Users can type any AML compliance question or click one of four sample question buttons. The RAG system retrieves relevant FATF policy chunks from Pinecone and Gemini generates a grounded answer. Full conversation history is maintained with a clear chat option.
</w:t>
      </w:r>
    </w:p>
    <w:p>
      <w:pPr>
        <w:spacing w:after="120" w:before="120" w:line="336" w:lineRule="auto"/>
        <w:ind w:firstLine="0" w:start="0"/>
        <w:jc w:val="start"/>
      </w:pPr>
      <w:r>
        <w:rPr>
          <w:rFonts w:ascii="Arimo" w:hAnsi="Arimo" w:cs="Arimo" w:eastAsia="Arimo"/>
          <w:color w:val="000000"/>
          <w:sz w:val="24"/>
          <w:szCs w:val="24"/>
        </w:rPr>
        <w:t xml:space="preserve">Page four handles KYC verification. Users upload any TXT or PDF KYC document. The system extracts all five fields using Gemini, displays them in an editable form, and runs the validation checks showing green ticks for passed checks and red crosses for failed checks. A large colored banner displays the final KYC status.
</w:t>
      </w:r>
    </w:p>
    <w:p>
      <w:pPr>
        <w:spacing w:after="120" w:before="120" w:line="336" w:lineRule="auto"/>
        <w:ind w:firstLine="0" w:start="0"/>
        <w:jc w:val="start"/>
      </w:pPr>
      <w:r>
        <w:rPr>
          <w:rFonts w:ascii="Arimo Bold" w:hAnsi="Arimo Bold" w:cs="Arimo Bold" w:eastAsia="Arimo Bold"/>
          <w:b/>
          <w:bCs/>
          <w:color w:val="000000"/>
          <w:sz w:val="24"/>
          <w:szCs w:val="24"/>
        </w:rPr>
        <w:t>10. Technical Architecture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system follows a modular pipeline architecture. Raw transaction data enters through the Streamlit upload interface. The XGBoost model generates fraud probability scores. The AML rule engine applies three compliance checks. A combined risk scorer merges both signals. For HIGH and CRITICAL transactions, Gemini generates natural language alerts. The Pinecone RAG system provides policy grounded justifications. The KYC module processes identity documents independently. All outputs are displayed through the Streamlit dashboard.
</w:t>
      </w:r>
    </w:p>
    <w:p>
      <w:pPr>
        <w:spacing w:after="120" w:before="120" w:line="336" w:lineRule="auto"/>
        <w:ind w:firstLine="0" w:start="0"/>
        <w:jc w:val="start"/>
      </w:pPr>
      <w:r>
        <w:rPr>
          <w:rFonts w:ascii="Arimo Bold" w:hAnsi="Arimo Bold" w:cs="Arimo Bold" w:eastAsia="Arimo Bold"/>
          <w:b/>
          <w:bCs/>
          <w:color w:val="000000"/>
          <w:sz w:val="24"/>
          <w:szCs w:val="24"/>
        </w:rPr>
        <w:t>11. Technologies Used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project uses Python as the core language. XGBoost handles gradient boosted fraud classification. Scikit-learn provides preprocessing and evaluation metrics. Imbalanced-learn provides SMOTE for class balancing. Joblib handles model serialization. Pandas and NumPy handle data processing. PyMuPDF handles PDF reading. Sentence Transformers generate vector embeddings. Pinecone provides vector database storage and similarity search. Google Gemini API provides large language model capabilities for alert generation, RAG answering, and KYC extraction. Streamlit provides the interactive web dashboard. Pyngrok exposes the dashboard publicly. Google Colab and Google Drive provide the cloud computing and storage environment.
</w:t>
      </w:r>
    </w:p>
    <w:p>
      <w:pPr>
        <w:spacing w:after="120" w:before="120" w:line="336" w:lineRule="auto"/>
        <w:ind w:firstLine="0" w:start="0"/>
        <w:jc w:val="start"/>
      </w:pPr>
      <w:r>
        <w:rPr>
          <w:rFonts w:ascii="Arimo Bold" w:hAnsi="Arimo Bold" w:cs="Arimo Bold" w:eastAsia="Arimo Bold"/>
          <w:b/>
          <w:bCs/>
          <w:color w:val="000000"/>
          <w:sz w:val="24"/>
          <w:szCs w:val="24"/>
        </w:rPr>
        <w:t>12. Results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The fraud detection model achieved ROC-AUC above 0.99 on the test set. The AML layer successfully detected structuring patterns, round amount anomalies, and velocity based layering behaviors that the ML model alone would not catch. The combined risk scoring system correctly classified transactions into four risk tiers. The GenAI alert module generated professional compliance ready paragraphs for every flagged transaction. The RAG pipeline retrieved relevant FATF policy context and generated accurate grounded answers. The KYC module correctly identified underage customers, expired IDs, and missing fields across all test documents.
</w:t>
      </w:r>
    </w:p>
    <w:p>
      <w:pPr>
        <w:spacing w:after="120" w:before="120" w:line="336" w:lineRule="auto"/>
        <w:ind w:firstLine="0" w:start="0"/>
        <w:jc w:val="start"/>
      </w:pPr>
      <w:r>
        <w:rPr>
          <w:rFonts w:ascii="Arimo Bold" w:hAnsi="Arimo Bold" w:cs="Arimo Bold" w:eastAsia="Arimo Bold"/>
          <w:b/>
          <w:bCs/>
          <w:color w:val="000000"/>
          <w:sz w:val="24"/>
          <w:szCs w:val="24"/>
        </w:rPr>
        <w:t>13. Real World Relevance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This system directly mirrors the architecture used by fintech compliance teams in production. The machine learning fraud engine corresponds to a bank's real time fraud detection system. The AML rule layer corresponds to a transaction monitoring system. The combined risk score corresponds to what a compliance analyst reviews each morning. The GenAI alerts correspond to automated case narrative generation. The RAG pipeline corresponds to a regulatory knowledge base. The KYC module corresponds to automated customer onboarding verification. Together these five components represent the core technical workflow of a financial crime prevention team.
</w:t>
      </w:r>
    </w:p>
    <w:p>
      <w:pPr>
        <w:spacing w:after="120" w:before="120" w:line="336" w:lineRule="auto"/>
        <w:ind w:firstLine="0" w:start="0"/>
        <w:jc w:val="start"/>
      </w:pPr>
      <w:r>
        <w:rPr>
          <w:rFonts w:ascii="Arimo Bold" w:hAnsi="Arimo Bold" w:cs="Arimo Bold" w:eastAsia="Arimo Bold"/>
          <w:b/>
          <w:bCs/>
          <w:color w:val="000000"/>
          <w:sz w:val="24"/>
          <w:szCs w:val="24"/>
        </w:rPr>
        <w:t>14. Conclusion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This project demonstrates applied data science skills across the full spectrum of fintech compliance: machine learning, rule based systems, generative AI, retrieval augmented generation, and document processing, all integrated into a production ready dashboard. The system goes significantly beyond standard fraud detection by addressing the broader financial crime prevention challenge that real institutions like MOZN solve every day.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Abril Fatface">
    <w:panose1 w:val="02000503000000020003"/>
    <w:charset w:characterSet="1"/>
    <w:embedRegular r:id="rId5"/>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2026-06-24T19:55:58Z</dcterms:created>
  <dc:creator>Apache POI</dc:creator>
  <dc:title>FinTech Compliance System — Project Report</dc:title>
</cp:coreProperties>
</file>