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E7D32"/>
          <w:sz w:val="19"/>
        </w:rPr>
        <w:t>TANIADAPT RESEARCH DOSSIER • PEER-REVIEW MEMORANDUM</w:t>
      </w:r>
    </w:p>
    <w:p>
      <w:pPr>
        <w:spacing w:after="80"/>
      </w:pPr>
      <w:r>
        <w:rPr>
          <w:rFonts w:ascii="Arial" w:hAnsi="Arial"/>
          <w:b/>
          <w:color w:val="1B5E20"/>
          <w:sz w:val="40"/>
        </w:rPr>
        <w:t>Audit Metodologis Komprehensif, Rekonsiliasi Ekonometrika &amp; Sintesis Exploratory Data Analysis (Phase 5 &amp; Phase 6)</w:t>
      </w:r>
    </w:p>
    <w:p>
      <w:pPr>
        <w:spacing w:after="240"/>
      </w:pPr>
      <w:r>
        <w:rPr>
          <w:rFonts w:ascii="Arial" w:hAnsi="Arial"/>
          <w:color w:val="455A64"/>
          <w:sz w:val="22"/>
        </w:rPr>
        <w:t>Laporan Teknis Standar PhD Data Scientist: Problem Formulation Protocol, Isolasi Artefak Administratif, Derajat Bebas Spasial (Neff &amp; Demeaned PCA), Inferensi Two-Way Fixed Effects, Wild Cluster Bootstrap Webb, dan Keputusan Arsitektur Komoditas.</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3168"/>
            <w:shd w:fill="1B5E20"/>
            <w:tcMar>
              <w:top w:w="70" w:type="dxa"/>
              <w:bottom w:w="70" w:type="dxa"/>
              <w:left w:w="90" w:type="dxa"/>
              <w:right w:w="90" w:type="dxa"/>
            </w:tcMar>
          </w:tcPr>
          <w:p>
            <w:pPr>
              <w:spacing w:after="0" w:line="252" w:lineRule="auto"/>
            </w:pPr>
            <w:r>
              <w:rPr>
                <w:rFonts w:ascii="Calibri" w:hAnsi="Calibri"/>
                <w:b/>
                <w:color w:val="FFFFFF"/>
                <w:sz w:val="17"/>
              </w:rPr>
              <w:t>Parameter Audit Repositori</w:t>
            </w:r>
          </w:p>
        </w:tc>
        <w:tc>
          <w:tcPr>
            <w:tcW w:type="dxa" w:w="6192"/>
            <w:shd w:fill="1B5E20"/>
            <w:tcMar>
              <w:top w:w="70" w:type="dxa"/>
              <w:bottom w:w="70" w:type="dxa"/>
              <w:left w:w="90" w:type="dxa"/>
              <w:right w:w="90" w:type="dxa"/>
            </w:tcMar>
          </w:tcPr>
          <w:p>
            <w:pPr>
              <w:spacing w:after="0" w:line="252" w:lineRule="auto"/>
            </w:pPr>
            <w:r>
              <w:rPr>
                <w:rFonts w:ascii="Calibri" w:hAnsi="Calibri"/>
                <w:b/>
                <w:color w:val="FFFFFF"/>
                <w:sz w:val="17"/>
              </w:rPr>
              <w:t>Nilai &amp; Status Verifikasi</w:t>
            </w:r>
          </w:p>
        </w:tc>
      </w:tr>
      <w:tr>
        <w:trPr>
          <w:cantSplit/>
        </w:trPr>
        <w:tc>
          <w:tcPr>
            <w:tcW w:type="dxa" w:w="3168"/>
            <w:shd w:fill="F1F8E9"/>
            <w:tcMar>
              <w:top w:w="50" w:type="dxa"/>
              <w:bottom w:w="50" w:type="dxa"/>
              <w:left w:w="70" w:type="dxa"/>
              <w:right w:w="70" w:type="dxa"/>
            </w:tcMar>
          </w:tcPr>
          <w:p>
            <w:pPr>
              <w:spacing w:after="0" w:line="252" w:lineRule="auto"/>
            </w:pPr>
            <w:r>
              <w:rPr>
                <w:rFonts w:ascii="Calibri" w:hAnsi="Calibri"/>
                <w:b/>
                <w:sz w:val="16"/>
              </w:rPr>
              <w:t>Ditujukan Kepada:</w:t>
            </w:r>
          </w:p>
        </w:tc>
        <w:tc>
          <w:tcPr>
            <w:tcW w:type="dxa" w:w="6192"/>
            <w:shd w:fill="F1F8E9"/>
            <w:tcMar>
              <w:top w:w="50" w:type="dxa"/>
              <w:bottom w:w="50" w:type="dxa"/>
              <w:left w:w="70" w:type="dxa"/>
              <w:right w:w="70" w:type="dxa"/>
            </w:tcMar>
          </w:tcPr>
          <w:p>
            <w:pPr>
              <w:spacing w:after="0" w:line="252" w:lineRule="auto"/>
            </w:pPr>
            <w:r>
              <w:rPr>
                <w:rFonts w:ascii="Calibri" w:hAnsi="Calibri"/>
                <w:sz w:val="16"/>
              </w:rPr>
              <w:t>Claude (Independent Reviewer, Econometrician &amp; Architecture Collaborator)</w:t>
            </w:r>
          </w:p>
        </w:tc>
      </w:tr>
      <w:tr>
        <w:trPr>
          <w:cantSplit/>
        </w:trPr>
        <w:tc>
          <w:tcPr>
            <w:tcW w:type="dxa" w:w="3168"/>
            <w:shd w:fill="FFFFFF"/>
            <w:tcMar>
              <w:top w:w="50" w:type="dxa"/>
              <w:bottom w:w="50" w:type="dxa"/>
              <w:left w:w="70" w:type="dxa"/>
              <w:right w:w="70" w:type="dxa"/>
            </w:tcMar>
          </w:tcPr>
          <w:p>
            <w:pPr>
              <w:spacing w:after="0" w:line="252" w:lineRule="auto"/>
            </w:pPr>
            <w:r>
              <w:rPr>
                <w:rFonts w:ascii="Calibri" w:hAnsi="Calibri"/>
                <w:b/>
                <w:sz w:val="16"/>
              </w:rPr>
              <w:t>Disusun Oleh:</w:t>
            </w:r>
          </w:p>
        </w:tc>
        <w:tc>
          <w:tcPr>
            <w:tcW w:type="dxa" w:w="6192"/>
            <w:shd w:fill="FFFFFF"/>
            <w:tcMar>
              <w:top w:w="50" w:type="dxa"/>
              <w:bottom w:w="50" w:type="dxa"/>
              <w:left w:w="70" w:type="dxa"/>
              <w:right w:w="70" w:type="dxa"/>
            </w:tcMar>
          </w:tcPr>
          <w:p>
            <w:pPr>
              <w:spacing w:after="0" w:line="252" w:lineRule="auto"/>
            </w:pPr>
            <w:r>
              <w:rPr>
                <w:rFonts w:ascii="Calibri" w:hAnsi="Calibri"/>
                <w:sz w:val="16"/>
              </w:rPr>
              <w:t>Antigravity Research Pair (PhD-Level Data Science Specialist)</w:t>
            </w:r>
          </w:p>
        </w:tc>
      </w:tr>
      <w:tr>
        <w:trPr>
          <w:cantSplit/>
        </w:trPr>
        <w:tc>
          <w:tcPr>
            <w:tcW w:type="dxa" w:w="3168"/>
            <w:shd w:fill="F1F8E9"/>
            <w:tcMar>
              <w:top w:w="50" w:type="dxa"/>
              <w:bottom w:w="50" w:type="dxa"/>
              <w:left w:w="70" w:type="dxa"/>
              <w:right w:w="70" w:type="dxa"/>
            </w:tcMar>
          </w:tcPr>
          <w:p>
            <w:pPr>
              <w:spacing w:after="0" w:line="252" w:lineRule="auto"/>
            </w:pPr>
            <w:r>
              <w:rPr>
                <w:rFonts w:ascii="Calibri" w:hAnsi="Calibri"/>
                <w:b/>
                <w:sz w:val="16"/>
              </w:rPr>
              <w:t>Unit Wilayah &amp; Periode:</w:t>
            </w:r>
          </w:p>
        </w:tc>
        <w:tc>
          <w:tcPr>
            <w:tcW w:type="dxa" w:w="6192"/>
            <w:shd w:fill="F1F8E9"/>
            <w:tcMar>
              <w:top w:w="50" w:type="dxa"/>
              <w:bottom w:w="50" w:type="dxa"/>
              <w:left w:w="70" w:type="dxa"/>
              <w:right w:w="70" w:type="dxa"/>
            </w:tcMar>
          </w:tcPr>
          <w:p>
            <w:pPr>
              <w:spacing w:after="0" w:line="252" w:lineRule="auto"/>
            </w:pPr>
            <w:r>
              <w:rPr>
                <w:rFonts w:ascii="Calibri" w:hAnsi="Calibri"/>
                <w:sz w:val="16"/>
              </w:rPr>
              <w:t>27 Kabupaten/Kota Jawa Barat (ADM2 geoBoundaries) • 2015 s.d. 2024</w:t>
            </w:r>
          </w:p>
        </w:tc>
      </w:tr>
      <w:tr>
        <w:trPr>
          <w:cantSplit/>
        </w:trPr>
        <w:tc>
          <w:tcPr>
            <w:tcW w:type="dxa" w:w="3168"/>
            <w:shd w:fill="FFFFFF"/>
            <w:tcMar>
              <w:top w:w="50" w:type="dxa"/>
              <w:bottom w:w="50" w:type="dxa"/>
              <w:left w:w="70" w:type="dxa"/>
              <w:right w:w="70" w:type="dxa"/>
            </w:tcMar>
          </w:tcPr>
          <w:p>
            <w:pPr>
              <w:spacing w:after="0" w:line="252" w:lineRule="auto"/>
            </w:pPr>
            <w:r>
              <w:rPr>
                <w:rFonts w:ascii="Calibri" w:hAnsi="Calibri"/>
                <w:b/>
                <w:sz w:val="16"/>
              </w:rPr>
              <w:t>Protokol Ekonometrika:</w:t>
            </w:r>
          </w:p>
        </w:tc>
        <w:tc>
          <w:tcPr>
            <w:tcW w:type="dxa" w:w="6192"/>
            <w:shd w:fill="FFFFFF"/>
            <w:tcMar>
              <w:top w:w="50" w:type="dxa"/>
              <w:bottom w:w="50" w:type="dxa"/>
              <w:left w:w="70" w:type="dxa"/>
              <w:right w:w="70" w:type="dxa"/>
            </w:tcMar>
          </w:tcPr>
          <w:p>
            <w:pPr>
              <w:spacing w:after="0" w:line="252" w:lineRule="auto"/>
            </w:pPr>
            <w:r>
              <w:rPr>
                <w:rFonts w:ascii="Calibri" w:hAnsi="Calibri"/>
                <w:sz w:val="16"/>
              </w:rPr>
              <w:t>Two-Way Fixed Effects, Wild Cluster Bootstrap Webb (2014), MDE (2.8 x SE), LOO Sensitivity</w:t>
            </w:r>
          </w:p>
        </w:tc>
      </w:tr>
      <w:tr>
        <w:trPr>
          <w:cantSplit/>
        </w:trPr>
        <w:tc>
          <w:tcPr>
            <w:tcW w:type="dxa" w:w="3168"/>
            <w:shd w:fill="F1F8E9"/>
            <w:tcMar>
              <w:top w:w="50" w:type="dxa"/>
              <w:bottom w:w="50" w:type="dxa"/>
              <w:left w:w="70" w:type="dxa"/>
              <w:right w:w="70" w:type="dxa"/>
            </w:tcMar>
          </w:tcPr>
          <w:p>
            <w:pPr>
              <w:spacing w:after="0" w:line="252" w:lineRule="auto"/>
            </w:pPr>
            <w:r>
              <w:rPr>
                <w:rFonts w:ascii="Calibri" w:hAnsi="Calibri"/>
                <w:b/>
                <w:sz w:val="16"/>
              </w:rPr>
              <w:t>Integritas Sumber Data:</w:t>
            </w:r>
          </w:p>
        </w:tc>
        <w:tc>
          <w:tcPr>
            <w:tcW w:type="dxa" w:w="6192"/>
            <w:shd w:fill="F1F8E9"/>
            <w:tcMar>
              <w:top w:w="50" w:type="dxa"/>
              <w:bottom w:w="50" w:type="dxa"/>
              <w:left w:w="70" w:type="dxa"/>
              <w:right w:w="70" w:type="dxa"/>
            </w:tcMar>
          </w:tcPr>
          <w:p>
            <w:pPr>
              <w:spacing w:after="0" w:line="252" w:lineRule="auto"/>
            </w:pPr>
            <w:r>
              <w:rPr>
                <w:rFonts w:ascii="Calibri" w:hAnsi="Calibri"/>
                <w:sz w:val="16"/>
              </w:rPr>
              <w:t>BPS Manual Input Resmi (bps_manual_input.csv), AgERA5 Copernicus, CHIRPS NOAA ERDDAP</w:t>
            </w:r>
          </w:p>
        </w:tc>
      </w:tr>
      <w:tr>
        <w:trPr>
          <w:cantSplit/>
        </w:trPr>
        <w:tc>
          <w:tcPr>
            <w:tcW w:type="dxa" w:w="3168"/>
            <w:shd w:fill="FFFFFF"/>
            <w:tcMar>
              <w:top w:w="50" w:type="dxa"/>
              <w:bottom w:w="50" w:type="dxa"/>
              <w:left w:w="70" w:type="dxa"/>
              <w:right w:w="70" w:type="dxa"/>
            </w:tcMar>
          </w:tcPr>
          <w:p>
            <w:pPr>
              <w:spacing w:after="0" w:line="252" w:lineRule="auto"/>
            </w:pPr>
            <w:r>
              <w:rPr>
                <w:rFonts w:ascii="Calibri" w:hAnsi="Calibri"/>
                <w:b/>
                <w:sz w:val="16"/>
              </w:rPr>
              <w:t>Status Repositori:</w:t>
            </w:r>
          </w:p>
        </w:tc>
        <w:tc>
          <w:tcPr>
            <w:tcW w:type="dxa" w:w="6192"/>
            <w:shd w:fill="FFFFFF"/>
            <w:tcMar>
              <w:top w:w="50" w:type="dxa"/>
              <w:bottom w:w="50" w:type="dxa"/>
              <w:left w:w="70" w:type="dxa"/>
              <w:right w:w="70" w:type="dxa"/>
            </w:tcMar>
          </w:tcPr>
          <w:p>
            <w:pPr>
              <w:spacing w:after="0" w:line="252" w:lineRule="auto"/>
            </w:pPr>
            <w:r>
              <w:rPr>
                <w:rFonts w:ascii="Calibri" w:hAnsi="Calibri"/>
                <w:sz w:val="16"/>
              </w:rPr>
              <w:t>Git Commit: 6c6ac5e | Tag: audit-v3 (1aa2e01) | Tag Lama: v2-audit-closure (f733079) | 10 Notebook Modular (0 Errors)</w:t>
            </w:r>
          </w:p>
        </w:tc>
      </w:tr>
    </w:tbl>
    <w:p>
      <w:pPr>
        <w:spacing w:after="120"/>
      </w:pPr>
    </w:p>
    <w:p>
      <w:pPr>
        <w:pStyle w:val="Heading1"/>
        <w:spacing w:before="280" w:after="120"/>
      </w:pPr>
      <w:r>
        <w:t>1. Problem Formulation Protocol &amp; Filosofi Statistika</w:t>
      </w:r>
    </w:p>
    <w:p>
      <w:r>
        <w:t>Mengadopsi protokol inti keahlian data-scientist, perancangan analisis TaniAdapt didasarkan pada prinsip 'Assumptions Before Methods': pemahaman terhadap Data Generating Process (DGP) harus mendahului pemilihan uji statistik apa pun. Pelanggaran terhadap asumsi dasar DGP pada data observasional akan menghasilkan estimasi yang tidak bermakna dengan keyakinan semu (high-confidence nonsense).</w:t>
      </w:r>
    </w:p>
    <w:tbl>
      <w:tblPr>
        <w:tblW w:type="auto" w:w="0"/>
        <w:jc w:val="center"/>
        <w:tblLayout w:type="fixed"/>
        <w:tblLook w:firstColumn="1" w:firstRow="1" w:lastColumn="0" w:lastRow="0" w:noHBand="0" w:noVBand="1" w:val="04A0"/>
      </w:tblPr>
      <w:tblGrid>
        <w:gridCol w:w="9360"/>
      </w:tblGrid>
      <w:tr>
        <w:tc>
          <w:tcPr>
            <w:tcW w:type="dxa" w:w="9360"/>
            <w:shd w:fill="F1F8E9"/>
            <w:tcMar>
              <w:top w:w="120" w:type="dxa"/>
              <w:bottom w:w="120" w:type="dxa"/>
              <w:left w:w="180" w:type="dxa"/>
              <w:right w:w="180" w:type="dxa"/>
            </w:tcMar>
            <w:tcBorders>
              <w:top w:val="none"/>
              <w:left w:val="single" w:sz="36" w:space="0" w:color="2E7D32"/>
              <w:bottom w:val="none"/>
              <w:right w:val="none"/>
            </w:tcBorders>
          </w:tcPr>
          <w:p>
            <w:pPr>
              <w:spacing w:after="60"/>
            </w:pPr>
            <w:r>
              <w:rPr>
                <w:rFonts w:ascii="Calibri" w:hAnsi="Calibri"/>
                <w:b/>
                <w:color w:val="1B5E20"/>
                <w:sz w:val="20"/>
              </w:rPr>
              <w:t>📌 Protokol Lima Pertanyaan Kunci Perumusan Masalah (Data-Scientist Skill)</w:t>
              <w:br/>
            </w:r>
            <w:r>
              <w:rPr>
                <w:rFonts w:ascii="Calibri" w:hAnsi="Calibri"/>
                <w:color w:val="282828"/>
                <w:sz w:val="19"/>
              </w:rPr>
              <w:t>1. Jenis Data: Data panel observasional spasial-temporal makro (27 kabupaten/kota x 7–10 tahun kalender) yang menggabungkan reanalisis fisik cuaca kisi-kisi (AgERA5 0.1°), observasi satelit inframerah (CHIRPS), dan pelaporan agregat dinas pertanian daerah.</w:t>
              <w:br/>
              <w:t>2. Jenis Pertanyaan: Bukan estimasi kausal eksperimental acak. Analisis ini berjenis eksploratori panel dan dekomposisi varians: seberapa besar variasi hasil panen kabupaten yang dapat dikaitkan dengan variasi cuaca lokal setelah menyerap heterogenitas tetap kabupaten dan guncangan temporal provinsi?</w:t>
              <w:br/>
              <w:t>3. Target Estimasi: Parameter respon regresi Two-Way Fixed Effects (beta), rentang keyakinan Wild Cluster Bootstrap Webb, dan batas Minimum Detectable Effect (MDE = 2.8 x SE) di bawah kendala daya statistik makro.</w:t>
              <w:br/>
              <w:t>4. Ketersediaan &amp; Batasan Data: N efektif terbatas oleh deret waktu tahunan (T=7 untuk jagung/kedelai, T=3 untuk padi bebas artefak). Wilayah independen iklim efektif di Jawa Barat didominasi oleh dua komponen utama (PCA anomali demeaned 80.97%).</w:t>
              <w:br/>
              <w:t>5. Resiko Keputusan (Stake): Kesalahan estimasi kausal prematur dapat menyesatkan rekomendasi kalender tanam petani kecil; oleh karena itu, pelaporan Evidence Insufficient dan penguncian Tier Mekanistik menjadi keharusan moral akademis.</w:t>
            </w:r>
          </w:p>
        </w:tc>
      </w:tr>
    </w:tbl>
    <w:p>
      <w:pPr>
        <w:spacing w:after="80"/>
      </w:pPr>
    </w:p>
    <w:p>
      <w:r>
        <w:t>Enam Aturan Keras Metodologis dikunci secara permanen di seluruh repositori:</w:t>
        <w:br/>
        <w:t>• Aturan 1 (Zero Hardcoding): Seluruh parameter, derajat bebas, Standard Error, Confidence Interval, MDE, dan persentase dihitung langsung dari data dalam runtime kode. Larangan mutlak menyisipkan konstanta.</w:t>
        <w:br/>
        <w:t>• Aturan 2 (Single Source of BPS Truth): Angka resmi pembanding hanya bersumber dari reports/dataset_audit/bps_manual_input.csv. Periode 2018–2020 resmi berstatus UNVERIFIED dan dilarang sebagai pembanding.</w:t>
        <w:br/>
        <w:t>• Aturan 3 (No Absolute Thresholds): Evaluasi agroklimat menggunakan persentil empiris (P10, P50, P75, P90) atau z-score ex-ante, bukan batas artifisial seperti mm hujan atau derajat Celcius kaku.</w:t>
        <w:br/>
        <w:t>• Aturan 4 (No P-Values in EDA): Laporan eksploratori menyajikan effect size, confidence interval, dan dekomposisi varians tanpa glorifikasi p-value.</w:t>
        <w:br/>
        <w:t>• Aturan 5 (Non-Causal Language): Mengingat sifat data observasional, asosiasi dilaporkan jujur tanpa klaim kausalitas konfirmatori.</w:t>
        <w:br/>
        <w:t>• Aturan 6 (Isolasi Artefak): Tahun 2022 pada jagung dan kedelai resmi ditandai SUSPECT akibat bukti imputasi seragam rata-rata dinas, dan dikeluarkan dari panel regresi utama.</w:t>
      </w:r>
    </w:p>
    <w:p>
      <w:pPr>
        <w:pStyle w:val="Heading1"/>
        <w:spacing w:before="280" w:after="120"/>
      </w:pPr>
      <w:r>
        <w:t>2. Kerangka Matematika &amp; Formulasi Ekonometrika</w:t>
      </w:r>
    </w:p>
    <w:p>
      <w:r>
        <w:t>Model identifikasi empiris didasarkan pada formulasi Two-Way Fixed Effects (TWFE):</w:t>
        <w:br/>
        <w:t>ln(Y_it) = alpha_i + gamma_t + beta * Z_it + epsilon_it</w:t>
        <w:br/>
        <w:br/>
        <w:t>di mana Y_it adalah produktivitas tanaman (ku/ha) pada kabupaten i dan tahun t; alpha_i menyerap seluruh heterogenitas kabupaten yang invarian terhadap waktu (topografi, kedalaman solum tanah, aksesibilitas irigasi permanen, modal budaya); gamma_t menyerap guncangan bersama seluruh Jawa Barat pada tahun t (inflasi pupuk nasional, kebijakan harga dasar gabah, variabilitas iklim makro bersama ENSO); Z_it adalah anomali fitur cuaca spesifik fase fenologi (misal presipitasi vegetatif Feb–Apr); dan epsilon_it adalah galat residual.</w:t>
      </w:r>
    </w:p>
    <w:p>
      <w:r>
        <w:t>Formulasi Added-Variable Plot (Frisch-Waugh-Lovell Theorem):</w:t>
        <w:br/>
        <w:t>Estimasi beta identik dengan regresi OLS univariat antara residu y_tilde_it terhadap residu x_tilde_it setelah mem-partial out Two-Way FE:</w:t>
        <w:br/>
        <w:t>y_tilde_it = ln(Y_it) - E[ln(Y_it) | i, t]</w:t>
        <w:br/>
        <w:t>x_tilde_it = Z_it - E[Z_it | i, t]</w:t>
        <w:br/>
        <w:t>beta = sum(x_tilde_it * y_tilde_it) / sum(x_tilde_it^2)</w:t>
      </w:r>
    </w:p>
    <w:p>
      <w:r>
        <w:t>Inference &amp; Clustering (Wild Cluster Bootstrap Webb 2014):</w:t>
        <w:br/>
        <w:t>Karena jumlah cluster kabupaten moderat (G = 18 sentra untuk jagung, G = 17 untuk kedelai), standar error asimtotis White/Huber rentan mengalami over-rejection. Kami menerapkan Wild Cluster Bootstrap dengan distribusi bobot 6-titik Webb (Webb 2014): w_g in {-sqrt(1.5), -1, -sqrt(0.5), sqrt(0.5), 1, sqrt(1.5)} dengan probabilitas seragam 1/6. Residu di-resample pada tingkat cluster kabupaten sebanyak B = 999 iterasi untuk menghasilkan distribusi t-empiris bebas asumsi distribusi galat.</w:t>
      </w:r>
    </w:p>
    <w:p>
      <w:r>
        <w:t>Formulasi Daya Analitis Minimum Detectable Effect (MDE = 2.8 x SE):</w:t>
        <w:br/>
        <w:t>Batas perubahan efek terkecil yang dapat dideteksi secara andal pada tingkat signifikansi alpha = 0.05 dan daya 1 - beta_power = 0.80 dihitung analitis langsung dari Standard Error bootstrap:</w:t>
        <w:br/>
        <w:t>MDE = (t_{alpha/2, df} + t_{1-beta, df}) * SE_boot ≈ 2.8 * SE_boot</w:t>
        <w:br/>
        <w:br/>
        <w:t>di mana df = N - G - T adalah derajat bebas residual sesungguhnya. Depletion derajat bebas: Ketika N kecil dan panel pendek (seperti Padi T=3, N=54), Two-Way FE mengonsumsi 18 + 3 = 21 parameter, menyisakan df = 33. Penyerapan variasi dalam-kabupaten membuat sigma_{y,resid} mengecil secara artifisial, menghasilkan MDE sempit yang menipu pengamat jika tidak diaudit secara jujur.</w:t>
      </w:r>
    </w:p>
    <w:p>
      <w:r>
        <w:t>Kerangka Skrining Outlier Robust MAD-z Dalam-Kabupaten:</w:t>
        <w:br/>
        <w:t>Untuk menghindari cutoff absolut sembarang, outlier residual disaring menggunakan Median Absolute Deviation (MAD) dalam masing-masing kabupaten i:</w:t>
        <w:br/>
        <w:t>MAD_i = median(|y_{it} - median(y_{i.})|)</w:t>
        <w:br/>
        <w:t>z_{it}^{MAD} = 0.6745 * |y_{it} - median(y_{i.})| / MAD_i</w:t>
        <w:br/>
        <w:br/>
        <w:t>Observasi dieksklusikan hanya jika z_{it}^{MAD} melebihi persentil ke-95 empiris (P95 cutoff). Seluruh 4 model re-estimasi (OLS, WLS bobot luas baseline, Robust Huber, dan Tanpa MAD-z) dibandingkan secara transparan.</w:t>
      </w:r>
    </w:p>
    <w:p>
      <w:pPr>
        <w:pStyle w:val="Heading1"/>
        <w:spacing w:before="280" w:after="120"/>
      </w:pPr>
      <w:r>
        <w:t>3. Matriks Penutupan Audit Blokade Bagian A (A1 – A11)</w:t>
      </w:r>
    </w:p>
    <w:p>
      <w:r>
        <w:t>Seluruh 11 blokade audit metodologis telah ditutup dan diverifikasi secara kriptografis dalam commit git lokal. Tabel 1 merangkum kondisi sebelum audit, tindakan rekonsiliasi, metrik kuantitatif pasca-audit, dan sumber data resmi:</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152"/>
            <w:shd w:fill="2E7D32"/>
            <w:tcMar>
              <w:top w:w="70" w:type="dxa"/>
              <w:bottom w:w="70" w:type="dxa"/>
              <w:left w:w="90" w:type="dxa"/>
              <w:right w:w="90" w:type="dxa"/>
            </w:tcMar>
          </w:tcPr>
          <w:p>
            <w:pPr>
              <w:spacing w:after="0" w:line="252" w:lineRule="auto"/>
            </w:pPr>
            <w:r>
              <w:rPr>
                <w:rFonts w:ascii="Calibri" w:hAnsi="Calibri"/>
                <w:b/>
                <w:color w:val="FFFFFF"/>
                <w:sz w:val="17"/>
              </w:rPr>
              <w:t>Item ID</w:t>
            </w:r>
          </w:p>
        </w:tc>
        <w:tc>
          <w:tcPr>
            <w:tcW w:type="dxa" w:w="2592"/>
            <w:shd w:fill="2E7D32"/>
            <w:tcMar>
              <w:top w:w="70" w:type="dxa"/>
              <w:bottom w:w="70" w:type="dxa"/>
              <w:left w:w="90" w:type="dxa"/>
              <w:right w:w="90" w:type="dxa"/>
            </w:tcMar>
          </w:tcPr>
          <w:p>
            <w:pPr>
              <w:spacing w:after="0" w:line="252" w:lineRule="auto"/>
            </w:pPr>
            <w:r>
              <w:rPr>
                <w:rFonts w:ascii="Calibri" w:hAnsi="Calibri"/>
                <w:b/>
                <w:color w:val="FFFFFF"/>
                <w:sz w:val="17"/>
              </w:rPr>
              <w:t>Fokus Isu Audit</w:t>
            </w:r>
          </w:p>
        </w:tc>
        <w:tc>
          <w:tcPr>
            <w:tcW w:type="dxa" w:w="1872"/>
            <w:shd w:fill="2E7D32"/>
            <w:tcMar>
              <w:top w:w="70" w:type="dxa"/>
              <w:bottom w:w="70" w:type="dxa"/>
              <w:left w:w="90" w:type="dxa"/>
              <w:right w:w="90" w:type="dxa"/>
            </w:tcMar>
          </w:tcPr>
          <w:p>
            <w:pPr>
              <w:spacing w:after="0" w:line="252" w:lineRule="auto"/>
            </w:pPr>
            <w:r>
              <w:rPr>
                <w:rFonts w:ascii="Calibri" w:hAnsi="Calibri"/>
                <w:b/>
                <w:color w:val="FFFFFF"/>
                <w:sz w:val="17"/>
              </w:rPr>
              <w:t>Status Penutupan</w:t>
            </w:r>
          </w:p>
        </w:tc>
        <w:tc>
          <w:tcPr>
            <w:tcW w:type="dxa" w:w="3744"/>
            <w:shd w:fill="2E7D32"/>
            <w:tcMar>
              <w:top w:w="70" w:type="dxa"/>
              <w:bottom w:w="70" w:type="dxa"/>
              <w:left w:w="90" w:type="dxa"/>
              <w:right w:w="90" w:type="dxa"/>
            </w:tcMar>
          </w:tcPr>
          <w:p>
            <w:pPr>
              <w:spacing w:after="0" w:line="252" w:lineRule="auto"/>
            </w:pPr>
            <w:r>
              <w:rPr>
                <w:rFonts w:ascii="Calibri" w:hAnsi="Calibri"/>
                <w:b/>
                <w:color w:val="FFFFFF"/>
                <w:sz w:val="17"/>
              </w:rPr>
              <w:t>Hasil Rekonsiliasi &amp; Nilai Kuantitatif Pasca-Audit</w:t>
            </w:r>
          </w:p>
        </w:tc>
      </w:tr>
      <w:tr>
        <w:trPr>
          <w:cantSplit/>
        </w:trPr>
        <w:tc>
          <w:tcPr>
            <w:tcW w:type="dxa" w:w="1152"/>
            <w:shd w:fill="F9FBE7"/>
            <w:tcMar>
              <w:top w:w="50" w:type="dxa"/>
              <w:bottom w:w="50" w:type="dxa"/>
              <w:left w:w="70" w:type="dxa"/>
              <w:right w:w="70" w:type="dxa"/>
            </w:tcMar>
          </w:tcPr>
          <w:p>
            <w:pPr>
              <w:spacing w:after="0" w:line="252" w:lineRule="auto"/>
            </w:pPr>
            <w:r>
              <w:rPr>
                <w:rFonts w:ascii="Calibri" w:hAnsi="Calibri"/>
                <w:b/>
                <w:sz w:val="16"/>
              </w:rPr>
              <w:t>A1</w:t>
            </w:r>
          </w:p>
        </w:tc>
        <w:tc>
          <w:tcPr>
            <w:tcW w:type="dxa" w:w="2592"/>
            <w:shd w:fill="F9FBE7"/>
            <w:tcMar>
              <w:top w:w="50" w:type="dxa"/>
              <w:bottom w:w="50" w:type="dxa"/>
              <w:left w:w="70" w:type="dxa"/>
              <w:right w:w="70" w:type="dxa"/>
            </w:tcMar>
          </w:tcPr>
          <w:p>
            <w:pPr>
              <w:spacing w:after="0" w:line="252" w:lineRule="auto"/>
            </w:pPr>
            <w:r>
              <w:rPr>
                <w:rFonts w:ascii="Calibri" w:hAnsi="Calibri"/>
                <w:sz w:val="16"/>
              </w:rPr>
              <w:t>Rekonsiliasi Padi B1: BPS Tunggal &amp; 2018–2020</w:t>
            </w:r>
          </w:p>
        </w:tc>
        <w:tc>
          <w:tcPr>
            <w:tcW w:type="dxa" w:w="1872"/>
            <w:shd w:fill="F9FBE7"/>
            <w:tcMar>
              <w:top w:w="50" w:type="dxa"/>
              <w:bottom w:w="50" w:type="dxa"/>
              <w:left w:w="70" w:type="dxa"/>
              <w:right w:w="70" w:type="dxa"/>
            </w:tcMar>
          </w:tcPr>
          <w:p>
            <w:pPr>
              <w:spacing w:after="0" w:line="252" w:lineRule="auto"/>
            </w:pPr>
            <w:r>
              <w:rPr>
                <w:rFonts w:ascii="Calibri" w:hAnsi="Calibri"/>
                <w:sz w:val="16"/>
              </w:rPr>
              <w:t>CLOSED</w:t>
            </w:r>
          </w:p>
        </w:tc>
        <w:tc>
          <w:tcPr>
            <w:tcW w:type="dxa" w:w="3744"/>
            <w:shd w:fill="F9FBE7"/>
            <w:tcMar>
              <w:top w:w="50" w:type="dxa"/>
              <w:bottom w:w="50" w:type="dxa"/>
              <w:left w:w="70" w:type="dxa"/>
              <w:right w:w="70" w:type="dxa"/>
            </w:tcMar>
          </w:tcPr>
          <w:p>
            <w:pPr>
              <w:spacing w:after="0" w:line="252" w:lineRule="auto"/>
            </w:pPr>
            <w:r>
              <w:rPr>
                <w:rFonts w:ascii="Calibri" w:hAnsi="Calibri"/>
                <w:sz w:val="16"/>
              </w:rPr>
              <w:t>Angka BPS tunggal dari bps_manual_input.csv: 2015=61.22, 2016=60.49, 2017=58.87 ku/ha. Rata-rata berbobot luas DS03 cocok 100.0% (selisih 0.01%). Periode 2018-2020 UNVERIFIED. 2019: artefak administratif serentak (sawah +23%, ladang +55%), penyebab belum diketahui.</w:t>
            </w:r>
          </w:p>
        </w:tc>
      </w:tr>
      <w:tr>
        <w:trPr>
          <w:cantSplit/>
        </w:trPr>
        <w:tc>
          <w:tcPr>
            <w:tcW w:type="dxa" w:w="1152"/>
            <w:shd w:fill="FFFFFF"/>
            <w:tcMar>
              <w:top w:w="50" w:type="dxa"/>
              <w:bottom w:w="50" w:type="dxa"/>
              <w:left w:w="70" w:type="dxa"/>
              <w:right w:w="70" w:type="dxa"/>
            </w:tcMar>
          </w:tcPr>
          <w:p>
            <w:pPr>
              <w:spacing w:after="0" w:line="252" w:lineRule="auto"/>
            </w:pPr>
            <w:r>
              <w:rPr>
                <w:rFonts w:ascii="Calibri" w:hAnsi="Calibri"/>
                <w:b/>
                <w:sz w:val="16"/>
              </w:rPr>
              <w:t>A2</w:t>
            </w:r>
          </w:p>
        </w:tc>
        <w:tc>
          <w:tcPr>
            <w:tcW w:type="dxa" w:w="2592"/>
            <w:shd w:fill="FFFFFF"/>
            <w:tcMar>
              <w:top w:w="50" w:type="dxa"/>
              <w:bottom w:w="50" w:type="dxa"/>
              <w:left w:w="70" w:type="dxa"/>
              <w:right w:w="70" w:type="dxa"/>
            </w:tcMar>
          </w:tcPr>
          <w:p>
            <w:pPr>
              <w:spacing w:after="0" w:line="252" w:lineRule="auto"/>
            </w:pPr>
            <w:r>
              <w:rPr>
                <w:rFonts w:ascii="Calibri" w:hAnsi="Calibri"/>
                <w:sz w:val="16"/>
              </w:rPr>
              <w:t>Validasi Presipitasi CHIRPS ERDDAP</w:t>
            </w:r>
          </w:p>
        </w:tc>
        <w:tc>
          <w:tcPr>
            <w:tcW w:type="dxa" w:w="1872"/>
            <w:shd w:fill="FFFFFF"/>
            <w:tcMar>
              <w:top w:w="50" w:type="dxa"/>
              <w:bottom w:w="50" w:type="dxa"/>
              <w:left w:w="70" w:type="dxa"/>
              <w:right w:w="70" w:type="dxa"/>
            </w:tcMar>
          </w:tcPr>
          <w:p>
            <w:pPr>
              <w:spacing w:after="0" w:line="252" w:lineRule="auto"/>
            </w:pPr>
            <w:r>
              <w:rPr>
                <w:rFonts w:ascii="Calibri" w:hAnsi="Calibri"/>
                <w:sz w:val="16"/>
              </w:rPr>
              <w:t>CLOSED (3 Thn Benchmark)</w:t>
            </w:r>
          </w:p>
        </w:tc>
        <w:tc>
          <w:tcPr>
            <w:tcW w:type="dxa" w:w="3744"/>
            <w:shd w:fill="FFFFFF"/>
            <w:tcMar>
              <w:top w:w="50" w:type="dxa"/>
              <w:bottom w:w="50" w:type="dxa"/>
              <w:left w:w="70" w:type="dxa"/>
              <w:right w:w="70" w:type="dxa"/>
            </w:tcMar>
          </w:tcPr>
          <w:p>
            <w:pPr>
              <w:spacing w:after="0" w:line="252" w:lineRule="auto"/>
            </w:pPr>
            <w:r>
              <w:rPr>
                <w:rFonts w:ascii="Calibri" w:hAnsi="Calibri"/>
                <w:sz w:val="16"/>
              </w:rPr>
              <w:t>NOAA CoastWatch ERDDAP melayani 3 tahun benchmark (2016, 2020, 2024; N=972 unit-bulan). Korelasi dalam-tahun: 2016 r=0.6350, 2020 r=0.7277, 2024 r=0.6930; median per-unit r=0.7569 (0.5899 s.d. 0.8684). Max signed bias MH: +72.31% (Bandung Raya). Non-benchmark BLOCKED transparan. Sampling area poligon meredam bias 18-28% pada 6 sentra Tier A.</w:t>
            </w:r>
          </w:p>
        </w:tc>
      </w:tr>
      <w:tr>
        <w:trPr>
          <w:cantSplit/>
        </w:trPr>
        <w:tc>
          <w:tcPr>
            <w:tcW w:type="dxa" w:w="1152"/>
            <w:shd w:fill="F9FBE7"/>
            <w:tcMar>
              <w:top w:w="50" w:type="dxa"/>
              <w:bottom w:w="50" w:type="dxa"/>
              <w:left w:w="70" w:type="dxa"/>
              <w:right w:w="70" w:type="dxa"/>
            </w:tcMar>
          </w:tcPr>
          <w:p>
            <w:pPr>
              <w:spacing w:after="0" w:line="252" w:lineRule="auto"/>
            </w:pPr>
            <w:r>
              <w:rPr>
                <w:rFonts w:ascii="Calibri" w:hAnsi="Calibri"/>
                <w:b/>
                <w:sz w:val="16"/>
              </w:rPr>
              <w:t>A3</w:t>
            </w:r>
          </w:p>
        </w:tc>
        <w:tc>
          <w:tcPr>
            <w:tcW w:type="dxa" w:w="2592"/>
            <w:shd w:fill="F9FBE7"/>
            <w:tcMar>
              <w:top w:w="50" w:type="dxa"/>
              <w:bottom w:w="50" w:type="dxa"/>
              <w:left w:w="70" w:type="dxa"/>
              <w:right w:w="70" w:type="dxa"/>
            </w:tcMar>
          </w:tcPr>
          <w:p>
            <w:pPr>
              <w:spacing w:after="0" w:line="252" w:lineRule="auto"/>
            </w:pPr>
            <w:r>
              <w:rPr>
                <w:rFonts w:ascii="Calibri" w:hAnsi="Calibri"/>
                <w:sz w:val="16"/>
              </w:rPr>
              <w:t>Spatial Neff &amp; PCA Anomali Demeaned</w:t>
            </w:r>
          </w:p>
        </w:tc>
        <w:tc>
          <w:tcPr>
            <w:tcW w:type="dxa" w:w="1872"/>
            <w:shd w:fill="F9FBE7"/>
            <w:tcMar>
              <w:top w:w="50" w:type="dxa"/>
              <w:bottom w:w="50" w:type="dxa"/>
              <w:left w:w="70" w:type="dxa"/>
              <w:right w:w="70" w:type="dxa"/>
            </w:tcMar>
          </w:tcPr>
          <w:p>
            <w:pPr>
              <w:spacing w:after="0" w:line="252" w:lineRule="auto"/>
            </w:pPr>
            <w:r>
              <w:rPr>
                <w:rFonts w:ascii="Calibri" w:hAnsi="Calibri"/>
                <w:sz w:val="16"/>
              </w:rPr>
              <w:t>CLOSED</w:t>
            </w:r>
          </w:p>
        </w:tc>
        <w:tc>
          <w:tcPr>
            <w:tcW w:type="dxa" w:w="3744"/>
            <w:shd w:fill="F9FBE7"/>
            <w:tcMar>
              <w:top w:w="50" w:type="dxa"/>
              <w:bottom w:w="50" w:type="dxa"/>
              <w:left w:w="70" w:type="dxa"/>
              <w:right w:w="70" w:type="dxa"/>
            </w:tcMar>
          </w:tcPr>
          <w:p>
            <w:pPr>
              <w:spacing w:after="0" w:line="252" w:lineRule="auto"/>
            </w:pPr>
            <w:r>
              <w:rPr>
                <w:rFonts w:ascii="Calibri" w:hAnsi="Calibri"/>
                <w:sz w:val="16"/>
              </w:rPr>
              <w:t>PCA pada anomali bulanan yang di-demean per tahun (22 sel x 120 bulan) membuktikan PC1=69.02% dan PC2=11.95% (kumulatif 80.97%). Rata-rata korelasi anomali antar-sel r=0.6671. PC1 merefleksikan variasi makro ENSO/monsun seragam, PC2 menangkap kontras orografis utara-selatan. Sisa 19.03% varians tersebar pada komponen 3-22. Klaim kaku 'tepat 2 moda' dihapus.</w:t>
            </w:r>
          </w:p>
        </w:tc>
      </w:tr>
      <w:tr>
        <w:trPr>
          <w:cantSplit/>
        </w:trPr>
        <w:tc>
          <w:tcPr>
            <w:tcW w:type="dxa" w:w="1152"/>
            <w:shd w:fill="FFFFFF"/>
            <w:tcMar>
              <w:top w:w="50" w:type="dxa"/>
              <w:bottom w:w="50" w:type="dxa"/>
              <w:left w:w="70" w:type="dxa"/>
              <w:right w:w="70" w:type="dxa"/>
            </w:tcMar>
          </w:tcPr>
          <w:p>
            <w:pPr>
              <w:spacing w:after="0" w:line="252" w:lineRule="auto"/>
            </w:pPr>
            <w:r>
              <w:rPr>
                <w:rFonts w:ascii="Calibri" w:hAnsi="Calibri"/>
                <w:b/>
                <w:sz w:val="16"/>
              </w:rPr>
              <w:t>A4</w:t>
            </w:r>
          </w:p>
        </w:tc>
        <w:tc>
          <w:tcPr>
            <w:tcW w:type="dxa" w:w="2592"/>
            <w:shd w:fill="FFFFFF"/>
            <w:tcMar>
              <w:top w:w="50" w:type="dxa"/>
              <w:bottom w:w="50" w:type="dxa"/>
              <w:left w:w="70" w:type="dxa"/>
              <w:right w:w="70" w:type="dxa"/>
            </w:tcMar>
          </w:tcPr>
          <w:p>
            <w:pPr>
              <w:spacing w:after="0" w:line="252" w:lineRule="auto"/>
            </w:pPr>
            <w:r>
              <w:rPr>
                <w:rFonts w:ascii="Calibri" w:hAnsi="Calibri"/>
                <w:sz w:val="16"/>
              </w:rPr>
              <w:t>Inferensi Panel, Wild Bootstrap &amp; MDE</w:t>
            </w:r>
          </w:p>
        </w:tc>
        <w:tc>
          <w:tcPr>
            <w:tcW w:type="dxa" w:w="1872"/>
            <w:shd w:fill="FFFFFF"/>
            <w:tcMar>
              <w:top w:w="50" w:type="dxa"/>
              <w:bottom w:w="50" w:type="dxa"/>
              <w:left w:w="70" w:type="dxa"/>
              <w:right w:w="70" w:type="dxa"/>
            </w:tcMar>
          </w:tcPr>
          <w:p>
            <w:pPr>
              <w:spacing w:after="0" w:line="252" w:lineRule="auto"/>
            </w:pPr>
            <w:r>
              <w:rPr>
                <w:rFonts w:ascii="Calibri" w:hAnsi="Calibri"/>
                <w:sz w:val="16"/>
              </w:rPr>
              <w:t>CLOSED</w:t>
            </w:r>
          </w:p>
        </w:tc>
        <w:tc>
          <w:tcPr>
            <w:tcW w:type="dxa" w:w="3744"/>
            <w:shd w:fill="FFFFFF"/>
            <w:tcMar>
              <w:top w:w="50" w:type="dxa"/>
              <w:bottom w:w="50" w:type="dxa"/>
              <w:left w:w="70" w:type="dxa"/>
              <w:right w:w="70" w:type="dxa"/>
            </w:tcMar>
          </w:tcPr>
          <w:p>
            <w:pPr>
              <w:spacing w:after="0" w:line="252" w:lineRule="auto"/>
            </w:pPr>
            <w:r>
              <w:rPr>
                <w:rFonts w:ascii="Calibri" w:hAnsi="Calibri"/>
                <w:sz w:val="16"/>
              </w:rPr>
              <w:t>Harmonisasi MDE = 2.8 x SE_boot. Jagung beta = +0.0368, 95% Webb CI [-0.0521, +0.1300], SE = 0.0516, MDE = +-0.1444 (Evidence Insufficient). Kedelai MDE = +-0.1250. Padi T=3 MDE = +-0.0255 (peringatan: df=33 semu, bukan daya tinggi). Batas efek dikecualikan data: &lt; -0.0521 atau &gt; +0.1300. Benchmark suhu literatur: +-0.0650.</w:t>
            </w:r>
          </w:p>
        </w:tc>
      </w:tr>
      <w:tr>
        <w:trPr>
          <w:cantSplit/>
        </w:trPr>
        <w:tc>
          <w:tcPr>
            <w:tcW w:type="dxa" w:w="1152"/>
            <w:shd w:fill="F9FBE7"/>
            <w:tcMar>
              <w:top w:w="50" w:type="dxa"/>
              <w:bottom w:w="50" w:type="dxa"/>
              <w:left w:w="70" w:type="dxa"/>
              <w:right w:w="70" w:type="dxa"/>
            </w:tcMar>
          </w:tcPr>
          <w:p>
            <w:pPr>
              <w:spacing w:after="0" w:line="252" w:lineRule="auto"/>
            </w:pPr>
            <w:r>
              <w:rPr>
                <w:rFonts w:ascii="Calibri" w:hAnsi="Calibri"/>
                <w:b/>
                <w:sz w:val="16"/>
              </w:rPr>
              <w:t>A5</w:t>
            </w:r>
          </w:p>
        </w:tc>
        <w:tc>
          <w:tcPr>
            <w:tcW w:type="dxa" w:w="2592"/>
            <w:shd w:fill="F9FBE7"/>
            <w:tcMar>
              <w:top w:w="50" w:type="dxa"/>
              <w:bottom w:w="50" w:type="dxa"/>
              <w:left w:w="70" w:type="dxa"/>
              <w:right w:w="70" w:type="dxa"/>
            </w:tcMar>
          </w:tcPr>
          <w:p>
            <w:pPr>
              <w:spacing w:after="0" w:line="252" w:lineRule="auto"/>
            </w:pPr>
            <w:r>
              <w:rPr>
                <w:rFonts w:ascii="Calibri" w:hAnsi="Calibri"/>
                <w:sz w:val="16"/>
              </w:rPr>
              <w:t>Higienitas Klaim &amp; Sitasi Agronomi</w:t>
            </w:r>
          </w:p>
        </w:tc>
        <w:tc>
          <w:tcPr>
            <w:tcW w:type="dxa" w:w="1872"/>
            <w:shd w:fill="F9FBE7"/>
            <w:tcMar>
              <w:top w:w="50" w:type="dxa"/>
              <w:bottom w:w="50" w:type="dxa"/>
              <w:left w:w="70" w:type="dxa"/>
              <w:right w:w="70" w:type="dxa"/>
            </w:tcMar>
          </w:tcPr>
          <w:p>
            <w:pPr>
              <w:spacing w:after="0" w:line="252" w:lineRule="auto"/>
            </w:pPr>
            <w:r>
              <w:rPr>
                <w:rFonts w:ascii="Calibri" w:hAnsi="Calibri"/>
                <w:sz w:val="16"/>
              </w:rPr>
              <w:t>CLOSED</w:t>
            </w:r>
          </w:p>
        </w:tc>
        <w:tc>
          <w:tcPr>
            <w:tcW w:type="dxa" w:w="3744"/>
            <w:shd w:fill="F9FBE7"/>
            <w:tcMar>
              <w:top w:w="50" w:type="dxa"/>
              <w:bottom w:w="50" w:type="dxa"/>
              <w:left w:w="70" w:type="dxa"/>
              <w:right w:w="70" w:type="dxa"/>
            </w:tcMar>
          </w:tcPr>
          <w:p>
            <w:pPr>
              <w:spacing w:after="0" w:line="252" w:lineRule="auto"/>
            </w:pPr>
            <w:r>
              <w:rPr>
                <w:rFonts w:ascii="Calibri" w:hAnsi="Calibri"/>
                <w:sz w:val="16"/>
              </w:rPr>
              <w:t>Paper 15 (Wonogiri) diganti studi Prasad et al. (2006) sebagai transfer literature. Bahasa kausal dihapus; evaluasi diposisikan sebagai protokol eksploratori terdaftar ex-ante tanpa klaim konfirmatori.</w:t>
            </w:r>
          </w:p>
        </w:tc>
      </w:tr>
      <w:tr>
        <w:trPr>
          <w:cantSplit/>
        </w:trPr>
        <w:tc>
          <w:tcPr>
            <w:tcW w:type="dxa" w:w="1152"/>
            <w:shd w:fill="FFFFFF"/>
            <w:tcMar>
              <w:top w:w="50" w:type="dxa"/>
              <w:bottom w:w="50" w:type="dxa"/>
              <w:left w:w="70" w:type="dxa"/>
              <w:right w:w="70" w:type="dxa"/>
            </w:tcMar>
          </w:tcPr>
          <w:p>
            <w:pPr>
              <w:spacing w:after="0" w:line="252" w:lineRule="auto"/>
            </w:pPr>
            <w:r>
              <w:rPr>
                <w:rFonts w:ascii="Calibri" w:hAnsi="Calibri"/>
                <w:b/>
                <w:sz w:val="16"/>
              </w:rPr>
              <w:t>A6</w:t>
            </w:r>
          </w:p>
        </w:tc>
        <w:tc>
          <w:tcPr>
            <w:tcW w:type="dxa" w:w="2592"/>
            <w:shd w:fill="FFFFFF"/>
            <w:tcMar>
              <w:top w:w="50" w:type="dxa"/>
              <w:bottom w:w="50" w:type="dxa"/>
              <w:left w:w="70" w:type="dxa"/>
              <w:right w:w="70" w:type="dxa"/>
            </w:tcMar>
          </w:tcPr>
          <w:p>
            <w:pPr>
              <w:spacing w:after="0" w:line="252" w:lineRule="auto"/>
            </w:pPr>
            <w:r>
              <w:rPr>
                <w:rFonts w:ascii="Calibri" w:hAnsi="Calibri"/>
                <w:sz w:val="16"/>
              </w:rPr>
              <w:t>Hortikultura Cabai IFWC &amp; Koreksi CV</w:t>
            </w:r>
          </w:p>
        </w:tc>
        <w:tc>
          <w:tcPr>
            <w:tcW w:type="dxa" w:w="1872"/>
            <w:shd w:fill="FFFFFF"/>
            <w:tcMar>
              <w:top w:w="50" w:type="dxa"/>
              <w:bottom w:w="50" w:type="dxa"/>
              <w:left w:w="70" w:type="dxa"/>
              <w:right w:w="70" w:type="dxa"/>
            </w:tcMar>
          </w:tcPr>
          <w:p>
            <w:pPr>
              <w:spacing w:after="0" w:line="252" w:lineRule="auto"/>
            </w:pPr>
            <w:r>
              <w:rPr>
                <w:rFonts w:ascii="Calibri" w:hAnsi="Calibri"/>
                <w:sz w:val="16"/>
              </w:rPr>
              <w:t>CLOSED</w:t>
            </w:r>
          </w:p>
        </w:tc>
        <w:tc>
          <w:tcPr>
            <w:tcW w:type="dxa" w:w="3744"/>
            <w:shd w:fill="FFFFFF"/>
            <w:tcMar>
              <w:top w:w="50" w:type="dxa"/>
              <w:bottom w:w="50" w:type="dxa"/>
              <w:left w:w="70" w:type="dxa"/>
              <w:right w:w="70" w:type="dxa"/>
            </w:tcMar>
          </w:tcPr>
          <w:p>
            <w:pPr>
              <w:spacing w:after="0" w:line="252" w:lineRule="auto"/>
            </w:pPr>
            <w:r>
              <w:rPr>
                <w:rFonts w:ascii="Calibri" w:hAnsi="Calibri"/>
                <w:sz w:val="16"/>
              </w:rPr>
              <w:t>Ambang kaku dihapus. Penjelasan artefak depresiasi diurnal negatif: 40.31% hari Tmin - Tdew &lt; 0°C karena membandingkan subuh Tmin vs rata-rata 24 jam Tdew. Ditambahkan proksi fajar RH jam 06 lokal (P90 = 91.64%). Season-wide P10 = -0.70°C vs bulanan (-0.81°C s.d. -0.48°C). Run length &gt;= 1 hari (5.550 run). CV cabai: Besar 4.49%, Rawit 5.71%. Overlap 0 tahun.</w:t>
            </w:r>
          </w:p>
        </w:tc>
      </w:tr>
      <w:tr>
        <w:trPr>
          <w:cantSplit/>
        </w:trPr>
        <w:tc>
          <w:tcPr>
            <w:tcW w:type="dxa" w:w="1152"/>
            <w:shd w:fill="F9FBE7"/>
            <w:tcMar>
              <w:top w:w="50" w:type="dxa"/>
              <w:bottom w:w="50" w:type="dxa"/>
              <w:left w:w="70" w:type="dxa"/>
              <w:right w:w="70" w:type="dxa"/>
            </w:tcMar>
          </w:tcPr>
          <w:p>
            <w:pPr>
              <w:spacing w:after="0" w:line="252" w:lineRule="auto"/>
            </w:pPr>
            <w:r>
              <w:rPr>
                <w:rFonts w:ascii="Calibri" w:hAnsi="Calibri"/>
                <w:b/>
                <w:sz w:val="16"/>
              </w:rPr>
              <w:t>A7</w:t>
            </w:r>
          </w:p>
        </w:tc>
        <w:tc>
          <w:tcPr>
            <w:tcW w:type="dxa" w:w="2592"/>
            <w:shd w:fill="F9FBE7"/>
            <w:tcMar>
              <w:top w:w="50" w:type="dxa"/>
              <w:bottom w:w="50" w:type="dxa"/>
              <w:left w:w="70" w:type="dxa"/>
              <w:right w:w="70" w:type="dxa"/>
            </w:tcMar>
          </w:tcPr>
          <w:p>
            <w:pPr>
              <w:spacing w:after="0" w:line="252" w:lineRule="auto"/>
            </w:pPr>
            <w:r>
              <w:rPr>
                <w:rFonts w:ascii="Calibri" w:hAnsi="Calibri"/>
                <w:sz w:val="16"/>
              </w:rPr>
              <w:t>Agroklimat DS04 &amp; Ambang CDD Persentil</w:t>
            </w:r>
          </w:p>
        </w:tc>
        <w:tc>
          <w:tcPr>
            <w:tcW w:type="dxa" w:w="1872"/>
            <w:shd w:fill="F9FBE7"/>
            <w:tcMar>
              <w:top w:w="50" w:type="dxa"/>
              <w:bottom w:w="50" w:type="dxa"/>
              <w:left w:w="70" w:type="dxa"/>
              <w:right w:w="70" w:type="dxa"/>
            </w:tcMar>
          </w:tcPr>
          <w:p>
            <w:pPr>
              <w:spacing w:after="0" w:line="252" w:lineRule="auto"/>
            </w:pPr>
            <w:r>
              <w:rPr>
                <w:rFonts w:ascii="Calibri" w:hAnsi="Calibri"/>
                <w:sz w:val="16"/>
              </w:rPr>
              <w:t>CLOSED</w:t>
            </w:r>
          </w:p>
        </w:tc>
        <w:tc>
          <w:tcPr>
            <w:tcW w:type="dxa" w:w="3744"/>
            <w:shd w:fill="F9FBE7"/>
            <w:tcMar>
              <w:top w:w="50" w:type="dxa"/>
              <w:bottom w:w="50" w:type="dxa"/>
              <w:left w:w="70" w:type="dxa"/>
              <w:right w:w="70" w:type="dxa"/>
            </w:tcMar>
          </w:tcPr>
          <w:p>
            <w:pPr>
              <w:spacing w:after="0" w:line="252" w:lineRule="auto"/>
            </w:pPr>
            <w:r>
              <w:rPr>
                <w:rFonts w:ascii="Calibri" w:hAnsi="Calibri"/>
                <w:sz w:val="16"/>
              </w:rPr>
              <w:t>Ambang CDD kaku diganti persentil empiris (P90: 12-24 hari). Dipetakan ke 12 titik grid poligon daratan Jabar. Status formal: Pembanding internal sirkular ERA5 (r=0.9932).</w:t>
            </w:r>
          </w:p>
        </w:tc>
      </w:tr>
      <w:tr>
        <w:trPr>
          <w:cantSplit/>
        </w:trPr>
        <w:tc>
          <w:tcPr>
            <w:tcW w:type="dxa" w:w="1152"/>
            <w:shd w:fill="FFFFFF"/>
            <w:tcMar>
              <w:top w:w="50" w:type="dxa"/>
              <w:bottom w:w="50" w:type="dxa"/>
              <w:left w:w="70" w:type="dxa"/>
              <w:right w:w="70" w:type="dxa"/>
            </w:tcMar>
          </w:tcPr>
          <w:p>
            <w:pPr>
              <w:spacing w:after="0" w:line="252" w:lineRule="auto"/>
            </w:pPr>
            <w:r>
              <w:rPr>
                <w:rFonts w:ascii="Calibri" w:hAnsi="Calibri"/>
                <w:b/>
                <w:sz w:val="16"/>
              </w:rPr>
              <w:t>A8</w:t>
            </w:r>
          </w:p>
        </w:tc>
        <w:tc>
          <w:tcPr>
            <w:tcW w:type="dxa" w:w="2592"/>
            <w:shd w:fill="FFFFFF"/>
            <w:tcMar>
              <w:top w:w="50" w:type="dxa"/>
              <w:bottom w:w="50" w:type="dxa"/>
              <w:left w:w="70" w:type="dxa"/>
              <w:right w:w="70" w:type="dxa"/>
            </w:tcMar>
          </w:tcPr>
          <w:p>
            <w:pPr>
              <w:spacing w:after="0" w:line="252" w:lineRule="auto"/>
            </w:pPr>
            <w:r>
              <w:rPr>
                <w:rFonts w:ascii="Calibri" w:hAnsi="Calibri"/>
                <w:sz w:val="16"/>
              </w:rPr>
              <w:t>Duplikasi Sel Grid AgERA5 &amp; Relasi Spasial</w:t>
            </w:r>
          </w:p>
        </w:tc>
        <w:tc>
          <w:tcPr>
            <w:tcW w:type="dxa" w:w="1872"/>
            <w:shd w:fill="FFFFFF"/>
            <w:tcMar>
              <w:top w:w="50" w:type="dxa"/>
              <w:bottom w:w="50" w:type="dxa"/>
              <w:left w:w="70" w:type="dxa"/>
              <w:right w:w="70" w:type="dxa"/>
            </w:tcMar>
          </w:tcPr>
          <w:p>
            <w:pPr>
              <w:spacing w:after="0" w:line="252" w:lineRule="auto"/>
            </w:pPr>
            <w:r>
              <w:rPr>
                <w:rFonts w:ascii="Calibri" w:hAnsi="Calibri"/>
                <w:sz w:val="16"/>
              </w:rPr>
              <w:t>CLOSED</w:t>
            </w:r>
          </w:p>
        </w:tc>
        <w:tc>
          <w:tcPr>
            <w:tcW w:type="dxa" w:w="3744"/>
            <w:shd w:fill="FFFFFF"/>
            <w:tcMar>
              <w:top w:w="50" w:type="dxa"/>
              <w:bottom w:w="50" w:type="dxa"/>
              <w:left w:w="70" w:type="dxa"/>
              <w:right w:w="70" w:type="dxa"/>
            </w:tcMar>
          </w:tcPr>
          <w:p>
            <w:pPr>
              <w:spacing w:after="0" w:line="252" w:lineRule="auto"/>
            </w:pPr>
            <w:r>
              <w:rPr>
                <w:rFonts w:ascii="Calibri" w:hAnsi="Calibri"/>
                <w:sz w:val="16"/>
              </w:rPr>
              <w:t>27 unit wilayah administrasi memetakan ke tepat 22 sel AgERA5 unik (5 pasang berbagi sel; jarak rata-rata 5.2 km). Tabel lookup resmi lookup_kab_cell_elev.csv dibuat.</w:t>
            </w:r>
          </w:p>
        </w:tc>
      </w:tr>
      <w:tr>
        <w:trPr>
          <w:cantSplit/>
        </w:trPr>
        <w:tc>
          <w:tcPr>
            <w:tcW w:type="dxa" w:w="1152"/>
            <w:shd w:fill="F9FBE7"/>
            <w:tcMar>
              <w:top w:w="50" w:type="dxa"/>
              <w:bottom w:w="50" w:type="dxa"/>
              <w:left w:w="70" w:type="dxa"/>
              <w:right w:w="70" w:type="dxa"/>
            </w:tcMar>
          </w:tcPr>
          <w:p>
            <w:pPr>
              <w:spacing w:after="0" w:line="252" w:lineRule="auto"/>
            </w:pPr>
            <w:r>
              <w:rPr>
                <w:rFonts w:ascii="Calibri" w:hAnsi="Calibri"/>
                <w:b/>
                <w:sz w:val="16"/>
              </w:rPr>
              <w:t>A9</w:t>
            </w:r>
          </w:p>
        </w:tc>
        <w:tc>
          <w:tcPr>
            <w:tcW w:type="dxa" w:w="2592"/>
            <w:shd w:fill="F9FBE7"/>
            <w:tcMar>
              <w:top w:w="50" w:type="dxa"/>
              <w:bottom w:w="50" w:type="dxa"/>
              <w:left w:w="70" w:type="dxa"/>
              <w:right w:w="70" w:type="dxa"/>
            </w:tcMar>
          </w:tcPr>
          <w:p>
            <w:pPr>
              <w:spacing w:after="0" w:line="252" w:lineRule="auto"/>
            </w:pPr>
            <w:r>
              <w:rPr>
                <w:rFonts w:ascii="Calibri" w:hAnsi="Calibri"/>
                <w:sz w:val="16"/>
              </w:rPr>
              <w:t>Konsistensi Sentra Ex-Ante &amp; Baris Valid</w:t>
            </w:r>
          </w:p>
        </w:tc>
        <w:tc>
          <w:tcPr>
            <w:tcW w:type="dxa" w:w="1872"/>
            <w:shd w:fill="F9FBE7"/>
            <w:tcMar>
              <w:top w:w="50" w:type="dxa"/>
              <w:bottom w:w="50" w:type="dxa"/>
              <w:left w:w="70" w:type="dxa"/>
              <w:right w:w="70" w:type="dxa"/>
            </w:tcMar>
          </w:tcPr>
          <w:p>
            <w:pPr>
              <w:spacing w:after="0" w:line="252" w:lineRule="auto"/>
            </w:pPr>
            <w:r>
              <w:rPr>
                <w:rFonts w:ascii="Calibri" w:hAnsi="Calibri"/>
                <w:sz w:val="16"/>
              </w:rPr>
              <w:t>CLOSED</w:t>
            </w:r>
          </w:p>
        </w:tc>
        <w:tc>
          <w:tcPr>
            <w:tcW w:type="dxa" w:w="3744"/>
            <w:shd w:fill="F9FBE7"/>
            <w:tcMar>
              <w:top w:w="50" w:type="dxa"/>
              <w:bottom w:w="50" w:type="dxa"/>
              <w:left w:w="70" w:type="dxa"/>
              <w:right w:w="70" w:type="dxa"/>
            </w:tcMar>
          </w:tcPr>
          <w:p>
            <w:pPr>
              <w:spacing w:after="0" w:line="252" w:lineRule="auto"/>
            </w:pPr>
            <w:r>
              <w:rPr>
                <w:rFonts w:ascii="Calibri" w:hAnsi="Calibri"/>
                <w:sz w:val="16"/>
              </w:rPr>
              <w:t>Kriteria sentra kedelai dibakukan ex-ante: aktif N &gt;= 6 tahun = tepat 17 sentra kabupaten. Baris valid terkunci: 108 baris aktif kedelai (2015-2021), 124 baris aktif jagung.</w:t>
            </w:r>
          </w:p>
        </w:tc>
      </w:tr>
      <w:tr>
        <w:trPr>
          <w:cantSplit/>
        </w:trPr>
        <w:tc>
          <w:tcPr>
            <w:tcW w:type="dxa" w:w="1152"/>
            <w:shd w:fill="FFFFFF"/>
            <w:tcMar>
              <w:top w:w="50" w:type="dxa"/>
              <w:bottom w:w="50" w:type="dxa"/>
              <w:left w:w="70" w:type="dxa"/>
              <w:right w:w="70" w:type="dxa"/>
            </w:tcMar>
          </w:tcPr>
          <w:p>
            <w:pPr>
              <w:spacing w:after="0" w:line="252" w:lineRule="auto"/>
            </w:pPr>
            <w:r>
              <w:rPr>
                <w:rFonts w:ascii="Calibri" w:hAnsi="Calibri"/>
                <w:b/>
                <w:sz w:val="16"/>
              </w:rPr>
              <w:t>A10</w:t>
            </w:r>
          </w:p>
        </w:tc>
        <w:tc>
          <w:tcPr>
            <w:tcW w:type="dxa" w:w="2592"/>
            <w:shd w:fill="FFFFFF"/>
            <w:tcMar>
              <w:top w:w="50" w:type="dxa"/>
              <w:bottom w:w="50" w:type="dxa"/>
              <w:left w:w="70" w:type="dxa"/>
              <w:right w:w="70" w:type="dxa"/>
            </w:tcMar>
          </w:tcPr>
          <w:p>
            <w:pPr>
              <w:spacing w:after="0" w:line="252" w:lineRule="auto"/>
            </w:pPr>
            <w:r>
              <w:rPr>
                <w:rFonts w:ascii="Calibri" w:hAnsi="Calibri"/>
                <w:sz w:val="16"/>
              </w:rPr>
              <w:t>Jagung &amp; Kedelai 2022 SUSPECT</w:t>
            </w:r>
          </w:p>
        </w:tc>
        <w:tc>
          <w:tcPr>
            <w:tcW w:type="dxa" w:w="1872"/>
            <w:shd w:fill="FFFFFF"/>
            <w:tcMar>
              <w:top w:w="50" w:type="dxa"/>
              <w:bottom w:w="50" w:type="dxa"/>
              <w:left w:w="70" w:type="dxa"/>
              <w:right w:w="70" w:type="dxa"/>
            </w:tcMar>
          </w:tcPr>
          <w:p>
            <w:pPr>
              <w:spacing w:after="0" w:line="252" w:lineRule="auto"/>
            </w:pPr>
            <w:r>
              <w:rPr>
                <w:rFonts w:ascii="Calibri" w:hAnsi="Calibri"/>
                <w:sz w:val="16"/>
              </w:rPr>
              <w:t>CLOSED</w:t>
            </w:r>
          </w:p>
        </w:tc>
        <w:tc>
          <w:tcPr>
            <w:tcW w:type="dxa" w:w="3744"/>
            <w:shd w:fill="FFFFFF"/>
            <w:tcMar>
              <w:top w:w="50" w:type="dxa"/>
              <w:bottom w:w="50" w:type="dxa"/>
              <w:left w:w="70" w:type="dxa"/>
              <w:right w:w="70" w:type="dxa"/>
            </w:tcMar>
          </w:tcPr>
          <w:p>
            <w:pPr>
              <w:spacing w:after="0" w:line="252" w:lineRule="auto"/>
            </w:pPr>
            <w:r>
              <w:rPr>
                <w:rFonts w:ascii="Calibri" w:hAnsi="Calibri"/>
                <w:sz w:val="16"/>
              </w:rPr>
              <w:t>Tahun 2022 resmi ditandai SUSPECT (13 kab yield jagung persis 75.70 ku/ha; SD kedelai runtuh ke 0.19 ku/ha). 2022 resmi dieksklusikan dari panel utama regresi (T=7, 2015-2021).</w:t>
            </w:r>
          </w:p>
        </w:tc>
      </w:tr>
      <w:tr>
        <w:trPr>
          <w:cantSplit/>
        </w:trPr>
        <w:tc>
          <w:tcPr>
            <w:tcW w:type="dxa" w:w="1152"/>
            <w:shd w:fill="F9FBE7"/>
            <w:tcMar>
              <w:top w:w="50" w:type="dxa"/>
              <w:bottom w:w="50" w:type="dxa"/>
              <w:left w:w="70" w:type="dxa"/>
              <w:right w:w="70" w:type="dxa"/>
            </w:tcMar>
          </w:tcPr>
          <w:p>
            <w:pPr>
              <w:spacing w:after="0" w:line="252" w:lineRule="auto"/>
            </w:pPr>
            <w:r>
              <w:rPr>
                <w:rFonts w:ascii="Calibri" w:hAnsi="Calibri"/>
                <w:b/>
                <w:sz w:val="16"/>
              </w:rPr>
              <w:t>A11</w:t>
            </w:r>
          </w:p>
        </w:tc>
        <w:tc>
          <w:tcPr>
            <w:tcW w:type="dxa" w:w="2592"/>
            <w:shd w:fill="F9FBE7"/>
            <w:tcMar>
              <w:top w:w="50" w:type="dxa"/>
              <w:bottom w:w="50" w:type="dxa"/>
              <w:left w:w="70" w:type="dxa"/>
              <w:right w:w="70" w:type="dxa"/>
            </w:tcMar>
          </w:tcPr>
          <w:p>
            <w:pPr>
              <w:spacing w:after="0" w:line="252" w:lineRule="auto"/>
            </w:pPr>
            <w:r>
              <w:rPr>
                <w:rFonts w:ascii="Calibri" w:hAnsi="Calibri"/>
                <w:sz w:val="16"/>
              </w:rPr>
              <w:t>Kebersihan Repositori &amp; Verifikasi Git</w:t>
            </w:r>
          </w:p>
        </w:tc>
        <w:tc>
          <w:tcPr>
            <w:tcW w:type="dxa" w:w="1872"/>
            <w:shd w:fill="F9FBE7"/>
            <w:tcMar>
              <w:top w:w="50" w:type="dxa"/>
              <w:bottom w:w="50" w:type="dxa"/>
              <w:left w:w="70" w:type="dxa"/>
              <w:right w:w="70" w:type="dxa"/>
            </w:tcMar>
          </w:tcPr>
          <w:p>
            <w:pPr>
              <w:spacing w:after="0" w:line="252" w:lineRule="auto"/>
            </w:pPr>
            <w:r>
              <w:rPr>
                <w:rFonts w:ascii="Calibri" w:hAnsi="Calibri"/>
                <w:sz w:val="16"/>
              </w:rPr>
              <w:t>CLOSED</w:t>
            </w:r>
          </w:p>
        </w:tc>
        <w:tc>
          <w:tcPr>
            <w:tcW w:type="dxa" w:w="3744"/>
            <w:shd w:fill="F9FBE7"/>
            <w:tcMar>
              <w:top w:w="50" w:type="dxa"/>
              <w:bottom w:w="50" w:type="dxa"/>
              <w:left w:w="70" w:type="dxa"/>
              <w:right w:w="70" w:type="dxa"/>
            </w:tcMar>
          </w:tcPr>
          <w:p>
            <w:pPr>
              <w:spacing w:after="0" w:line="252" w:lineRule="auto"/>
            </w:pPr>
            <w:r>
              <w:rPr>
                <w:rFonts w:ascii="Calibri" w:hAnsi="Calibri"/>
                <w:sz w:val="16"/>
              </w:rPr>
              <w:t>Tag v2-audit-closure utuh pada hash 7b645d2652ba52063e4da3313f8a7994cc39a7be di commit f733079. Tag audit-v3 terkunci pada hash 6df2e920cf9c5d93ed47de6d3c658edc29569121 di commit 1aa2e01. HEAD pada commit 6c6ac5e. Working tree bersih.</w:t>
            </w:r>
          </w:p>
        </w:tc>
      </w:tr>
    </w:tbl>
    <w:p>
      <w:pPr>
        <w:spacing w:after="120"/>
      </w:pPr>
    </w:p>
    <w:p>
      <w:pPr>
        <w:pStyle w:val="Heading1"/>
        <w:spacing w:before="280" w:after="120"/>
      </w:pPr>
      <w:r>
        <w:t>4. Profil Detail Exploratory Data Analysis per Dataset (NB01 – NB09)</w:t>
      </w:r>
    </w:p>
    <w:p>
      <w:pPr>
        <w:pStyle w:val="Heading2"/>
      </w:pPr>
      <w:r>
        <w:t>4.1 AgERA5 Agricultural Reanalysis (DS01) — Notebook 01</w:t>
      </w:r>
    </w:p>
    <w:p>
      <w:r>
        <w:t>• Profil Data Generating Process: AgERA5 adalah produk reanalisis ECMWF ERA5 yang di-downscale secara khusus untuk aplikasi pertanian pada grid 0.1° (~10 km). Di Jawa Barat, dataset diekstraksi untuk 27 unit kabupaten/kota selama 120 bulan (2015–2024).</w:t>
        <w:br/>
        <w:t>• Verifikasi Termodinamika: 100.0% observasi harian lolos batas kelayakan fisis (Tmax &gt;= Tmin, RH dalam interval [0, 100]%, presipitasi &gt;= 0).</w:t>
        <w:br/>
        <w:t>• Resolusi Spasial Efektif: 27 unit kabupaten/kota memetakan ke tepat 22 sel grid unik (5 pasang wilayah administrasi bertetangga berbagi sel yang sama akibat kedekatan geografis: Kab/Kota Bogor, Kab/Kota Cirebon, Kab/Kota Bandung, Ciamis–Kota Tasikmalaya, dan Bandung Barat–Kota Cimahi).</w:t>
        <w:br/>
        <w:t>• Analisis PCA Anomali Demeaned per Tahun (22 Sel x 120 Bulan): Menguji variasi spasial murni tanpa bias tren tahunan bersama. Hasil dekomposisi membuktikan: PC1 menjelaskan 69.02% varians, PC2 menjelaskan 11.95% (kumulatif 2 komponen = 80.97%). Korelasi rata-rata anomali antar-sel adalah r = 0.6671. Loading PC1 bernilai seragam positif di seluruh sel (merekam sinkronisasi monsun/ENSO regional), sedangkan loading PC2 menangkap kontras spasial ilmiah antara dataran rendah pantai utara (Pantura) dan lereng vulkanik pegunungan selatan (Priangan). Varians tersisa sebesar 19.03% terdistribusi pada komponen 3 hingga 22, membuktikan variabilitas lokal tetap ada tanpa simplifikasi berlebihan.</w:t>
        <w:br/>
        <w:t>• Dampak Two-Way FE terhadap Variasi Cuaca: Variasi hujan mentah Feb–Apr memiliki standar deviasi 229.36 mm. Setelah Fixed Effects kabupaten dan tahun diserap, standar deviasi residu cuaca menyusut ke 101.74 mm (hujan) dan 0.09°C (Tmax). Variasi residual tipis inilah yang tersedia untuk identifikasi hasil panen.</w:t>
      </w:r>
    </w:p>
    <w:p>
      <w:pPr>
        <w:spacing w:after="40"/>
      </w:pPr>
    </w:p>
    <w:p>
      <w:r>
        <w:drawing>
          <wp:inline xmlns:a="http://schemas.openxmlformats.org/drawingml/2006/main" xmlns:pic="http://schemas.openxmlformats.org/drawingml/2006/picture">
            <wp:extent cx="5303520" cy="2851149"/>
            <wp:docPr id="1" name="Picture 1"/>
            <wp:cNvGraphicFramePr>
              <a:graphicFrameLocks noChangeAspect="1"/>
            </wp:cNvGraphicFramePr>
            <a:graphic>
              <a:graphicData uri="http://schemas.openxmlformats.org/drawingml/2006/picture">
                <pic:pic>
                  <pic:nvPicPr>
                    <pic:cNvPr id="0" name="fig01_pemetaan_27_unit_ke_22_sel_grid_elevasi.png"/>
                    <pic:cNvPicPr/>
                  </pic:nvPicPr>
                  <pic:blipFill>
                    <a:blip r:embed="rId9"/>
                    <a:stretch>
                      <a:fillRect/>
                    </a:stretch>
                  </pic:blipFill>
                  <pic:spPr>
                    <a:xfrm>
                      <a:off x="0" y="0"/>
                      <a:ext cx="5303520" cy="2851149"/>
                    </a:xfrm>
                    <a:prstGeom prst="rect"/>
                  </pic:spPr>
                </pic:pic>
              </a:graphicData>
            </a:graphic>
          </wp:inline>
        </w:drawing>
      </w:r>
    </w:p>
    <w:p>
      <w:pPr>
        <w:spacing w:after="160"/>
      </w:pPr>
      <w:r>
        <w:t>Gambar 4.1: Pemetaan 27 Unit Administrasi Jawa Barat ke 22 Sel Grid AgERA5 Unik dan Kontras Elevasi SRTM DEM.</w:t>
      </w:r>
    </w:p>
    <w:p>
      <w:pPr>
        <w:spacing w:after="40"/>
      </w:pPr>
    </w:p>
    <w:p>
      <w:r>
        <w:drawing>
          <wp:inline xmlns:a="http://schemas.openxmlformats.org/drawingml/2006/main" xmlns:pic="http://schemas.openxmlformats.org/drawingml/2006/picture">
            <wp:extent cx="5303520" cy="2521711"/>
            <wp:docPr id="2" name="Picture 2"/>
            <wp:cNvGraphicFramePr>
              <a:graphicFrameLocks noChangeAspect="1"/>
            </wp:cNvGraphicFramePr>
            <a:graphic>
              <a:graphicData uri="http://schemas.openxmlformats.org/drawingml/2006/picture">
                <pic:pic>
                  <pic:nvPicPr>
                    <pic:cNvPr id="0" name="fig04_korelasi_spasial_anomali_pca_22_sel.png"/>
                    <pic:cNvPicPr/>
                  </pic:nvPicPr>
                  <pic:blipFill>
                    <a:blip r:embed="rId10"/>
                    <a:stretch>
                      <a:fillRect/>
                    </a:stretch>
                  </pic:blipFill>
                  <pic:spPr>
                    <a:xfrm>
                      <a:off x="0" y="0"/>
                      <a:ext cx="5303520" cy="2521711"/>
                    </a:xfrm>
                    <a:prstGeom prst="rect"/>
                  </pic:spPr>
                </pic:pic>
              </a:graphicData>
            </a:graphic>
          </wp:inline>
        </w:drawing>
      </w:r>
    </w:p>
    <w:p>
      <w:pPr>
        <w:spacing w:after="160"/>
      </w:pPr>
      <w:r>
        <w:t>Gambar 4.2: Matriks Korelasi Spasial Anomali AgERA5 dan Dekomposisi PCA Demeaned per Tahun (PC1 = 69.02%, PC2 = 11.95%; Kumulatif = 80.97%; r Rata-rata = 0.6671).</w:t>
      </w:r>
    </w:p>
    <w:p>
      <w:pPr>
        <w:pStyle w:val="Heading2"/>
      </w:pPr>
      <w:r>
        <w:t>4.2 Bangladesh Rice Panel Benchmark (DS02) — Notebook 02</w:t>
      </w:r>
    </w:p>
    <w:p>
      <w:r>
        <w:t>• Karakteristik Panel: Panel balanced 100% yang terdiri dari 64 distrik x 3 musim x 9 tahun (2015–2023) = 1.728 baris tanpa nilai hilang.</w:t>
        <w:br/>
        <w:t>• Dinamika Musiman: Musim Boro (musim dingin bertenaga irigasi pompa) mencatat hasil tertinggi dan variabilitas terendah; Aus dan Aman mencerminkan variabilitas hujan muson.</w:t>
        <w:br/>
        <w:t>• Partisi Variansi TWFE: Komponen temporal menyerap 64.82% varians, spasial distrik menyerap 11.42%, dan residu menyisakan 23.76% (koefisien TWFE curah hujan = -0.0433 per 100 mm).</w:t>
        <w:br/>
        <w:t>• Peran Arsitektur: Berfungsi sebagai patokan metodologis struktur panel dan validasi algoritma Two-Way Fixed Effects, bukan sebagai donor parameter untuk Jawa Barat.</w:t>
      </w:r>
    </w:p>
    <w:p>
      <w:pPr>
        <w:spacing w:after="40"/>
      </w:pPr>
    </w:p>
    <w:p>
      <w:r>
        <w:drawing>
          <wp:inline xmlns:a="http://schemas.openxmlformats.org/drawingml/2006/main" xmlns:pic="http://schemas.openxmlformats.org/drawingml/2006/picture">
            <wp:extent cx="5303520" cy="3830320"/>
            <wp:docPr id="3" name="Picture 3"/>
            <wp:cNvGraphicFramePr>
              <a:graphicFrameLocks noChangeAspect="1"/>
            </wp:cNvGraphicFramePr>
            <a:graphic>
              <a:graphicData uri="http://schemas.openxmlformats.org/drawingml/2006/picture">
                <pic:pic>
                  <pic:nvPicPr>
                    <pic:cNvPr id="0" name="fig02_dekomposisi_varians_nested_bangladesh.png"/>
                    <pic:cNvPicPr/>
                  </pic:nvPicPr>
                  <pic:blipFill>
                    <a:blip r:embed="rId11"/>
                    <a:stretch>
                      <a:fillRect/>
                    </a:stretch>
                  </pic:blipFill>
                  <pic:spPr>
                    <a:xfrm>
                      <a:off x="0" y="0"/>
                      <a:ext cx="5303520" cy="3830320"/>
                    </a:xfrm>
                    <a:prstGeom prst="rect"/>
                  </pic:spPr>
                </pic:pic>
              </a:graphicData>
            </a:graphic>
          </wp:inline>
        </w:drawing>
      </w:r>
    </w:p>
    <w:p>
      <w:pPr>
        <w:spacing w:after="160"/>
      </w:pPr>
      <w:r>
        <w:t>Gambar 4.3: Dekomposisi Variansi Log Yield Padi Bangladesh (Komponen Musim &amp; Tahun Menyerap 64.82%, Distrik 11.42%, Residu Cuaca Lokal 23.76%).</w:t>
      </w:r>
    </w:p>
    <w:p>
      <w:pPr>
        <w:pStyle w:val="Heading2"/>
      </w:pPr>
      <w:r>
        <w:t>4.3 West Java Rice Productivity (DS03) — Notebook 03</w:t>
      </w:r>
    </w:p>
    <w:p>
      <w:r>
        <w:t>• Rekonsiliasi Terhadap Angka BPS Resmi: Rata-rata berbobot luas panen DS03 cocok sempurna 100.0% dengan BPS Jawa Barat Dalam Angka pada periode baseline 2015–2017: 2015: 61.22 vs 61.22 ku/ha; 2016: 60.49 vs 60.49 ku/ha; 2017: 58.87 vs 58.87 ku/ha (selisih &lt; 0.01%).</w:t>
        <w:br/>
        <w:t>• Status 2018–2020 UNVERIFIED: Karena data publikasi BPS KSA per kabupaten/kota 2018–2020 belum tersedia secara terbuka di bps_manual_input.csv, periode ini dikunci sebagai UNVERIFIED dan dilarang sebagai pembanding.</w:t>
        <w:br/>
        <w:t>• Isolasi Artefak Pelaporan 2019: Terjadi lonjakan serempak +19% s.d. +22% (median rasio 1.1913) di seluruh 27 kabupaten/kota pada 2019. Analisis membuktikan lonjakan terjadi simultan pada padi sawah dan padi ladang: artefak administratif serentak (sawah +23%, ladang +55%), penyebab belum diketahui.</w:t>
        <w:br/>
        <w:t>• Kegagalan Kelayakan Panel T=3: Pada baseline bebas artefak 2015–2017 (T=3, N=54), variasi dalam-kabupaten (Within-CV) hanya 2.14%. Two-Way FE menyerap hampir seluruh variabilitas, menyisakan derajat bebas sempit df = 33. MDE sempit (+-0.0255) terbukti palsu akibat kehabisan derajat bebas. Padi dinyatakan tidak layak masuk regresi empiris cuaca.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1008"/>
            <w:shd w:fill="1B5E20"/>
            <w:tcMar>
              <w:top w:w="70" w:type="dxa"/>
              <w:bottom w:w="70" w:type="dxa"/>
              <w:left w:w="90" w:type="dxa"/>
              <w:right w:w="90" w:type="dxa"/>
            </w:tcMar>
          </w:tcPr>
          <w:p>
            <w:pPr>
              <w:spacing w:after="0" w:line="252" w:lineRule="auto"/>
            </w:pPr>
            <w:r>
              <w:rPr>
                <w:rFonts w:ascii="Calibri" w:hAnsi="Calibri"/>
                <w:b/>
                <w:color w:val="FFFFFF"/>
                <w:sz w:val="17"/>
              </w:rPr>
              <w:t>Tahun</w:t>
            </w:r>
          </w:p>
        </w:tc>
        <w:tc>
          <w:tcPr>
            <w:tcW w:type="dxa" w:w="2160"/>
            <w:shd w:fill="1B5E20"/>
            <w:tcMar>
              <w:top w:w="70" w:type="dxa"/>
              <w:bottom w:w="70" w:type="dxa"/>
              <w:left w:w="90" w:type="dxa"/>
              <w:right w:w="90" w:type="dxa"/>
            </w:tcMar>
          </w:tcPr>
          <w:p>
            <w:pPr>
              <w:spacing w:after="0" w:line="252" w:lineRule="auto"/>
            </w:pPr>
            <w:r>
              <w:rPr>
                <w:rFonts w:ascii="Calibri" w:hAnsi="Calibri"/>
                <w:b/>
                <w:color w:val="FFFFFF"/>
                <w:sz w:val="17"/>
              </w:rPr>
              <w:t>BPS Jawa Barat Dalam Angka</w:t>
            </w:r>
          </w:p>
        </w:tc>
        <w:tc>
          <w:tcPr>
            <w:tcW w:type="dxa" w:w="2160"/>
            <w:shd w:fill="1B5E20"/>
            <w:tcMar>
              <w:top w:w="70" w:type="dxa"/>
              <w:bottom w:w="70" w:type="dxa"/>
              <w:left w:w="90" w:type="dxa"/>
              <w:right w:w="90" w:type="dxa"/>
            </w:tcMar>
          </w:tcPr>
          <w:p>
            <w:pPr>
              <w:spacing w:after="0" w:line="252" w:lineRule="auto"/>
            </w:pPr>
            <w:r>
              <w:rPr>
                <w:rFonts w:ascii="Calibri" w:hAnsi="Calibri"/>
                <w:b/>
                <w:color w:val="FFFFFF"/>
                <w:sz w:val="17"/>
              </w:rPr>
              <w:t>DS03 Rata-rata Berbobot Luas</w:t>
            </w:r>
          </w:p>
        </w:tc>
        <w:tc>
          <w:tcPr>
            <w:tcW w:type="dxa" w:w="1008"/>
            <w:shd w:fill="1B5E20"/>
            <w:tcMar>
              <w:top w:w="70" w:type="dxa"/>
              <w:bottom w:w="70" w:type="dxa"/>
              <w:left w:w="90" w:type="dxa"/>
              <w:right w:w="90" w:type="dxa"/>
            </w:tcMar>
          </w:tcPr>
          <w:p>
            <w:pPr>
              <w:spacing w:after="0" w:line="252" w:lineRule="auto"/>
            </w:pPr>
            <w:r>
              <w:rPr>
                <w:rFonts w:ascii="Calibri" w:hAnsi="Calibri"/>
                <w:b/>
                <w:color w:val="FFFFFF"/>
                <w:sz w:val="17"/>
              </w:rPr>
              <w:t>Selisih (%)</w:t>
            </w:r>
          </w:p>
        </w:tc>
        <w:tc>
          <w:tcPr>
            <w:tcW w:type="dxa" w:w="1440"/>
            <w:shd w:fill="1B5E20"/>
            <w:tcMar>
              <w:top w:w="70" w:type="dxa"/>
              <w:bottom w:w="70" w:type="dxa"/>
              <w:left w:w="90" w:type="dxa"/>
              <w:right w:w="90" w:type="dxa"/>
            </w:tcMar>
          </w:tcPr>
          <w:p>
            <w:pPr>
              <w:spacing w:after="0" w:line="252" w:lineRule="auto"/>
            </w:pPr>
            <w:r>
              <w:rPr>
                <w:rFonts w:ascii="Calibri" w:hAnsi="Calibri"/>
                <w:b/>
                <w:color w:val="FFFFFF"/>
                <w:sz w:val="17"/>
              </w:rPr>
              <w:t>Status Verifikasi</w:t>
            </w:r>
          </w:p>
        </w:tc>
        <w:tc>
          <w:tcPr>
            <w:tcW w:type="dxa" w:w="2304"/>
            <w:shd w:fill="1B5E20"/>
            <w:tcMar>
              <w:top w:w="70" w:type="dxa"/>
              <w:bottom w:w="70" w:type="dxa"/>
              <w:left w:w="90" w:type="dxa"/>
              <w:right w:w="90" w:type="dxa"/>
            </w:tcMar>
          </w:tcPr>
          <w:p>
            <w:pPr>
              <w:spacing w:after="0" w:line="252" w:lineRule="auto"/>
            </w:pPr>
            <w:r>
              <w:rPr>
                <w:rFonts w:ascii="Calibri" w:hAnsi="Calibri"/>
                <w:b/>
                <w:color w:val="FFFFFF"/>
                <w:sz w:val="17"/>
              </w:rPr>
              <w:t>Sumber Halaman / Referensi</w:t>
            </w:r>
          </w:p>
        </w:tc>
      </w:tr>
      <w:tr>
        <w:trPr>
          <w:cantSplit/>
        </w:trPr>
        <w:tc>
          <w:tcPr>
            <w:tcW w:type="dxa" w:w="1008"/>
            <w:shd w:fill="F1F8E9"/>
            <w:tcMar>
              <w:top w:w="50" w:type="dxa"/>
              <w:bottom w:w="50" w:type="dxa"/>
              <w:left w:w="70" w:type="dxa"/>
              <w:right w:w="70" w:type="dxa"/>
            </w:tcMar>
          </w:tcPr>
          <w:p>
            <w:pPr>
              <w:spacing w:after="0" w:line="252" w:lineRule="auto"/>
            </w:pPr>
            <w:r>
              <w:rPr>
                <w:rFonts w:ascii="Calibri" w:hAnsi="Calibri"/>
                <w:b/>
                <w:sz w:val="16"/>
              </w:rPr>
              <w:t>2015</w:t>
            </w:r>
          </w:p>
        </w:tc>
        <w:tc>
          <w:tcPr>
            <w:tcW w:type="dxa" w:w="2160"/>
            <w:shd w:fill="F1F8E9"/>
            <w:tcMar>
              <w:top w:w="50" w:type="dxa"/>
              <w:bottom w:w="50" w:type="dxa"/>
              <w:left w:w="70" w:type="dxa"/>
              <w:right w:w="70" w:type="dxa"/>
            </w:tcMar>
          </w:tcPr>
          <w:p>
            <w:pPr>
              <w:spacing w:after="0" w:line="252" w:lineRule="auto"/>
            </w:pPr>
            <w:r>
              <w:rPr>
                <w:rFonts w:ascii="Calibri" w:hAnsi="Calibri"/>
                <w:sz w:val="16"/>
              </w:rPr>
              <w:t>61.22 ku/ha</w:t>
            </w:r>
          </w:p>
        </w:tc>
        <w:tc>
          <w:tcPr>
            <w:tcW w:type="dxa" w:w="2160"/>
            <w:shd w:fill="F1F8E9"/>
            <w:tcMar>
              <w:top w:w="50" w:type="dxa"/>
              <w:bottom w:w="50" w:type="dxa"/>
              <w:left w:w="70" w:type="dxa"/>
              <w:right w:w="70" w:type="dxa"/>
            </w:tcMar>
          </w:tcPr>
          <w:p>
            <w:pPr>
              <w:spacing w:after="0" w:line="252" w:lineRule="auto"/>
            </w:pPr>
            <w:r>
              <w:rPr>
                <w:rFonts w:ascii="Calibri" w:hAnsi="Calibri"/>
                <w:sz w:val="16"/>
              </w:rPr>
              <w:t>61.22 ku/ha</w:t>
            </w:r>
          </w:p>
        </w:tc>
        <w:tc>
          <w:tcPr>
            <w:tcW w:type="dxa" w:w="1008"/>
            <w:shd w:fill="F1F8E9"/>
            <w:tcMar>
              <w:top w:w="50" w:type="dxa"/>
              <w:bottom w:w="50" w:type="dxa"/>
              <w:left w:w="70" w:type="dxa"/>
              <w:right w:w="70" w:type="dxa"/>
            </w:tcMar>
          </w:tcPr>
          <w:p>
            <w:pPr>
              <w:spacing w:after="0" w:line="252" w:lineRule="auto"/>
            </w:pPr>
            <w:r>
              <w:rPr>
                <w:rFonts w:ascii="Calibri" w:hAnsi="Calibri"/>
                <w:sz w:val="16"/>
              </w:rPr>
              <w:t>0.01%</w:t>
            </w:r>
          </w:p>
        </w:tc>
        <w:tc>
          <w:tcPr>
            <w:tcW w:type="dxa" w:w="1440"/>
            <w:shd w:fill="F1F8E9"/>
            <w:tcMar>
              <w:top w:w="50" w:type="dxa"/>
              <w:bottom w:w="50" w:type="dxa"/>
              <w:left w:w="70" w:type="dxa"/>
              <w:right w:w="70" w:type="dxa"/>
            </w:tcMar>
          </w:tcPr>
          <w:p>
            <w:pPr>
              <w:spacing w:after="0" w:line="252" w:lineRule="auto"/>
            </w:pPr>
            <w:r>
              <w:rPr>
                <w:rFonts w:ascii="Calibri" w:hAnsi="Calibri"/>
                <w:sz w:val="16"/>
              </w:rPr>
              <w:t>VERIFIED</w:t>
            </w:r>
          </w:p>
        </w:tc>
        <w:tc>
          <w:tcPr>
            <w:tcW w:type="dxa" w:w="2304"/>
            <w:shd w:fill="F1F8E9"/>
            <w:tcMar>
              <w:top w:w="50" w:type="dxa"/>
              <w:bottom w:w="50" w:type="dxa"/>
              <w:left w:w="70" w:type="dxa"/>
              <w:right w:w="70" w:type="dxa"/>
            </w:tcMar>
          </w:tcPr>
          <w:p>
            <w:pPr>
              <w:spacing w:after="0" w:line="252" w:lineRule="auto"/>
            </w:pPr>
            <w:r>
              <w:rPr>
                <w:rFonts w:ascii="Calibri" w:hAnsi="Calibri"/>
                <w:sz w:val="16"/>
              </w:rPr>
              <w:t>BPS Jabar DDA 2016, Tabel 5.1.1, hal. 245</w:t>
            </w:r>
          </w:p>
        </w:tc>
      </w:tr>
      <w:tr>
        <w:trPr>
          <w:cantSplit/>
        </w:trPr>
        <w:tc>
          <w:tcPr>
            <w:tcW w:type="dxa" w:w="1008"/>
            <w:shd w:fill="FFFFFF"/>
            <w:tcMar>
              <w:top w:w="50" w:type="dxa"/>
              <w:bottom w:w="50" w:type="dxa"/>
              <w:left w:w="70" w:type="dxa"/>
              <w:right w:w="70" w:type="dxa"/>
            </w:tcMar>
          </w:tcPr>
          <w:p>
            <w:pPr>
              <w:spacing w:after="0" w:line="252" w:lineRule="auto"/>
            </w:pPr>
            <w:r>
              <w:rPr>
                <w:rFonts w:ascii="Calibri" w:hAnsi="Calibri"/>
                <w:b/>
                <w:sz w:val="16"/>
              </w:rPr>
              <w:t>2016</w:t>
            </w:r>
          </w:p>
        </w:tc>
        <w:tc>
          <w:tcPr>
            <w:tcW w:type="dxa" w:w="2160"/>
            <w:shd w:fill="FFFFFF"/>
            <w:tcMar>
              <w:top w:w="50" w:type="dxa"/>
              <w:bottom w:w="50" w:type="dxa"/>
              <w:left w:w="70" w:type="dxa"/>
              <w:right w:w="70" w:type="dxa"/>
            </w:tcMar>
          </w:tcPr>
          <w:p>
            <w:pPr>
              <w:spacing w:after="0" w:line="252" w:lineRule="auto"/>
            </w:pPr>
            <w:r>
              <w:rPr>
                <w:rFonts w:ascii="Calibri" w:hAnsi="Calibri"/>
                <w:sz w:val="16"/>
              </w:rPr>
              <w:t>60.49 ku/ha</w:t>
            </w:r>
          </w:p>
        </w:tc>
        <w:tc>
          <w:tcPr>
            <w:tcW w:type="dxa" w:w="2160"/>
            <w:shd w:fill="FFFFFF"/>
            <w:tcMar>
              <w:top w:w="50" w:type="dxa"/>
              <w:bottom w:w="50" w:type="dxa"/>
              <w:left w:w="70" w:type="dxa"/>
              <w:right w:w="70" w:type="dxa"/>
            </w:tcMar>
          </w:tcPr>
          <w:p>
            <w:pPr>
              <w:spacing w:after="0" w:line="252" w:lineRule="auto"/>
            </w:pPr>
            <w:r>
              <w:rPr>
                <w:rFonts w:ascii="Calibri" w:hAnsi="Calibri"/>
                <w:sz w:val="16"/>
              </w:rPr>
              <w:t>60.49 ku/ha</w:t>
            </w:r>
          </w:p>
        </w:tc>
        <w:tc>
          <w:tcPr>
            <w:tcW w:type="dxa" w:w="1008"/>
            <w:shd w:fill="FFFFFF"/>
            <w:tcMar>
              <w:top w:w="50" w:type="dxa"/>
              <w:bottom w:w="50" w:type="dxa"/>
              <w:left w:w="70" w:type="dxa"/>
              <w:right w:w="70" w:type="dxa"/>
            </w:tcMar>
          </w:tcPr>
          <w:p>
            <w:pPr>
              <w:spacing w:after="0" w:line="252" w:lineRule="auto"/>
            </w:pPr>
            <w:r>
              <w:rPr>
                <w:rFonts w:ascii="Calibri" w:hAnsi="Calibri"/>
                <w:sz w:val="16"/>
              </w:rPr>
              <w:t>0.00%</w:t>
            </w:r>
          </w:p>
        </w:tc>
        <w:tc>
          <w:tcPr>
            <w:tcW w:type="dxa" w:w="1440"/>
            <w:shd w:fill="FFFFFF"/>
            <w:tcMar>
              <w:top w:w="50" w:type="dxa"/>
              <w:bottom w:w="50" w:type="dxa"/>
              <w:left w:w="70" w:type="dxa"/>
              <w:right w:w="70" w:type="dxa"/>
            </w:tcMar>
          </w:tcPr>
          <w:p>
            <w:pPr>
              <w:spacing w:after="0" w:line="252" w:lineRule="auto"/>
            </w:pPr>
            <w:r>
              <w:rPr>
                <w:rFonts w:ascii="Calibri" w:hAnsi="Calibri"/>
                <w:sz w:val="16"/>
              </w:rPr>
              <w:t>VERIFIED</w:t>
            </w:r>
          </w:p>
        </w:tc>
        <w:tc>
          <w:tcPr>
            <w:tcW w:type="dxa" w:w="2304"/>
            <w:shd w:fill="FFFFFF"/>
            <w:tcMar>
              <w:top w:w="50" w:type="dxa"/>
              <w:bottom w:w="50" w:type="dxa"/>
              <w:left w:w="70" w:type="dxa"/>
              <w:right w:w="70" w:type="dxa"/>
            </w:tcMar>
          </w:tcPr>
          <w:p>
            <w:pPr>
              <w:spacing w:after="0" w:line="252" w:lineRule="auto"/>
            </w:pPr>
            <w:r>
              <w:rPr>
                <w:rFonts w:ascii="Calibri" w:hAnsi="Calibri"/>
                <w:sz w:val="16"/>
              </w:rPr>
              <w:t>BPS Jabar DDA 2017, Tabel 5.1.1, hal. 248</w:t>
            </w:r>
          </w:p>
        </w:tc>
      </w:tr>
      <w:tr>
        <w:trPr>
          <w:cantSplit/>
        </w:trPr>
        <w:tc>
          <w:tcPr>
            <w:tcW w:type="dxa" w:w="1008"/>
            <w:shd w:fill="F1F8E9"/>
            <w:tcMar>
              <w:top w:w="50" w:type="dxa"/>
              <w:bottom w:w="50" w:type="dxa"/>
              <w:left w:w="70" w:type="dxa"/>
              <w:right w:w="70" w:type="dxa"/>
            </w:tcMar>
          </w:tcPr>
          <w:p>
            <w:pPr>
              <w:spacing w:after="0" w:line="252" w:lineRule="auto"/>
            </w:pPr>
            <w:r>
              <w:rPr>
                <w:rFonts w:ascii="Calibri" w:hAnsi="Calibri"/>
                <w:b/>
                <w:sz w:val="16"/>
              </w:rPr>
              <w:t>2017</w:t>
            </w:r>
          </w:p>
        </w:tc>
        <w:tc>
          <w:tcPr>
            <w:tcW w:type="dxa" w:w="2160"/>
            <w:shd w:fill="F1F8E9"/>
            <w:tcMar>
              <w:top w:w="50" w:type="dxa"/>
              <w:bottom w:w="50" w:type="dxa"/>
              <w:left w:w="70" w:type="dxa"/>
              <w:right w:w="70" w:type="dxa"/>
            </w:tcMar>
          </w:tcPr>
          <w:p>
            <w:pPr>
              <w:spacing w:after="0" w:line="252" w:lineRule="auto"/>
            </w:pPr>
            <w:r>
              <w:rPr>
                <w:rFonts w:ascii="Calibri" w:hAnsi="Calibri"/>
                <w:sz w:val="16"/>
              </w:rPr>
              <w:t>58.87 ku/ha</w:t>
            </w:r>
          </w:p>
        </w:tc>
        <w:tc>
          <w:tcPr>
            <w:tcW w:type="dxa" w:w="2160"/>
            <w:shd w:fill="F1F8E9"/>
            <w:tcMar>
              <w:top w:w="50" w:type="dxa"/>
              <w:bottom w:w="50" w:type="dxa"/>
              <w:left w:w="70" w:type="dxa"/>
              <w:right w:w="70" w:type="dxa"/>
            </w:tcMar>
          </w:tcPr>
          <w:p>
            <w:pPr>
              <w:spacing w:after="0" w:line="252" w:lineRule="auto"/>
            </w:pPr>
            <w:r>
              <w:rPr>
                <w:rFonts w:ascii="Calibri" w:hAnsi="Calibri"/>
                <w:sz w:val="16"/>
              </w:rPr>
              <w:t>58.87 ku/ha</w:t>
            </w:r>
          </w:p>
        </w:tc>
        <w:tc>
          <w:tcPr>
            <w:tcW w:type="dxa" w:w="1008"/>
            <w:shd w:fill="F1F8E9"/>
            <w:tcMar>
              <w:top w:w="50" w:type="dxa"/>
              <w:bottom w:w="50" w:type="dxa"/>
              <w:left w:w="70" w:type="dxa"/>
              <w:right w:w="70" w:type="dxa"/>
            </w:tcMar>
          </w:tcPr>
          <w:p>
            <w:pPr>
              <w:spacing w:after="0" w:line="252" w:lineRule="auto"/>
            </w:pPr>
            <w:r>
              <w:rPr>
                <w:rFonts w:ascii="Calibri" w:hAnsi="Calibri"/>
                <w:sz w:val="16"/>
              </w:rPr>
              <w:t>0.00%</w:t>
            </w:r>
          </w:p>
        </w:tc>
        <w:tc>
          <w:tcPr>
            <w:tcW w:type="dxa" w:w="1440"/>
            <w:shd w:fill="F1F8E9"/>
            <w:tcMar>
              <w:top w:w="50" w:type="dxa"/>
              <w:bottom w:w="50" w:type="dxa"/>
              <w:left w:w="70" w:type="dxa"/>
              <w:right w:w="70" w:type="dxa"/>
            </w:tcMar>
          </w:tcPr>
          <w:p>
            <w:pPr>
              <w:spacing w:after="0" w:line="252" w:lineRule="auto"/>
            </w:pPr>
            <w:r>
              <w:rPr>
                <w:rFonts w:ascii="Calibri" w:hAnsi="Calibri"/>
                <w:sz w:val="16"/>
              </w:rPr>
              <w:t>VERIFIED</w:t>
            </w:r>
          </w:p>
        </w:tc>
        <w:tc>
          <w:tcPr>
            <w:tcW w:type="dxa" w:w="2304"/>
            <w:shd w:fill="F1F8E9"/>
            <w:tcMar>
              <w:top w:w="50" w:type="dxa"/>
              <w:bottom w:w="50" w:type="dxa"/>
              <w:left w:w="70" w:type="dxa"/>
              <w:right w:w="70" w:type="dxa"/>
            </w:tcMar>
          </w:tcPr>
          <w:p>
            <w:pPr>
              <w:spacing w:after="0" w:line="252" w:lineRule="auto"/>
            </w:pPr>
            <w:r>
              <w:rPr>
                <w:rFonts w:ascii="Calibri" w:hAnsi="Calibri"/>
                <w:sz w:val="16"/>
              </w:rPr>
              <w:t>BPS Jabar DDA 2018, Tabel 5.1.1, hal. 252</w:t>
            </w:r>
          </w:p>
        </w:tc>
      </w:tr>
      <w:tr>
        <w:trPr>
          <w:cantSplit/>
        </w:trPr>
        <w:tc>
          <w:tcPr>
            <w:tcW w:type="dxa" w:w="1008"/>
            <w:shd w:fill="FFFFFF"/>
            <w:tcMar>
              <w:top w:w="50" w:type="dxa"/>
              <w:bottom w:w="50" w:type="dxa"/>
              <w:left w:w="70" w:type="dxa"/>
              <w:right w:w="70" w:type="dxa"/>
            </w:tcMar>
          </w:tcPr>
          <w:p>
            <w:pPr>
              <w:spacing w:after="0" w:line="252" w:lineRule="auto"/>
            </w:pPr>
            <w:r>
              <w:rPr>
                <w:rFonts w:ascii="Calibri" w:hAnsi="Calibri"/>
                <w:b/>
                <w:sz w:val="16"/>
              </w:rPr>
              <w:t>2018</w:t>
            </w:r>
          </w:p>
        </w:tc>
        <w:tc>
          <w:tcPr>
            <w:tcW w:type="dxa" w:w="2160"/>
            <w:shd w:fill="FFFFFF"/>
            <w:tcMar>
              <w:top w:w="50" w:type="dxa"/>
              <w:bottom w:w="50" w:type="dxa"/>
              <w:left w:w="70" w:type="dxa"/>
              <w:right w:w="70" w:type="dxa"/>
            </w:tcMar>
          </w:tcPr>
          <w:p>
            <w:pPr>
              <w:spacing w:after="0" w:line="252" w:lineRule="auto"/>
            </w:pPr>
            <w:r>
              <w:rPr>
                <w:rFonts w:ascii="Calibri" w:hAnsi="Calibri"/>
                <w:sz w:val="16"/>
              </w:rPr>
              <w:t>[UNVERIFIED]</w:t>
            </w:r>
          </w:p>
        </w:tc>
        <w:tc>
          <w:tcPr>
            <w:tcW w:type="dxa" w:w="2160"/>
            <w:shd w:fill="FFFFFF"/>
            <w:tcMar>
              <w:top w:w="50" w:type="dxa"/>
              <w:bottom w:w="50" w:type="dxa"/>
              <w:left w:w="70" w:type="dxa"/>
              <w:right w:w="70" w:type="dxa"/>
            </w:tcMar>
          </w:tcPr>
          <w:p>
            <w:pPr>
              <w:spacing w:after="0" w:line="252" w:lineRule="auto"/>
            </w:pPr>
            <w:r>
              <w:rPr>
                <w:rFonts w:ascii="Calibri" w:hAnsi="Calibri"/>
                <w:sz w:val="16"/>
              </w:rPr>
              <w:t>57.14 ku/ha</w:t>
            </w:r>
          </w:p>
        </w:tc>
        <w:tc>
          <w:tcPr>
            <w:tcW w:type="dxa" w:w="1008"/>
            <w:shd w:fill="FFFFFF"/>
            <w:tcMar>
              <w:top w:w="50" w:type="dxa"/>
              <w:bottom w:w="50" w:type="dxa"/>
              <w:left w:w="70" w:type="dxa"/>
              <w:right w:w="70" w:type="dxa"/>
            </w:tcMar>
          </w:tcPr>
          <w:p>
            <w:pPr>
              <w:spacing w:after="0" w:line="252" w:lineRule="auto"/>
            </w:pPr>
            <w:r>
              <w:rPr>
                <w:rFonts w:ascii="Calibri" w:hAnsi="Calibri"/>
                <w:sz w:val="16"/>
              </w:rPr>
              <w:t>—</w:t>
            </w:r>
          </w:p>
        </w:tc>
        <w:tc>
          <w:tcPr>
            <w:tcW w:type="dxa" w:w="1440"/>
            <w:shd w:fill="FFFFFF"/>
            <w:tcMar>
              <w:top w:w="50" w:type="dxa"/>
              <w:bottom w:w="50" w:type="dxa"/>
              <w:left w:w="70" w:type="dxa"/>
              <w:right w:w="70" w:type="dxa"/>
            </w:tcMar>
          </w:tcPr>
          <w:p>
            <w:pPr>
              <w:spacing w:after="0" w:line="252" w:lineRule="auto"/>
            </w:pPr>
            <w:r>
              <w:rPr>
                <w:rFonts w:ascii="Calibri" w:hAnsi="Calibri"/>
                <w:sz w:val="16"/>
              </w:rPr>
              <w:t>UNVERIFIED</w:t>
            </w:r>
          </w:p>
        </w:tc>
        <w:tc>
          <w:tcPr>
            <w:tcW w:type="dxa" w:w="2304"/>
            <w:shd w:fill="FFFFFF"/>
            <w:tcMar>
              <w:top w:w="50" w:type="dxa"/>
              <w:bottom w:w="50" w:type="dxa"/>
              <w:left w:w="70" w:type="dxa"/>
              <w:right w:w="70" w:type="dxa"/>
            </w:tcMar>
          </w:tcPr>
          <w:p>
            <w:pPr>
              <w:spacing w:after="0" w:line="252" w:lineRule="auto"/>
            </w:pPr>
            <w:r>
              <w:rPr>
                <w:rFonts w:ascii="Calibri" w:hAnsi="Calibri"/>
                <w:sz w:val="16"/>
              </w:rPr>
              <w:t>Menunggu Publikasi Resmi BPS KSA Kab/Kota</w:t>
            </w:r>
          </w:p>
        </w:tc>
      </w:tr>
      <w:tr>
        <w:trPr>
          <w:cantSplit/>
        </w:trPr>
        <w:tc>
          <w:tcPr>
            <w:tcW w:type="dxa" w:w="1008"/>
            <w:shd w:fill="F1F8E9"/>
            <w:tcMar>
              <w:top w:w="50" w:type="dxa"/>
              <w:bottom w:w="50" w:type="dxa"/>
              <w:left w:w="70" w:type="dxa"/>
              <w:right w:w="70" w:type="dxa"/>
            </w:tcMar>
          </w:tcPr>
          <w:p>
            <w:pPr>
              <w:spacing w:after="0" w:line="252" w:lineRule="auto"/>
            </w:pPr>
            <w:r>
              <w:rPr>
                <w:rFonts w:ascii="Calibri" w:hAnsi="Calibri"/>
                <w:b/>
                <w:sz w:val="16"/>
              </w:rPr>
              <w:t>2019</w:t>
            </w:r>
          </w:p>
        </w:tc>
        <w:tc>
          <w:tcPr>
            <w:tcW w:type="dxa" w:w="2160"/>
            <w:shd w:fill="F1F8E9"/>
            <w:tcMar>
              <w:top w:w="50" w:type="dxa"/>
              <w:bottom w:w="50" w:type="dxa"/>
              <w:left w:w="70" w:type="dxa"/>
              <w:right w:w="70" w:type="dxa"/>
            </w:tcMar>
          </w:tcPr>
          <w:p>
            <w:pPr>
              <w:spacing w:after="0" w:line="252" w:lineRule="auto"/>
            </w:pPr>
            <w:r>
              <w:rPr>
                <w:rFonts w:ascii="Calibri" w:hAnsi="Calibri"/>
                <w:sz w:val="16"/>
              </w:rPr>
              <w:t>[UNVERIFIED]</w:t>
            </w:r>
          </w:p>
        </w:tc>
        <w:tc>
          <w:tcPr>
            <w:tcW w:type="dxa" w:w="2160"/>
            <w:shd w:fill="F1F8E9"/>
            <w:tcMar>
              <w:top w:w="50" w:type="dxa"/>
              <w:bottom w:w="50" w:type="dxa"/>
              <w:left w:w="70" w:type="dxa"/>
              <w:right w:w="70" w:type="dxa"/>
            </w:tcMar>
          </w:tcPr>
          <w:p>
            <w:pPr>
              <w:spacing w:after="0" w:line="252" w:lineRule="auto"/>
            </w:pPr>
            <w:r>
              <w:rPr>
                <w:rFonts w:ascii="Calibri" w:hAnsi="Calibri"/>
                <w:sz w:val="16"/>
              </w:rPr>
              <w:t>69.64 ku/ha (+21.8%)</w:t>
            </w:r>
          </w:p>
        </w:tc>
        <w:tc>
          <w:tcPr>
            <w:tcW w:type="dxa" w:w="1008"/>
            <w:shd w:fill="F1F8E9"/>
            <w:tcMar>
              <w:top w:w="50" w:type="dxa"/>
              <w:bottom w:w="50" w:type="dxa"/>
              <w:left w:w="70" w:type="dxa"/>
              <w:right w:w="70" w:type="dxa"/>
            </w:tcMar>
          </w:tcPr>
          <w:p>
            <w:pPr>
              <w:spacing w:after="0" w:line="252" w:lineRule="auto"/>
            </w:pPr>
            <w:r>
              <w:rPr>
                <w:rFonts w:ascii="Calibri" w:hAnsi="Calibri"/>
                <w:sz w:val="16"/>
              </w:rPr>
              <w:t>—</w:t>
            </w:r>
          </w:p>
        </w:tc>
        <w:tc>
          <w:tcPr>
            <w:tcW w:type="dxa" w:w="1440"/>
            <w:shd w:fill="F1F8E9"/>
            <w:tcMar>
              <w:top w:w="50" w:type="dxa"/>
              <w:bottom w:w="50" w:type="dxa"/>
              <w:left w:w="70" w:type="dxa"/>
              <w:right w:w="70" w:type="dxa"/>
            </w:tcMar>
          </w:tcPr>
          <w:p>
            <w:pPr>
              <w:spacing w:after="0" w:line="252" w:lineRule="auto"/>
            </w:pPr>
            <w:r>
              <w:rPr>
                <w:rFonts w:ascii="Calibri" w:hAnsi="Calibri"/>
                <w:sz w:val="16"/>
              </w:rPr>
              <w:t>UNVERIFIED (ARTEFAK)</w:t>
            </w:r>
          </w:p>
        </w:tc>
        <w:tc>
          <w:tcPr>
            <w:tcW w:type="dxa" w:w="2304"/>
            <w:shd w:fill="F1F8E9"/>
            <w:tcMar>
              <w:top w:w="50" w:type="dxa"/>
              <w:bottom w:w="50" w:type="dxa"/>
              <w:left w:w="70" w:type="dxa"/>
              <w:right w:w="70" w:type="dxa"/>
            </w:tcMar>
          </w:tcPr>
          <w:p>
            <w:pPr>
              <w:spacing w:after="0" w:line="252" w:lineRule="auto"/>
            </w:pPr>
            <w:r>
              <w:rPr>
                <w:rFonts w:ascii="Calibri" w:hAnsi="Calibri"/>
                <w:sz w:val="16"/>
              </w:rPr>
              <w:t>Artefak Administratif Serentak (Sawah +23%, Ladang +55%)</w:t>
            </w:r>
          </w:p>
        </w:tc>
      </w:tr>
      <w:tr>
        <w:trPr>
          <w:cantSplit/>
        </w:trPr>
        <w:tc>
          <w:tcPr>
            <w:tcW w:type="dxa" w:w="1008"/>
            <w:shd w:fill="FFFFFF"/>
            <w:tcMar>
              <w:top w:w="50" w:type="dxa"/>
              <w:bottom w:w="50" w:type="dxa"/>
              <w:left w:w="70" w:type="dxa"/>
              <w:right w:w="70" w:type="dxa"/>
            </w:tcMar>
          </w:tcPr>
          <w:p>
            <w:pPr>
              <w:spacing w:after="0" w:line="252" w:lineRule="auto"/>
            </w:pPr>
            <w:r>
              <w:rPr>
                <w:rFonts w:ascii="Calibri" w:hAnsi="Calibri"/>
                <w:b/>
                <w:sz w:val="16"/>
              </w:rPr>
              <w:t>2020</w:t>
            </w:r>
          </w:p>
        </w:tc>
        <w:tc>
          <w:tcPr>
            <w:tcW w:type="dxa" w:w="2160"/>
            <w:shd w:fill="FFFFFF"/>
            <w:tcMar>
              <w:top w:w="50" w:type="dxa"/>
              <w:bottom w:w="50" w:type="dxa"/>
              <w:left w:w="70" w:type="dxa"/>
              <w:right w:w="70" w:type="dxa"/>
            </w:tcMar>
          </w:tcPr>
          <w:p>
            <w:pPr>
              <w:spacing w:after="0" w:line="252" w:lineRule="auto"/>
            </w:pPr>
            <w:r>
              <w:rPr>
                <w:rFonts w:ascii="Calibri" w:hAnsi="Calibri"/>
                <w:sz w:val="16"/>
              </w:rPr>
              <w:t>[UNVERIFIED]</w:t>
            </w:r>
          </w:p>
        </w:tc>
        <w:tc>
          <w:tcPr>
            <w:tcW w:type="dxa" w:w="2160"/>
            <w:shd w:fill="FFFFFF"/>
            <w:tcMar>
              <w:top w:w="50" w:type="dxa"/>
              <w:bottom w:w="50" w:type="dxa"/>
              <w:left w:w="70" w:type="dxa"/>
              <w:right w:w="70" w:type="dxa"/>
            </w:tcMar>
          </w:tcPr>
          <w:p>
            <w:pPr>
              <w:spacing w:after="0" w:line="252" w:lineRule="auto"/>
            </w:pPr>
            <w:r>
              <w:rPr>
                <w:rFonts w:ascii="Calibri" w:hAnsi="Calibri"/>
                <w:sz w:val="16"/>
              </w:rPr>
              <w:t>56.40 ku/ha</w:t>
            </w:r>
          </w:p>
        </w:tc>
        <w:tc>
          <w:tcPr>
            <w:tcW w:type="dxa" w:w="1008"/>
            <w:shd w:fill="FFFFFF"/>
            <w:tcMar>
              <w:top w:w="50" w:type="dxa"/>
              <w:bottom w:w="50" w:type="dxa"/>
              <w:left w:w="70" w:type="dxa"/>
              <w:right w:w="70" w:type="dxa"/>
            </w:tcMar>
          </w:tcPr>
          <w:p>
            <w:pPr>
              <w:spacing w:after="0" w:line="252" w:lineRule="auto"/>
            </w:pPr>
            <w:r>
              <w:rPr>
                <w:rFonts w:ascii="Calibri" w:hAnsi="Calibri"/>
                <w:sz w:val="16"/>
              </w:rPr>
              <w:t>—</w:t>
            </w:r>
          </w:p>
        </w:tc>
        <w:tc>
          <w:tcPr>
            <w:tcW w:type="dxa" w:w="1440"/>
            <w:shd w:fill="FFFFFF"/>
            <w:tcMar>
              <w:top w:w="50" w:type="dxa"/>
              <w:bottom w:w="50" w:type="dxa"/>
              <w:left w:w="70" w:type="dxa"/>
              <w:right w:w="70" w:type="dxa"/>
            </w:tcMar>
          </w:tcPr>
          <w:p>
            <w:pPr>
              <w:spacing w:after="0" w:line="252" w:lineRule="auto"/>
            </w:pPr>
            <w:r>
              <w:rPr>
                <w:rFonts w:ascii="Calibri" w:hAnsi="Calibri"/>
                <w:sz w:val="16"/>
              </w:rPr>
              <w:t>UNVERIFIED</w:t>
            </w:r>
          </w:p>
        </w:tc>
        <w:tc>
          <w:tcPr>
            <w:tcW w:type="dxa" w:w="2304"/>
            <w:shd w:fill="FFFFFF"/>
            <w:tcMar>
              <w:top w:w="50" w:type="dxa"/>
              <w:bottom w:w="50" w:type="dxa"/>
              <w:left w:w="70" w:type="dxa"/>
              <w:right w:w="70" w:type="dxa"/>
            </w:tcMar>
          </w:tcPr>
          <w:p>
            <w:pPr>
              <w:spacing w:after="0" w:line="252" w:lineRule="auto"/>
            </w:pPr>
            <w:r>
              <w:rPr>
                <w:rFonts w:ascii="Calibri" w:hAnsi="Calibri"/>
                <w:sz w:val="16"/>
              </w:rPr>
              <w:t>Menunggu Publikasi Resmi BPS KSA Kab/Kota</w:t>
            </w:r>
          </w:p>
        </w:tc>
      </w:tr>
    </w:tbl>
    <w:p>
      <w:pPr>
        <w:spacing w:after="120"/>
      </w:pPr>
    </w:p>
    <w:p>
      <w:pPr>
        <w:spacing w:after="40"/>
      </w:pPr>
    </w:p>
    <w:p>
      <w:r>
        <w:drawing>
          <wp:inline xmlns:a="http://schemas.openxmlformats.org/drawingml/2006/main" xmlns:pic="http://schemas.openxmlformats.org/drawingml/2006/picture">
            <wp:extent cx="5303520" cy="3124230"/>
            <wp:docPr id="4" name="Picture 4"/>
            <wp:cNvGraphicFramePr>
              <a:graphicFrameLocks noChangeAspect="1"/>
            </wp:cNvGraphicFramePr>
            <a:graphic>
              <a:graphicData uri="http://schemas.openxmlformats.org/drawingml/2006/picture">
                <pic:pic>
                  <pic:nvPicPr>
                    <pic:cNvPr id="0" name="fig01_rekonsiliasi_ds03_berbobot_luas_vs_bps.png"/>
                    <pic:cNvPicPr/>
                  </pic:nvPicPr>
                  <pic:blipFill>
                    <a:blip r:embed="rId12"/>
                    <a:stretch>
                      <a:fillRect/>
                    </a:stretch>
                  </pic:blipFill>
                  <pic:spPr>
                    <a:xfrm>
                      <a:off x="0" y="0"/>
                      <a:ext cx="5303520" cy="3124230"/>
                    </a:xfrm>
                    <a:prstGeom prst="rect"/>
                  </pic:spPr>
                </pic:pic>
              </a:graphicData>
            </a:graphic>
          </wp:inline>
        </w:drawing>
      </w:r>
    </w:p>
    <w:p>
      <w:pPr>
        <w:spacing w:after="160"/>
      </w:pPr>
      <w:r>
        <w:t>Gambar 4.4: Rekonsiliasi Runtun Waktu DS03 Berbobot Luas vs Angka Resmi BPS Jabar (2015–2017 Cocok 100%; 2019 Terisolasi sebagai Artefak Administratif Serentak).</w:t>
      </w:r>
    </w:p>
    <w:p>
      <w:pPr>
        <w:spacing w:after="40"/>
      </w:pPr>
    </w:p>
    <w:p>
      <w:r>
        <w:drawing>
          <wp:inline xmlns:a="http://schemas.openxmlformats.org/drawingml/2006/main" xmlns:pic="http://schemas.openxmlformats.org/drawingml/2006/picture">
            <wp:extent cx="5303520" cy="3254098"/>
            <wp:docPr id="5" name="Picture 5"/>
            <wp:cNvGraphicFramePr>
              <a:graphicFrameLocks noChangeAspect="1"/>
            </wp:cNvGraphicFramePr>
            <a:graphic>
              <a:graphicData uri="http://schemas.openxmlformats.org/drawingml/2006/picture">
                <pic:pic>
                  <pic:nvPicPr>
                    <pic:cNvPr id="0" name="fig04_padi_sawah_vs_ladang_artefak_2019.png"/>
                    <pic:cNvPicPr/>
                  </pic:nvPicPr>
                  <pic:blipFill>
                    <a:blip r:embed="rId13"/>
                    <a:stretch>
                      <a:fillRect/>
                    </a:stretch>
                  </pic:blipFill>
                  <pic:spPr>
                    <a:xfrm>
                      <a:off x="0" y="0"/>
                      <a:ext cx="5303520" cy="3254098"/>
                    </a:xfrm>
                    <a:prstGeom prst="rect"/>
                  </pic:spPr>
                </pic:pic>
              </a:graphicData>
            </a:graphic>
          </wp:inline>
        </w:drawing>
      </w:r>
    </w:p>
    <w:p>
      <w:pPr>
        <w:spacing w:after="160"/>
      </w:pPr>
      <w:r>
        <w:t>Gambar 4.5: Komparasi Padi Sawah vs Padi Ladang (Lonjakan Administratif Serentak 2019: Sawah +23%, Ladang +55%, Penyebab Belum Diketahui).</w:t>
      </w:r>
    </w:p>
    <w:p>
      <w:pPr>
        <w:pStyle w:val="Heading2"/>
      </w:pPr>
      <w:r>
        <w:t>4.4 Agroclimatic Extreme Indicators (DS04) — Notebook 04</w:t>
      </w:r>
    </w:p>
    <w:p>
      <w:r>
        <w:t>• Pemadanan Kisi-kisi: Tepat 12 titik grid 0.25° memayungi daratan Jawa Barat dari total 14 titik bbox.</w:t>
        <w:br/>
        <w:t>• Penghapusan Ambang Absolut: Ambang Consecutive Dry Days (CDD) kaku (&gt;30 hari atau &gt;60 hari) digantikan evaluasi persentil empiris historis: P50 = 3–6 hari, P75 = 6–12 hari, dan P90 = 12–24 hari.</w:t>
        <w:br/>
        <w:t>• Circularity Verification: Korelasi anomali presipitasi bulanan DS04 terhadap AgERA5 mencapai r = 0.9932. Kesesuaian tinggi ini bukan validasi independen, melainkan konsekuensi turunan model atmosfer ECMWF ERA5 yang sama. DS04 diklasifikasikan sebagai pembanding internal sirkular.</w:t>
      </w:r>
    </w:p>
    <w:p>
      <w:pPr>
        <w:spacing w:after="40"/>
      </w:pPr>
    </w:p>
    <w:p>
      <w:r>
        <w:drawing>
          <wp:inline xmlns:a="http://schemas.openxmlformats.org/drawingml/2006/main" xmlns:pic="http://schemas.openxmlformats.org/drawingml/2006/picture">
            <wp:extent cx="5303520" cy="3056939"/>
            <wp:docPr id="6" name="Picture 6"/>
            <wp:cNvGraphicFramePr>
              <a:graphicFrameLocks noChangeAspect="1"/>
            </wp:cNvGraphicFramePr>
            <a:graphic>
              <a:graphicData uri="http://schemas.openxmlformats.org/drawingml/2006/picture">
                <pic:pic>
                  <pic:nvPicPr>
                    <pic:cNvPr id="0" name="fig04_distribusi_persentil_cdd_tanpa_ambang.png"/>
                    <pic:cNvPicPr/>
                  </pic:nvPicPr>
                  <pic:blipFill>
                    <a:blip r:embed="rId14"/>
                    <a:stretch>
                      <a:fillRect/>
                    </a:stretch>
                  </pic:blipFill>
                  <pic:spPr>
                    <a:xfrm>
                      <a:off x="0" y="0"/>
                      <a:ext cx="5303520" cy="3056939"/>
                    </a:xfrm>
                    <a:prstGeom prst="rect"/>
                  </pic:spPr>
                </pic:pic>
              </a:graphicData>
            </a:graphic>
          </wp:inline>
        </w:drawing>
      </w:r>
    </w:p>
    <w:p>
      <w:pPr>
        <w:spacing w:after="160"/>
      </w:pPr>
      <w:r>
        <w:t>Gambar 4.6: Distribusi Persentil Empiris Hari Kering Berturut-turut (CDD) Tanpa Ambang Batas Kaku (P50, P75, P90 Bebas Ambang Buatan).</w:t>
      </w:r>
    </w:p>
    <w:p>
      <w:pPr>
        <w:pStyle w:val="Heading2"/>
      </w:pPr>
      <w:r>
        <w:t>4.5 Subang &amp; West Java Maize Productivity (DS05) — Notebook 05</w:t>
      </w:r>
    </w:p>
    <w:p>
      <w:r>
        <w:t>• Matriks Sentra: 18 sentra kabupaten jagung memiliki panel aktif 2015–2021 (N = 124 observasi valid).</w:t>
        <w:br/>
        <w:t>• Bukti Empiris Artefak 2022 (SUSPECT): Pada 2022, 13 kabupaten memiliki angka produktivitas yang persis identik hingga dua desimal (75.70 ku/ha). Fenomena ini membuktikan imputasi seragam rata-rata dinas. Tahun 2022 resmi dieksklusikan dari panel utama regresi.</w:t>
        <w:br/>
        <w:t>• Investigasi Kasus Subang: Volatilitas Subang 2019 (+56.4% lonjakan yield) terbukti merupakan artefak denominator luas panen yang menyusut drastis (&lt;800 ha). Setelah tahun 2022 dieksklusikan, residu detrended linear Subang sangat stabil dengan CV 5.49%.</w:t>
        <w:br/>
        <w:t>• Partisi Variansi: FE Kabupaten menyerap 48.41%, FE Tahun menyerap 4.25%, dan residu menyisakan 47.34%.</w:t>
        <w:br/>
        <w:t>• Audit Outlier Spesifik: Ditemukan outlier administratif ekstrem pada Kab. Bandung 2017–2020 yang diidentifikasi sebagai placeholder dinas, serta lonjakan luas panen |Δln A| ekstrem di Indramayu dan Subang.</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cantSplit/>
        </w:trPr>
        <w:tc>
          <w:tcPr>
            <w:tcW w:type="dxa" w:w="1584"/>
            <w:shd w:fill="2E7D32"/>
            <w:tcMar>
              <w:top w:w="70" w:type="dxa"/>
              <w:bottom w:w="70" w:type="dxa"/>
              <w:left w:w="90" w:type="dxa"/>
              <w:right w:w="90" w:type="dxa"/>
            </w:tcMar>
          </w:tcPr>
          <w:p>
            <w:pPr>
              <w:spacing w:after="0" w:line="252" w:lineRule="auto"/>
            </w:pPr>
            <w:r>
              <w:rPr>
                <w:rFonts w:ascii="Calibri" w:hAnsi="Calibri"/>
                <w:b/>
                <w:color w:val="FFFFFF"/>
                <w:sz w:val="17"/>
              </w:rPr>
              <w:t>Kategori Outlier</w:t>
            </w:r>
          </w:p>
        </w:tc>
        <w:tc>
          <w:tcPr>
            <w:tcW w:type="dxa" w:w="1440"/>
            <w:shd w:fill="2E7D32"/>
            <w:tcMar>
              <w:top w:w="70" w:type="dxa"/>
              <w:bottom w:w="70" w:type="dxa"/>
              <w:left w:w="90" w:type="dxa"/>
              <w:right w:w="90" w:type="dxa"/>
            </w:tcMar>
          </w:tcPr>
          <w:p>
            <w:pPr>
              <w:spacing w:after="0" w:line="252" w:lineRule="auto"/>
            </w:pPr>
            <w:r>
              <w:rPr>
                <w:rFonts w:ascii="Calibri" w:hAnsi="Calibri"/>
                <w:b/>
                <w:color w:val="FFFFFF"/>
                <w:sz w:val="17"/>
              </w:rPr>
              <w:t>Kabupaten</w:t>
            </w:r>
          </w:p>
        </w:tc>
        <w:tc>
          <w:tcPr>
            <w:tcW w:type="dxa" w:w="864"/>
            <w:shd w:fill="2E7D32"/>
            <w:tcMar>
              <w:top w:w="70" w:type="dxa"/>
              <w:bottom w:w="70" w:type="dxa"/>
              <w:left w:w="90" w:type="dxa"/>
              <w:right w:w="90" w:type="dxa"/>
            </w:tcMar>
          </w:tcPr>
          <w:p>
            <w:pPr>
              <w:spacing w:after="0" w:line="252" w:lineRule="auto"/>
            </w:pPr>
            <w:r>
              <w:rPr>
                <w:rFonts w:ascii="Calibri" w:hAnsi="Calibri"/>
                <w:b/>
                <w:color w:val="FFFFFF"/>
                <w:sz w:val="17"/>
              </w:rPr>
              <w:t>Tahun</w:t>
            </w:r>
          </w:p>
        </w:tc>
        <w:tc>
          <w:tcPr>
            <w:tcW w:type="dxa" w:w="1152"/>
            <w:shd w:fill="2E7D32"/>
            <w:tcMar>
              <w:top w:w="70" w:type="dxa"/>
              <w:bottom w:w="70" w:type="dxa"/>
              <w:left w:w="90" w:type="dxa"/>
              <w:right w:w="90" w:type="dxa"/>
            </w:tcMar>
          </w:tcPr>
          <w:p>
            <w:pPr>
              <w:spacing w:after="0" w:line="252" w:lineRule="auto"/>
            </w:pPr>
            <w:r>
              <w:rPr>
                <w:rFonts w:ascii="Calibri" w:hAnsi="Calibri"/>
                <w:b/>
                <w:color w:val="FFFFFF"/>
                <w:sz w:val="17"/>
              </w:rPr>
              <w:t>Yield (ku/ha)</w:t>
            </w:r>
          </w:p>
        </w:tc>
        <w:tc>
          <w:tcPr>
            <w:tcW w:type="dxa" w:w="1440"/>
            <w:shd w:fill="2E7D32"/>
            <w:tcMar>
              <w:top w:w="70" w:type="dxa"/>
              <w:bottom w:w="70" w:type="dxa"/>
              <w:left w:w="90" w:type="dxa"/>
              <w:right w:w="90" w:type="dxa"/>
            </w:tcMar>
          </w:tcPr>
          <w:p>
            <w:pPr>
              <w:spacing w:after="0" w:line="252" w:lineRule="auto"/>
            </w:pPr>
            <w:r>
              <w:rPr>
                <w:rFonts w:ascii="Calibri" w:hAnsi="Calibri"/>
                <w:b/>
                <w:color w:val="FFFFFF"/>
                <w:sz w:val="17"/>
              </w:rPr>
              <w:t>Luas Panen (ha)</w:t>
            </w:r>
          </w:p>
        </w:tc>
        <w:tc>
          <w:tcPr>
            <w:tcW w:type="dxa" w:w="1296"/>
            <w:shd w:fill="2E7D32"/>
            <w:tcMar>
              <w:top w:w="70" w:type="dxa"/>
              <w:bottom w:w="70" w:type="dxa"/>
              <w:left w:w="90" w:type="dxa"/>
              <w:right w:w="90" w:type="dxa"/>
            </w:tcMar>
          </w:tcPr>
          <w:p>
            <w:pPr>
              <w:spacing w:after="0" w:line="252" w:lineRule="auto"/>
            </w:pPr>
            <w:r>
              <w:rPr>
                <w:rFonts w:ascii="Calibri" w:hAnsi="Calibri"/>
                <w:b/>
                <w:color w:val="FFFFFF"/>
                <w:sz w:val="17"/>
              </w:rPr>
              <w:t>Produksi (ton)</w:t>
            </w:r>
          </w:p>
        </w:tc>
        <w:tc>
          <w:tcPr>
            <w:tcW w:type="dxa" w:w="2304"/>
            <w:shd w:fill="2E7D32"/>
            <w:tcMar>
              <w:top w:w="70" w:type="dxa"/>
              <w:bottom w:w="70" w:type="dxa"/>
              <w:left w:w="90" w:type="dxa"/>
              <w:right w:w="90" w:type="dxa"/>
            </w:tcMar>
          </w:tcPr>
          <w:p>
            <w:pPr>
              <w:spacing w:after="0" w:line="252" w:lineRule="auto"/>
            </w:pPr>
            <w:r>
              <w:rPr>
                <w:rFonts w:ascii="Calibri" w:hAnsi="Calibri"/>
                <w:b/>
                <w:color w:val="FFFFFF"/>
                <w:sz w:val="17"/>
              </w:rPr>
              <w:t>Diagnosis Metodologis</w:t>
            </w:r>
          </w:p>
        </w:tc>
      </w:tr>
      <w:tr>
        <w:trPr>
          <w:cantSplit/>
        </w:trPr>
        <w:tc>
          <w:tcPr>
            <w:tcW w:type="dxa" w:w="1584"/>
            <w:shd w:fill="F9FBE7"/>
            <w:tcMar>
              <w:top w:w="50" w:type="dxa"/>
              <w:bottom w:w="50" w:type="dxa"/>
              <w:left w:w="70" w:type="dxa"/>
              <w:right w:w="70" w:type="dxa"/>
            </w:tcMar>
          </w:tcPr>
          <w:p>
            <w:pPr>
              <w:spacing w:after="0" w:line="252" w:lineRule="auto"/>
            </w:pPr>
            <w:r>
              <w:rPr>
                <w:rFonts w:ascii="Calibri" w:hAnsi="Calibri"/>
                <w:b/>
                <w:sz w:val="16"/>
              </w:rPr>
              <w:t>Yield Terendah #1</w:t>
            </w:r>
          </w:p>
        </w:tc>
        <w:tc>
          <w:tcPr>
            <w:tcW w:type="dxa" w:w="1440"/>
            <w:shd w:fill="F9FBE7"/>
            <w:tcMar>
              <w:top w:w="50" w:type="dxa"/>
              <w:bottom w:w="50" w:type="dxa"/>
              <w:left w:w="70" w:type="dxa"/>
              <w:right w:w="70" w:type="dxa"/>
            </w:tcMar>
          </w:tcPr>
          <w:p>
            <w:pPr>
              <w:spacing w:after="0" w:line="252" w:lineRule="auto"/>
            </w:pPr>
            <w:r>
              <w:rPr>
                <w:rFonts w:ascii="Calibri" w:hAnsi="Calibri"/>
                <w:sz w:val="16"/>
              </w:rPr>
              <w:t>Kab. Bandung</w:t>
            </w:r>
          </w:p>
        </w:tc>
        <w:tc>
          <w:tcPr>
            <w:tcW w:type="dxa" w:w="864"/>
            <w:shd w:fill="F9FBE7"/>
            <w:tcMar>
              <w:top w:w="50" w:type="dxa"/>
              <w:bottom w:w="50" w:type="dxa"/>
              <w:left w:w="70" w:type="dxa"/>
              <w:right w:w="70" w:type="dxa"/>
            </w:tcMar>
          </w:tcPr>
          <w:p>
            <w:pPr>
              <w:spacing w:after="0" w:line="252" w:lineRule="auto"/>
            </w:pPr>
            <w:r>
              <w:rPr>
                <w:rFonts w:ascii="Calibri" w:hAnsi="Calibri"/>
                <w:sz w:val="16"/>
              </w:rPr>
              <w:t>2017</w:t>
            </w:r>
          </w:p>
        </w:tc>
        <w:tc>
          <w:tcPr>
            <w:tcW w:type="dxa" w:w="1152"/>
            <w:shd w:fill="F9FBE7"/>
            <w:tcMar>
              <w:top w:w="50" w:type="dxa"/>
              <w:bottom w:w="50" w:type="dxa"/>
              <w:left w:w="70" w:type="dxa"/>
              <w:right w:w="70" w:type="dxa"/>
            </w:tcMar>
          </w:tcPr>
          <w:p>
            <w:pPr>
              <w:spacing w:after="0" w:line="252" w:lineRule="auto"/>
            </w:pPr>
            <w:r>
              <w:rPr>
                <w:rFonts w:ascii="Calibri" w:hAnsi="Calibri"/>
                <w:sz w:val="16"/>
              </w:rPr>
              <w:t>0.00</w:t>
            </w:r>
          </w:p>
        </w:tc>
        <w:tc>
          <w:tcPr>
            <w:tcW w:type="dxa" w:w="1440"/>
            <w:shd w:fill="F9FBE7"/>
            <w:tcMar>
              <w:top w:w="50" w:type="dxa"/>
              <w:bottom w:w="50" w:type="dxa"/>
              <w:left w:w="70" w:type="dxa"/>
              <w:right w:w="70" w:type="dxa"/>
            </w:tcMar>
          </w:tcPr>
          <w:p>
            <w:pPr>
              <w:spacing w:after="0" w:line="252" w:lineRule="auto"/>
            </w:pPr>
            <w:r>
              <w:rPr>
                <w:rFonts w:ascii="Calibri" w:hAnsi="Calibri"/>
                <w:sz w:val="16"/>
              </w:rPr>
              <w:t>18,774</w:t>
            </w:r>
          </w:p>
        </w:tc>
        <w:tc>
          <w:tcPr>
            <w:tcW w:type="dxa" w:w="1296"/>
            <w:shd w:fill="F9FBE7"/>
            <w:tcMar>
              <w:top w:w="50" w:type="dxa"/>
              <w:bottom w:w="50" w:type="dxa"/>
              <w:left w:w="70" w:type="dxa"/>
              <w:right w:w="70" w:type="dxa"/>
            </w:tcMar>
          </w:tcPr>
          <w:p>
            <w:pPr>
              <w:spacing w:after="0" w:line="252" w:lineRule="auto"/>
            </w:pPr>
            <w:r>
              <w:rPr>
                <w:rFonts w:ascii="Calibri" w:hAnsi="Calibri"/>
                <w:sz w:val="16"/>
              </w:rPr>
              <w:t>142,458</w:t>
            </w:r>
          </w:p>
        </w:tc>
        <w:tc>
          <w:tcPr>
            <w:tcW w:type="dxa" w:w="2304"/>
            <w:shd w:fill="F9FBE7"/>
            <w:tcMar>
              <w:top w:w="50" w:type="dxa"/>
              <w:bottom w:w="50" w:type="dxa"/>
              <w:left w:w="70" w:type="dxa"/>
              <w:right w:w="70" w:type="dxa"/>
            </w:tcMar>
          </w:tcPr>
          <w:p>
            <w:pPr>
              <w:spacing w:after="0" w:line="252" w:lineRule="auto"/>
            </w:pPr>
            <w:r>
              <w:rPr>
                <w:rFonts w:ascii="Calibri" w:hAnsi="Calibri"/>
                <w:sz w:val="16"/>
              </w:rPr>
              <w:t>Anomali identitas: Produksi masif tetapi yield dicatat 0.00 ku/ha</w:t>
            </w:r>
          </w:p>
        </w:tc>
      </w:tr>
      <w:tr>
        <w:trPr>
          <w:cantSplit/>
        </w:trPr>
        <w:tc>
          <w:tcPr>
            <w:tcW w:type="dxa" w:w="1584"/>
            <w:shd w:fill="FFFFFF"/>
            <w:tcMar>
              <w:top w:w="50" w:type="dxa"/>
              <w:bottom w:w="50" w:type="dxa"/>
              <w:left w:w="70" w:type="dxa"/>
              <w:right w:w="70" w:type="dxa"/>
            </w:tcMar>
          </w:tcPr>
          <w:p>
            <w:pPr>
              <w:spacing w:after="0" w:line="252" w:lineRule="auto"/>
            </w:pPr>
            <w:r>
              <w:rPr>
                <w:rFonts w:ascii="Calibri" w:hAnsi="Calibri"/>
                <w:b/>
                <w:sz w:val="16"/>
              </w:rPr>
              <w:t>Yield Terendah #2</w:t>
            </w:r>
          </w:p>
        </w:tc>
        <w:tc>
          <w:tcPr>
            <w:tcW w:type="dxa" w:w="1440"/>
            <w:shd w:fill="FFFFFF"/>
            <w:tcMar>
              <w:top w:w="50" w:type="dxa"/>
              <w:bottom w:w="50" w:type="dxa"/>
              <w:left w:w="70" w:type="dxa"/>
              <w:right w:w="70" w:type="dxa"/>
            </w:tcMar>
          </w:tcPr>
          <w:p>
            <w:pPr>
              <w:spacing w:after="0" w:line="252" w:lineRule="auto"/>
            </w:pPr>
            <w:r>
              <w:rPr>
                <w:rFonts w:ascii="Calibri" w:hAnsi="Calibri"/>
                <w:sz w:val="16"/>
              </w:rPr>
              <w:t>Kab. Bandung</w:t>
            </w:r>
          </w:p>
        </w:tc>
        <w:tc>
          <w:tcPr>
            <w:tcW w:type="dxa" w:w="864"/>
            <w:shd w:fill="FFFFFF"/>
            <w:tcMar>
              <w:top w:w="50" w:type="dxa"/>
              <w:bottom w:w="50" w:type="dxa"/>
              <w:left w:w="70" w:type="dxa"/>
              <w:right w:w="70" w:type="dxa"/>
            </w:tcMar>
          </w:tcPr>
          <w:p>
            <w:pPr>
              <w:spacing w:after="0" w:line="252" w:lineRule="auto"/>
            </w:pPr>
            <w:r>
              <w:rPr>
                <w:rFonts w:ascii="Calibri" w:hAnsi="Calibri"/>
                <w:sz w:val="16"/>
              </w:rPr>
              <w:t>2018</w:t>
            </w:r>
          </w:p>
        </w:tc>
        <w:tc>
          <w:tcPr>
            <w:tcW w:type="dxa" w:w="1152"/>
            <w:shd w:fill="FFFFFF"/>
            <w:tcMar>
              <w:top w:w="50" w:type="dxa"/>
              <w:bottom w:w="50" w:type="dxa"/>
              <w:left w:w="70" w:type="dxa"/>
              <w:right w:w="70" w:type="dxa"/>
            </w:tcMar>
          </w:tcPr>
          <w:p>
            <w:pPr>
              <w:spacing w:after="0" w:line="252" w:lineRule="auto"/>
            </w:pPr>
            <w:r>
              <w:rPr>
                <w:rFonts w:ascii="Calibri" w:hAnsi="Calibri"/>
                <w:sz w:val="16"/>
              </w:rPr>
              <w:t>1.00</w:t>
            </w:r>
          </w:p>
        </w:tc>
        <w:tc>
          <w:tcPr>
            <w:tcW w:type="dxa" w:w="1440"/>
            <w:shd w:fill="FFFFFF"/>
            <w:tcMar>
              <w:top w:w="50" w:type="dxa"/>
              <w:bottom w:w="50" w:type="dxa"/>
              <w:left w:w="70" w:type="dxa"/>
              <w:right w:w="70" w:type="dxa"/>
            </w:tcMar>
          </w:tcPr>
          <w:p>
            <w:pPr>
              <w:spacing w:after="0" w:line="252" w:lineRule="auto"/>
            </w:pPr>
            <w:r>
              <w:rPr>
                <w:rFonts w:ascii="Calibri" w:hAnsi="Calibri"/>
                <w:sz w:val="16"/>
              </w:rPr>
              <w:t>19,000</w:t>
            </w:r>
          </w:p>
        </w:tc>
        <w:tc>
          <w:tcPr>
            <w:tcW w:type="dxa" w:w="1296"/>
            <w:shd w:fill="FFFFFF"/>
            <w:tcMar>
              <w:top w:w="50" w:type="dxa"/>
              <w:bottom w:w="50" w:type="dxa"/>
              <w:left w:w="70" w:type="dxa"/>
              <w:right w:w="70" w:type="dxa"/>
            </w:tcMar>
          </w:tcPr>
          <w:p>
            <w:pPr>
              <w:spacing w:after="0" w:line="252" w:lineRule="auto"/>
            </w:pPr>
            <w:r>
              <w:rPr>
                <w:rFonts w:ascii="Calibri" w:hAnsi="Calibri"/>
                <w:sz w:val="16"/>
              </w:rPr>
              <w:t>19,000</w:t>
            </w:r>
          </w:p>
        </w:tc>
        <w:tc>
          <w:tcPr>
            <w:tcW w:type="dxa" w:w="2304"/>
            <w:shd w:fill="FFFFFF"/>
            <w:tcMar>
              <w:top w:w="50" w:type="dxa"/>
              <w:bottom w:w="50" w:type="dxa"/>
              <w:left w:w="70" w:type="dxa"/>
              <w:right w:w="70" w:type="dxa"/>
            </w:tcMar>
          </w:tcPr>
          <w:p>
            <w:pPr>
              <w:spacing w:after="0" w:line="252" w:lineRule="auto"/>
            </w:pPr>
            <w:r>
              <w:rPr>
                <w:rFonts w:ascii="Calibri" w:hAnsi="Calibri"/>
                <w:sz w:val="16"/>
              </w:rPr>
              <w:t>Artefak indexing placeholder administratif (1.00 ku/ha)</w:t>
            </w:r>
          </w:p>
        </w:tc>
      </w:tr>
      <w:tr>
        <w:trPr>
          <w:cantSplit/>
        </w:trPr>
        <w:tc>
          <w:tcPr>
            <w:tcW w:type="dxa" w:w="1584"/>
            <w:shd w:fill="F9FBE7"/>
            <w:tcMar>
              <w:top w:w="50" w:type="dxa"/>
              <w:bottom w:w="50" w:type="dxa"/>
              <w:left w:w="70" w:type="dxa"/>
              <w:right w:w="70" w:type="dxa"/>
            </w:tcMar>
          </w:tcPr>
          <w:p>
            <w:pPr>
              <w:spacing w:after="0" w:line="252" w:lineRule="auto"/>
            </w:pPr>
            <w:r>
              <w:rPr>
                <w:rFonts w:ascii="Calibri" w:hAnsi="Calibri"/>
                <w:b/>
                <w:sz w:val="16"/>
              </w:rPr>
              <w:t>Yield Terendah #3</w:t>
            </w:r>
          </w:p>
        </w:tc>
        <w:tc>
          <w:tcPr>
            <w:tcW w:type="dxa" w:w="1440"/>
            <w:shd w:fill="F9FBE7"/>
            <w:tcMar>
              <w:top w:w="50" w:type="dxa"/>
              <w:bottom w:w="50" w:type="dxa"/>
              <w:left w:w="70" w:type="dxa"/>
              <w:right w:w="70" w:type="dxa"/>
            </w:tcMar>
          </w:tcPr>
          <w:p>
            <w:pPr>
              <w:spacing w:after="0" w:line="252" w:lineRule="auto"/>
            </w:pPr>
            <w:r>
              <w:rPr>
                <w:rFonts w:ascii="Calibri" w:hAnsi="Calibri"/>
                <w:sz w:val="16"/>
              </w:rPr>
              <w:t>Kab. Bandung</w:t>
            </w:r>
          </w:p>
        </w:tc>
        <w:tc>
          <w:tcPr>
            <w:tcW w:type="dxa" w:w="864"/>
            <w:shd w:fill="F9FBE7"/>
            <w:tcMar>
              <w:top w:w="50" w:type="dxa"/>
              <w:bottom w:w="50" w:type="dxa"/>
              <w:left w:w="70" w:type="dxa"/>
              <w:right w:w="70" w:type="dxa"/>
            </w:tcMar>
          </w:tcPr>
          <w:p>
            <w:pPr>
              <w:spacing w:after="0" w:line="252" w:lineRule="auto"/>
            </w:pPr>
            <w:r>
              <w:rPr>
                <w:rFonts w:ascii="Calibri" w:hAnsi="Calibri"/>
                <w:sz w:val="16"/>
              </w:rPr>
              <w:t>2019</w:t>
            </w:r>
          </w:p>
        </w:tc>
        <w:tc>
          <w:tcPr>
            <w:tcW w:type="dxa" w:w="1152"/>
            <w:shd w:fill="F9FBE7"/>
            <w:tcMar>
              <w:top w:w="50" w:type="dxa"/>
              <w:bottom w:w="50" w:type="dxa"/>
              <w:left w:w="70" w:type="dxa"/>
              <w:right w:w="70" w:type="dxa"/>
            </w:tcMar>
          </w:tcPr>
          <w:p>
            <w:pPr>
              <w:spacing w:after="0" w:line="252" w:lineRule="auto"/>
            </w:pPr>
            <w:r>
              <w:rPr>
                <w:rFonts w:ascii="Calibri" w:hAnsi="Calibri"/>
                <w:sz w:val="16"/>
              </w:rPr>
              <w:t>2.00</w:t>
            </w:r>
          </w:p>
        </w:tc>
        <w:tc>
          <w:tcPr>
            <w:tcW w:type="dxa" w:w="1440"/>
            <w:shd w:fill="F9FBE7"/>
            <w:tcMar>
              <w:top w:w="50" w:type="dxa"/>
              <w:bottom w:w="50" w:type="dxa"/>
              <w:left w:w="70" w:type="dxa"/>
              <w:right w:w="70" w:type="dxa"/>
            </w:tcMar>
          </w:tcPr>
          <w:p>
            <w:pPr>
              <w:spacing w:after="0" w:line="252" w:lineRule="auto"/>
            </w:pPr>
            <w:r>
              <w:rPr>
                <w:rFonts w:ascii="Calibri" w:hAnsi="Calibri"/>
                <w:sz w:val="16"/>
              </w:rPr>
              <w:t>19,500</w:t>
            </w:r>
          </w:p>
        </w:tc>
        <w:tc>
          <w:tcPr>
            <w:tcW w:type="dxa" w:w="1296"/>
            <w:shd w:fill="F9FBE7"/>
            <w:tcMar>
              <w:top w:w="50" w:type="dxa"/>
              <w:bottom w:w="50" w:type="dxa"/>
              <w:left w:w="70" w:type="dxa"/>
              <w:right w:w="70" w:type="dxa"/>
            </w:tcMar>
          </w:tcPr>
          <w:p>
            <w:pPr>
              <w:spacing w:after="0" w:line="252" w:lineRule="auto"/>
            </w:pPr>
            <w:r>
              <w:rPr>
                <w:rFonts w:ascii="Calibri" w:hAnsi="Calibri"/>
                <w:sz w:val="16"/>
              </w:rPr>
              <w:t>39,000</w:t>
            </w:r>
          </w:p>
        </w:tc>
        <w:tc>
          <w:tcPr>
            <w:tcW w:type="dxa" w:w="2304"/>
            <w:shd w:fill="F9FBE7"/>
            <w:tcMar>
              <w:top w:w="50" w:type="dxa"/>
              <w:bottom w:w="50" w:type="dxa"/>
              <w:left w:w="70" w:type="dxa"/>
              <w:right w:w="70" w:type="dxa"/>
            </w:tcMar>
          </w:tcPr>
          <w:p>
            <w:pPr>
              <w:spacing w:after="0" w:line="252" w:lineRule="auto"/>
            </w:pPr>
            <w:r>
              <w:rPr>
                <w:rFonts w:ascii="Calibri" w:hAnsi="Calibri"/>
                <w:sz w:val="16"/>
              </w:rPr>
              <w:t>Artefak indexing placeholder administratif (2.00 ku/ha)</w:t>
            </w:r>
          </w:p>
        </w:tc>
      </w:tr>
      <w:tr>
        <w:trPr>
          <w:cantSplit/>
        </w:trPr>
        <w:tc>
          <w:tcPr>
            <w:tcW w:type="dxa" w:w="1584"/>
            <w:shd w:fill="FFFFFF"/>
            <w:tcMar>
              <w:top w:w="50" w:type="dxa"/>
              <w:bottom w:w="50" w:type="dxa"/>
              <w:left w:w="70" w:type="dxa"/>
              <w:right w:w="70" w:type="dxa"/>
            </w:tcMar>
          </w:tcPr>
          <w:p>
            <w:pPr>
              <w:spacing w:after="0" w:line="252" w:lineRule="auto"/>
            </w:pPr>
            <w:r>
              <w:rPr>
                <w:rFonts w:ascii="Calibri" w:hAnsi="Calibri"/>
                <w:b/>
                <w:sz w:val="16"/>
              </w:rPr>
              <w:t>Yield Terendah #4</w:t>
            </w:r>
          </w:p>
        </w:tc>
        <w:tc>
          <w:tcPr>
            <w:tcW w:type="dxa" w:w="1440"/>
            <w:shd w:fill="FFFFFF"/>
            <w:tcMar>
              <w:top w:w="50" w:type="dxa"/>
              <w:bottom w:w="50" w:type="dxa"/>
              <w:left w:w="70" w:type="dxa"/>
              <w:right w:w="70" w:type="dxa"/>
            </w:tcMar>
          </w:tcPr>
          <w:p>
            <w:pPr>
              <w:spacing w:after="0" w:line="252" w:lineRule="auto"/>
            </w:pPr>
            <w:r>
              <w:rPr>
                <w:rFonts w:ascii="Calibri" w:hAnsi="Calibri"/>
                <w:sz w:val="16"/>
              </w:rPr>
              <w:t>Kab. Bandung</w:t>
            </w:r>
          </w:p>
        </w:tc>
        <w:tc>
          <w:tcPr>
            <w:tcW w:type="dxa" w:w="864"/>
            <w:shd w:fill="FFFFFF"/>
            <w:tcMar>
              <w:top w:w="50" w:type="dxa"/>
              <w:bottom w:w="50" w:type="dxa"/>
              <w:left w:w="70" w:type="dxa"/>
              <w:right w:w="70" w:type="dxa"/>
            </w:tcMar>
          </w:tcPr>
          <w:p>
            <w:pPr>
              <w:spacing w:after="0" w:line="252" w:lineRule="auto"/>
            </w:pPr>
            <w:r>
              <w:rPr>
                <w:rFonts w:ascii="Calibri" w:hAnsi="Calibri"/>
                <w:sz w:val="16"/>
              </w:rPr>
              <w:t>2020</w:t>
            </w:r>
          </w:p>
        </w:tc>
        <w:tc>
          <w:tcPr>
            <w:tcW w:type="dxa" w:w="1152"/>
            <w:shd w:fill="FFFFFF"/>
            <w:tcMar>
              <w:top w:w="50" w:type="dxa"/>
              <w:bottom w:w="50" w:type="dxa"/>
              <w:left w:w="70" w:type="dxa"/>
              <w:right w:w="70" w:type="dxa"/>
            </w:tcMar>
          </w:tcPr>
          <w:p>
            <w:pPr>
              <w:spacing w:after="0" w:line="252" w:lineRule="auto"/>
            </w:pPr>
            <w:r>
              <w:rPr>
                <w:rFonts w:ascii="Calibri" w:hAnsi="Calibri"/>
                <w:sz w:val="16"/>
              </w:rPr>
              <w:t>3.00</w:t>
            </w:r>
          </w:p>
        </w:tc>
        <w:tc>
          <w:tcPr>
            <w:tcW w:type="dxa" w:w="1440"/>
            <w:shd w:fill="FFFFFF"/>
            <w:tcMar>
              <w:top w:w="50" w:type="dxa"/>
              <w:bottom w:w="50" w:type="dxa"/>
              <w:left w:w="70" w:type="dxa"/>
              <w:right w:w="70" w:type="dxa"/>
            </w:tcMar>
          </w:tcPr>
          <w:p>
            <w:pPr>
              <w:spacing w:after="0" w:line="252" w:lineRule="auto"/>
            </w:pPr>
            <w:r>
              <w:rPr>
                <w:rFonts w:ascii="Calibri" w:hAnsi="Calibri"/>
                <w:sz w:val="16"/>
              </w:rPr>
              <w:t>20,000</w:t>
            </w:r>
          </w:p>
        </w:tc>
        <w:tc>
          <w:tcPr>
            <w:tcW w:type="dxa" w:w="1296"/>
            <w:shd w:fill="FFFFFF"/>
            <w:tcMar>
              <w:top w:w="50" w:type="dxa"/>
              <w:bottom w:w="50" w:type="dxa"/>
              <w:left w:w="70" w:type="dxa"/>
              <w:right w:w="70" w:type="dxa"/>
            </w:tcMar>
          </w:tcPr>
          <w:p>
            <w:pPr>
              <w:spacing w:after="0" w:line="252" w:lineRule="auto"/>
            </w:pPr>
            <w:r>
              <w:rPr>
                <w:rFonts w:ascii="Calibri" w:hAnsi="Calibri"/>
                <w:sz w:val="16"/>
              </w:rPr>
              <w:t>60,000</w:t>
            </w:r>
          </w:p>
        </w:tc>
        <w:tc>
          <w:tcPr>
            <w:tcW w:type="dxa" w:w="2304"/>
            <w:shd w:fill="FFFFFF"/>
            <w:tcMar>
              <w:top w:w="50" w:type="dxa"/>
              <w:bottom w:w="50" w:type="dxa"/>
              <w:left w:w="70" w:type="dxa"/>
              <w:right w:w="70" w:type="dxa"/>
            </w:tcMar>
          </w:tcPr>
          <w:p>
            <w:pPr>
              <w:spacing w:after="0" w:line="252" w:lineRule="auto"/>
            </w:pPr>
            <w:r>
              <w:rPr>
                <w:rFonts w:ascii="Calibri" w:hAnsi="Calibri"/>
                <w:sz w:val="16"/>
              </w:rPr>
              <w:t>Artefak indexing placeholder administratif (3.00 ku/ha)</w:t>
            </w:r>
          </w:p>
        </w:tc>
      </w:tr>
      <w:tr>
        <w:trPr>
          <w:cantSplit/>
        </w:trPr>
        <w:tc>
          <w:tcPr>
            <w:tcW w:type="dxa" w:w="1584"/>
            <w:shd w:fill="F9FBE7"/>
            <w:tcMar>
              <w:top w:w="50" w:type="dxa"/>
              <w:bottom w:w="50" w:type="dxa"/>
              <w:left w:w="70" w:type="dxa"/>
              <w:right w:w="70" w:type="dxa"/>
            </w:tcMar>
          </w:tcPr>
          <w:p>
            <w:pPr>
              <w:spacing w:after="0" w:line="252" w:lineRule="auto"/>
            </w:pPr>
            <w:r>
              <w:rPr>
                <w:rFonts w:ascii="Calibri" w:hAnsi="Calibri"/>
                <w:b/>
                <w:sz w:val="16"/>
              </w:rPr>
              <w:t>Yield Terendah #5</w:t>
            </w:r>
          </w:p>
        </w:tc>
        <w:tc>
          <w:tcPr>
            <w:tcW w:type="dxa" w:w="1440"/>
            <w:shd w:fill="F9FBE7"/>
            <w:tcMar>
              <w:top w:w="50" w:type="dxa"/>
              <w:bottom w:w="50" w:type="dxa"/>
              <w:left w:w="70" w:type="dxa"/>
              <w:right w:w="70" w:type="dxa"/>
            </w:tcMar>
          </w:tcPr>
          <w:p>
            <w:pPr>
              <w:spacing w:after="0" w:line="252" w:lineRule="auto"/>
            </w:pPr>
            <w:r>
              <w:rPr>
                <w:rFonts w:ascii="Calibri" w:hAnsi="Calibri"/>
                <w:sz w:val="16"/>
              </w:rPr>
              <w:t>Kab. Subang</w:t>
            </w:r>
          </w:p>
        </w:tc>
        <w:tc>
          <w:tcPr>
            <w:tcW w:type="dxa" w:w="864"/>
            <w:shd w:fill="F9FBE7"/>
            <w:tcMar>
              <w:top w:w="50" w:type="dxa"/>
              <w:bottom w:w="50" w:type="dxa"/>
              <w:left w:w="70" w:type="dxa"/>
              <w:right w:w="70" w:type="dxa"/>
            </w:tcMar>
          </w:tcPr>
          <w:p>
            <w:pPr>
              <w:spacing w:after="0" w:line="252" w:lineRule="auto"/>
            </w:pPr>
            <w:r>
              <w:rPr>
                <w:rFonts w:ascii="Calibri" w:hAnsi="Calibri"/>
                <w:sz w:val="16"/>
              </w:rPr>
              <w:t>2017</w:t>
            </w:r>
          </w:p>
        </w:tc>
        <w:tc>
          <w:tcPr>
            <w:tcW w:type="dxa" w:w="1152"/>
            <w:shd w:fill="F9FBE7"/>
            <w:tcMar>
              <w:top w:w="50" w:type="dxa"/>
              <w:bottom w:w="50" w:type="dxa"/>
              <w:left w:w="70" w:type="dxa"/>
              <w:right w:w="70" w:type="dxa"/>
            </w:tcMar>
          </w:tcPr>
          <w:p>
            <w:pPr>
              <w:spacing w:after="0" w:line="252" w:lineRule="auto"/>
            </w:pPr>
            <w:r>
              <w:rPr>
                <w:rFonts w:ascii="Calibri" w:hAnsi="Calibri"/>
                <w:sz w:val="16"/>
              </w:rPr>
              <w:t>28.52</w:t>
            </w:r>
          </w:p>
        </w:tc>
        <w:tc>
          <w:tcPr>
            <w:tcW w:type="dxa" w:w="1440"/>
            <w:shd w:fill="F9FBE7"/>
            <w:tcMar>
              <w:top w:w="50" w:type="dxa"/>
              <w:bottom w:w="50" w:type="dxa"/>
              <w:left w:w="70" w:type="dxa"/>
              <w:right w:w="70" w:type="dxa"/>
            </w:tcMar>
          </w:tcPr>
          <w:p>
            <w:pPr>
              <w:spacing w:after="0" w:line="252" w:lineRule="auto"/>
            </w:pPr>
            <w:r>
              <w:rPr>
                <w:rFonts w:ascii="Calibri" w:hAnsi="Calibri"/>
                <w:sz w:val="16"/>
              </w:rPr>
              <w:t>621</w:t>
            </w:r>
          </w:p>
        </w:tc>
        <w:tc>
          <w:tcPr>
            <w:tcW w:type="dxa" w:w="1296"/>
            <w:shd w:fill="F9FBE7"/>
            <w:tcMar>
              <w:top w:w="50" w:type="dxa"/>
              <w:bottom w:w="50" w:type="dxa"/>
              <w:left w:w="70" w:type="dxa"/>
              <w:right w:w="70" w:type="dxa"/>
            </w:tcMar>
          </w:tcPr>
          <w:p>
            <w:pPr>
              <w:spacing w:after="0" w:line="252" w:lineRule="auto"/>
            </w:pPr>
            <w:r>
              <w:rPr>
                <w:rFonts w:ascii="Calibri" w:hAnsi="Calibri"/>
                <w:sz w:val="16"/>
              </w:rPr>
              <w:t>1,771</w:t>
            </w:r>
          </w:p>
        </w:tc>
        <w:tc>
          <w:tcPr>
            <w:tcW w:type="dxa" w:w="2304"/>
            <w:shd w:fill="F9FBE7"/>
            <w:tcMar>
              <w:top w:w="50" w:type="dxa"/>
              <w:bottom w:w="50" w:type="dxa"/>
              <w:left w:w="70" w:type="dxa"/>
              <w:right w:w="70" w:type="dxa"/>
            </w:tcMar>
          </w:tcPr>
          <w:p>
            <w:pPr>
              <w:spacing w:after="0" w:line="252" w:lineRule="auto"/>
            </w:pPr>
            <w:r>
              <w:rPr>
                <w:rFonts w:ascii="Calibri" w:hAnsi="Calibri"/>
                <w:sz w:val="16"/>
              </w:rPr>
              <w:t>Small-denominator effect pada sentra minoritas (&lt;800 ha)</w:t>
            </w:r>
          </w:p>
        </w:tc>
      </w:tr>
      <w:tr>
        <w:trPr>
          <w:cantSplit/>
        </w:trPr>
        <w:tc>
          <w:tcPr>
            <w:tcW w:type="dxa" w:w="1584"/>
            <w:shd w:fill="FFFFFF"/>
            <w:tcMar>
              <w:top w:w="50" w:type="dxa"/>
              <w:bottom w:w="50" w:type="dxa"/>
              <w:left w:w="70" w:type="dxa"/>
              <w:right w:w="70" w:type="dxa"/>
            </w:tcMar>
          </w:tcPr>
          <w:p>
            <w:pPr>
              <w:spacing w:after="0" w:line="252" w:lineRule="auto"/>
            </w:pPr>
            <w:r>
              <w:rPr>
                <w:rFonts w:ascii="Calibri" w:hAnsi="Calibri"/>
                <w:b/>
                <w:sz w:val="16"/>
              </w:rPr>
              <w:t>|Δln Luas| #1</w:t>
            </w:r>
          </w:p>
        </w:tc>
        <w:tc>
          <w:tcPr>
            <w:tcW w:type="dxa" w:w="1440"/>
            <w:shd w:fill="FFFFFF"/>
            <w:tcMar>
              <w:top w:w="50" w:type="dxa"/>
              <w:bottom w:w="50" w:type="dxa"/>
              <w:left w:w="70" w:type="dxa"/>
              <w:right w:w="70" w:type="dxa"/>
            </w:tcMar>
          </w:tcPr>
          <w:p>
            <w:pPr>
              <w:spacing w:after="0" w:line="252" w:lineRule="auto"/>
            </w:pPr>
            <w:r>
              <w:rPr>
                <w:rFonts w:ascii="Calibri" w:hAnsi="Calibri"/>
                <w:sz w:val="16"/>
              </w:rPr>
              <w:t>Indramayu</w:t>
            </w:r>
          </w:p>
        </w:tc>
        <w:tc>
          <w:tcPr>
            <w:tcW w:type="dxa" w:w="864"/>
            <w:shd w:fill="FFFFFF"/>
            <w:tcMar>
              <w:top w:w="50" w:type="dxa"/>
              <w:bottom w:w="50" w:type="dxa"/>
              <w:left w:w="70" w:type="dxa"/>
              <w:right w:w="70" w:type="dxa"/>
            </w:tcMar>
          </w:tcPr>
          <w:p>
            <w:pPr>
              <w:spacing w:after="0" w:line="252" w:lineRule="auto"/>
            </w:pPr>
            <w:r>
              <w:rPr>
                <w:rFonts w:ascii="Calibri" w:hAnsi="Calibri"/>
                <w:sz w:val="16"/>
              </w:rPr>
              <w:t>2016</w:t>
            </w:r>
          </w:p>
        </w:tc>
        <w:tc>
          <w:tcPr>
            <w:tcW w:type="dxa" w:w="1152"/>
            <w:shd w:fill="FFFFFF"/>
            <w:tcMar>
              <w:top w:w="50" w:type="dxa"/>
              <w:bottom w:w="50" w:type="dxa"/>
              <w:left w:w="70" w:type="dxa"/>
              <w:right w:w="70" w:type="dxa"/>
            </w:tcMar>
          </w:tcPr>
          <w:p>
            <w:pPr>
              <w:spacing w:after="0" w:line="252" w:lineRule="auto"/>
            </w:pPr>
            <w:r>
              <w:rPr>
                <w:rFonts w:ascii="Calibri" w:hAnsi="Calibri"/>
                <w:sz w:val="16"/>
              </w:rPr>
              <w:t>58.12</w:t>
            </w:r>
          </w:p>
        </w:tc>
        <w:tc>
          <w:tcPr>
            <w:tcW w:type="dxa" w:w="1440"/>
            <w:shd w:fill="FFFFFF"/>
            <w:tcMar>
              <w:top w:w="50" w:type="dxa"/>
              <w:bottom w:w="50" w:type="dxa"/>
              <w:left w:w="70" w:type="dxa"/>
              <w:right w:w="70" w:type="dxa"/>
            </w:tcMar>
          </w:tcPr>
          <w:p>
            <w:pPr>
              <w:spacing w:after="0" w:line="252" w:lineRule="auto"/>
            </w:pPr>
            <w:r>
              <w:rPr>
                <w:rFonts w:ascii="Calibri" w:hAnsi="Calibri"/>
                <w:sz w:val="16"/>
              </w:rPr>
              <w:t>13,134 (vs 89)</w:t>
            </w:r>
          </w:p>
        </w:tc>
        <w:tc>
          <w:tcPr>
            <w:tcW w:type="dxa" w:w="1296"/>
            <w:shd w:fill="FFFFFF"/>
            <w:tcMar>
              <w:top w:w="50" w:type="dxa"/>
              <w:bottom w:w="50" w:type="dxa"/>
              <w:left w:w="70" w:type="dxa"/>
              <w:right w:w="70" w:type="dxa"/>
            </w:tcMar>
          </w:tcPr>
          <w:p>
            <w:pPr>
              <w:spacing w:after="0" w:line="252" w:lineRule="auto"/>
            </w:pPr>
            <w:r>
              <w:rPr>
                <w:rFonts w:ascii="Calibri" w:hAnsi="Calibri"/>
                <w:sz w:val="16"/>
              </w:rPr>
              <w:t>76,335</w:t>
            </w:r>
          </w:p>
        </w:tc>
        <w:tc>
          <w:tcPr>
            <w:tcW w:type="dxa" w:w="2304"/>
            <w:shd w:fill="FFFFFF"/>
            <w:tcMar>
              <w:top w:w="50" w:type="dxa"/>
              <w:bottom w:w="50" w:type="dxa"/>
              <w:left w:w="70" w:type="dxa"/>
              <w:right w:w="70" w:type="dxa"/>
            </w:tcMar>
          </w:tcPr>
          <w:p>
            <w:pPr>
              <w:spacing w:after="0" w:line="252" w:lineRule="auto"/>
            </w:pPr>
            <w:r>
              <w:rPr>
                <w:rFonts w:ascii="Calibri" w:hAnsi="Calibri"/>
                <w:sz w:val="16"/>
              </w:rPr>
              <w:t>|Δln A| = 4.993: Lonjakan area 147x lipat dalam 1 tahun kalender</w:t>
            </w:r>
          </w:p>
        </w:tc>
      </w:tr>
      <w:tr>
        <w:trPr>
          <w:cantSplit/>
        </w:trPr>
        <w:tc>
          <w:tcPr>
            <w:tcW w:type="dxa" w:w="1584"/>
            <w:shd w:fill="F9FBE7"/>
            <w:tcMar>
              <w:top w:w="50" w:type="dxa"/>
              <w:bottom w:w="50" w:type="dxa"/>
              <w:left w:w="70" w:type="dxa"/>
              <w:right w:w="70" w:type="dxa"/>
            </w:tcMar>
          </w:tcPr>
          <w:p>
            <w:pPr>
              <w:spacing w:after="0" w:line="252" w:lineRule="auto"/>
            </w:pPr>
            <w:r>
              <w:rPr>
                <w:rFonts w:ascii="Calibri" w:hAnsi="Calibri"/>
                <w:b/>
                <w:sz w:val="16"/>
              </w:rPr>
              <w:t>|Δln Luas| #2</w:t>
            </w:r>
          </w:p>
        </w:tc>
        <w:tc>
          <w:tcPr>
            <w:tcW w:type="dxa" w:w="1440"/>
            <w:shd w:fill="F9FBE7"/>
            <w:tcMar>
              <w:top w:w="50" w:type="dxa"/>
              <w:bottom w:w="50" w:type="dxa"/>
              <w:left w:w="70" w:type="dxa"/>
              <w:right w:w="70" w:type="dxa"/>
            </w:tcMar>
          </w:tcPr>
          <w:p>
            <w:pPr>
              <w:spacing w:after="0" w:line="252" w:lineRule="auto"/>
            </w:pPr>
            <w:r>
              <w:rPr>
                <w:rFonts w:ascii="Calibri" w:hAnsi="Calibri"/>
                <w:sz w:val="16"/>
              </w:rPr>
              <w:t>Subang</w:t>
            </w:r>
          </w:p>
        </w:tc>
        <w:tc>
          <w:tcPr>
            <w:tcW w:type="dxa" w:w="864"/>
            <w:shd w:fill="F9FBE7"/>
            <w:tcMar>
              <w:top w:w="50" w:type="dxa"/>
              <w:bottom w:w="50" w:type="dxa"/>
              <w:left w:w="70" w:type="dxa"/>
              <w:right w:w="70" w:type="dxa"/>
            </w:tcMar>
          </w:tcPr>
          <w:p>
            <w:pPr>
              <w:spacing w:after="0" w:line="252" w:lineRule="auto"/>
            </w:pPr>
            <w:r>
              <w:rPr>
                <w:rFonts w:ascii="Calibri" w:hAnsi="Calibri"/>
                <w:sz w:val="16"/>
              </w:rPr>
              <w:t>2018</w:t>
            </w:r>
          </w:p>
        </w:tc>
        <w:tc>
          <w:tcPr>
            <w:tcW w:type="dxa" w:w="1152"/>
            <w:shd w:fill="F9FBE7"/>
            <w:tcMar>
              <w:top w:w="50" w:type="dxa"/>
              <w:bottom w:w="50" w:type="dxa"/>
              <w:left w:w="70" w:type="dxa"/>
              <w:right w:w="70" w:type="dxa"/>
            </w:tcMar>
          </w:tcPr>
          <w:p>
            <w:pPr>
              <w:spacing w:after="0" w:line="252" w:lineRule="auto"/>
            </w:pPr>
            <w:r>
              <w:rPr>
                <w:rFonts w:ascii="Calibri" w:hAnsi="Calibri"/>
                <w:sz w:val="16"/>
              </w:rPr>
              <w:t>42.10</w:t>
            </w:r>
          </w:p>
        </w:tc>
        <w:tc>
          <w:tcPr>
            <w:tcW w:type="dxa" w:w="1440"/>
            <w:shd w:fill="F9FBE7"/>
            <w:tcMar>
              <w:top w:w="50" w:type="dxa"/>
              <w:bottom w:w="50" w:type="dxa"/>
              <w:left w:w="70" w:type="dxa"/>
              <w:right w:w="70" w:type="dxa"/>
            </w:tcMar>
          </w:tcPr>
          <w:p>
            <w:pPr>
              <w:spacing w:after="0" w:line="252" w:lineRule="auto"/>
            </w:pPr>
            <w:r>
              <w:rPr>
                <w:rFonts w:ascii="Calibri" w:hAnsi="Calibri"/>
                <w:sz w:val="16"/>
              </w:rPr>
              <w:t>7,208 (vs 621)</w:t>
            </w:r>
          </w:p>
        </w:tc>
        <w:tc>
          <w:tcPr>
            <w:tcW w:type="dxa" w:w="1296"/>
            <w:shd w:fill="F9FBE7"/>
            <w:tcMar>
              <w:top w:w="50" w:type="dxa"/>
              <w:bottom w:w="50" w:type="dxa"/>
              <w:left w:w="70" w:type="dxa"/>
              <w:right w:w="70" w:type="dxa"/>
            </w:tcMar>
          </w:tcPr>
          <w:p>
            <w:pPr>
              <w:spacing w:after="0" w:line="252" w:lineRule="auto"/>
            </w:pPr>
            <w:r>
              <w:rPr>
                <w:rFonts w:ascii="Calibri" w:hAnsi="Calibri"/>
                <w:sz w:val="16"/>
              </w:rPr>
              <w:t>30,346</w:t>
            </w:r>
          </w:p>
        </w:tc>
        <w:tc>
          <w:tcPr>
            <w:tcW w:type="dxa" w:w="2304"/>
            <w:shd w:fill="F9FBE7"/>
            <w:tcMar>
              <w:top w:w="50" w:type="dxa"/>
              <w:bottom w:w="50" w:type="dxa"/>
              <w:left w:w="70" w:type="dxa"/>
              <w:right w:w="70" w:type="dxa"/>
            </w:tcMar>
          </w:tcPr>
          <w:p>
            <w:pPr>
              <w:spacing w:after="0" w:line="252" w:lineRule="auto"/>
            </w:pPr>
            <w:r>
              <w:rPr>
                <w:rFonts w:ascii="Calibri" w:hAnsi="Calibri"/>
                <w:sz w:val="16"/>
              </w:rPr>
              <w:t>|Δln A| = 2.451: Ekspansi luas panen mendadak 11.6x</w:t>
            </w:r>
          </w:p>
        </w:tc>
      </w:tr>
      <w:tr>
        <w:trPr>
          <w:cantSplit/>
        </w:trPr>
        <w:tc>
          <w:tcPr>
            <w:tcW w:type="dxa" w:w="1584"/>
            <w:shd w:fill="FFFFFF"/>
            <w:tcMar>
              <w:top w:w="50" w:type="dxa"/>
              <w:bottom w:w="50" w:type="dxa"/>
              <w:left w:w="70" w:type="dxa"/>
              <w:right w:w="70" w:type="dxa"/>
            </w:tcMar>
          </w:tcPr>
          <w:p>
            <w:pPr>
              <w:spacing w:after="0" w:line="252" w:lineRule="auto"/>
            </w:pPr>
            <w:r>
              <w:rPr>
                <w:rFonts w:ascii="Calibri" w:hAnsi="Calibri"/>
                <w:b/>
                <w:sz w:val="16"/>
              </w:rPr>
              <w:t>|Δln Luas| #3</w:t>
            </w:r>
          </w:p>
        </w:tc>
        <w:tc>
          <w:tcPr>
            <w:tcW w:type="dxa" w:w="1440"/>
            <w:shd w:fill="FFFFFF"/>
            <w:tcMar>
              <w:top w:w="50" w:type="dxa"/>
              <w:bottom w:w="50" w:type="dxa"/>
              <w:left w:w="70" w:type="dxa"/>
              <w:right w:w="70" w:type="dxa"/>
            </w:tcMar>
          </w:tcPr>
          <w:p>
            <w:pPr>
              <w:spacing w:after="0" w:line="252" w:lineRule="auto"/>
            </w:pPr>
            <w:r>
              <w:rPr>
                <w:rFonts w:ascii="Calibri" w:hAnsi="Calibri"/>
                <w:sz w:val="16"/>
              </w:rPr>
              <w:t>Subang</w:t>
            </w:r>
          </w:p>
        </w:tc>
        <w:tc>
          <w:tcPr>
            <w:tcW w:type="dxa" w:w="864"/>
            <w:shd w:fill="FFFFFF"/>
            <w:tcMar>
              <w:top w:w="50" w:type="dxa"/>
              <w:bottom w:w="50" w:type="dxa"/>
              <w:left w:w="70" w:type="dxa"/>
              <w:right w:w="70" w:type="dxa"/>
            </w:tcMar>
          </w:tcPr>
          <w:p>
            <w:pPr>
              <w:spacing w:after="0" w:line="252" w:lineRule="auto"/>
            </w:pPr>
            <w:r>
              <w:rPr>
                <w:rFonts w:ascii="Calibri" w:hAnsi="Calibri"/>
                <w:sz w:val="16"/>
              </w:rPr>
              <w:t>2019</w:t>
            </w:r>
          </w:p>
        </w:tc>
        <w:tc>
          <w:tcPr>
            <w:tcW w:type="dxa" w:w="1152"/>
            <w:shd w:fill="FFFFFF"/>
            <w:tcMar>
              <w:top w:w="50" w:type="dxa"/>
              <w:bottom w:w="50" w:type="dxa"/>
              <w:left w:w="70" w:type="dxa"/>
              <w:right w:w="70" w:type="dxa"/>
            </w:tcMar>
          </w:tcPr>
          <w:p>
            <w:pPr>
              <w:spacing w:after="0" w:line="252" w:lineRule="auto"/>
            </w:pPr>
            <w:r>
              <w:rPr>
                <w:rFonts w:ascii="Calibri" w:hAnsi="Calibri"/>
                <w:sz w:val="16"/>
              </w:rPr>
              <w:t>65.85</w:t>
            </w:r>
          </w:p>
        </w:tc>
        <w:tc>
          <w:tcPr>
            <w:tcW w:type="dxa" w:w="1440"/>
            <w:shd w:fill="FFFFFF"/>
            <w:tcMar>
              <w:top w:w="50" w:type="dxa"/>
              <w:bottom w:w="50" w:type="dxa"/>
              <w:left w:w="70" w:type="dxa"/>
              <w:right w:w="70" w:type="dxa"/>
            </w:tcMar>
          </w:tcPr>
          <w:p>
            <w:pPr>
              <w:spacing w:after="0" w:line="252" w:lineRule="auto"/>
            </w:pPr>
            <w:r>
              <w:rPr>
                <w:rFonts w:ascii="Calibri" w:hAnsi="Calibri"/>
                <w:sz w:val="16"/>
              </w:rPr>
              <w:t>787 (vs 7,208)</w:t>
            </w:r>
          </w:p>
        </w:tc>
        <w:tc>
          <w:tcPr>
            <w:tcW w:type="dxa" w:w="1296"/>
            <w:shd w:fill="FFFFFF"/>
            <w:tcMar>
              <w:top w:w="50" w:type="dxa"/>
              <w:bottom w:w="50" w:type="dxa"/>
              <w:left w:w="70" w:type="dxa"/>
              <w:right w:w="70" w:type="dxa"/>
            </w:tcMar>
          </w:tcPr>
          <w:p>
            <w:pPr>
              <w:spacing w:after="0" w:line="252" w:lineRule="auto"/>
            </w:pPr>
            <w:r>
              <w:rPr>
                <w:rFonts w:ascii="Calibri" w:hAnsi="Calibri"/>
                <w:sz w:val="16"/>
              </w:rPr>
              <w:t>5,182</w:t>
            </w:r>
          </w:p>
        </w:tc>
        <w:tc>
          <w:tcPr>
            <w:tcW w:type="dxa" w:w="2304"/>
            <w:shd w:fill="FFFFFF"/>
            <w:tcMar>
              <w:top w:w="50" w:type="dxa"/>
              <w:bottom w:w="50" w:type="dxa"/>
              <w:left w:w="70" w:type="dxa"/>
              <w:right w:w="70" w:type="dxa"/>
            </w:tcMar>
          </w:tcPr>
          <w:p>
            <w:pPr>
              <w:spacing w:after="0" w:line="252" w:lineRule="auto"/>
            </w:pPr>
            <w:r>
              <w:rPr>
                <w:rFonts w:ascii="Calibri" w:hAnsi="Calibri"/>
                <w:sz w:val="16"/>
              </w:rPr>
              <w:t>|Δln A| = 2.215: Kontraksi luas panen mendadak 89%</w:t>
            </w:r>
          </w:p>
        </w:tc>
      </w:tr>
      <w:tr>
        <w:trPr>
          <w:cantSplit/>
        </w:trPr>
        <w:tc>
          <w:tcPr>
            <w:tcW w:type="dxa" w:w="1584"/>
            <w:shd w:fill="F9FBE7"/>
            <w:tcMar>
              <w:top w:w="50" w:type="dxa"/>
              <w:bottom w:w="50" w:type="dxa"/>
              <w:left w:w="70" w:type="dxa"/>
              <w:right w:w="70" w:type="dxa"/>
            </w:tcMar>
          </w:tcPr>
          <w:p>
            <w:pPr>
              <w:spacing w:after="0" w:line="252" w:lineRule="auto"/>
            </w:pPr>
            <w:r>
              <w:rPr>
                <w:rFonts w:ascii="Calibri" w:hAnsi="Calibri"/>
                <w:b/>
                <w:sz w:val="16"/>
              </w:rPr>
              <w:t>|Δln Luas| #4</w:t>
            </w:r>
          </w:p>
        </w:tc>
        <w:tc>
          <w:tcPr>
            <w:tcW w:type="dxa" w:w="1440"/>
            <w:shd w:fill="F9FBE7"/>
            <w:tcMar>
              <w:top w:w="50" w:type="dxa"/>
              <w:bottom w:w="50" w:type="dxa"/>
              <w:left w:w="70" w:type="dxa"/>
              <w:right w:w="70" w:type="dxa"/>
            </w:tcMar>
          </w:tcPr>
          <w:p>
            <w:pPr>
              <w:spacing w:after="0" w:line="252" w:lineRule="auto"/>
            </w:pPr>
            <w:r>
              <w:rPr>
                <w:rFonts w:ascii="Calibri" w:hAnsi="Calibri"/>
                <w:sz w:val="16"/>
              </w:rPr>
              <w:t>Pangandaran</w:t>
            </w:r>
          </w:p>
        </w:tc>
        <w:tc>
          <w:tcPr>
            <w:tcW w:type="dxa" w:w="864"/>
            <w:shd w:fill="F9FBE7"/>
            <w:tcMar>
              <w:top w:w="50" w:type="dxa"/>
              <w:bottom w:w="50" w:type="dxa"/>
              <w:left w:w="70" w:type="dxa"/>
              <w:right w:w="70" w:type="dxa"/>
            </w:tcMar>
          </w:tcPr>
          <w:p>
            <w:pPr>
              <w:spacing w:after="0" w:line="252" w:lineRule="auto"/>
            </w:pPr>
            <w:r>
              <w:rPr>
                <w:rFonts w:ascii="Calibri" w:hAnsi="Calibri"/>
                <w:sz w:val="16"/>
              </w:rPr>
              <w:t>2016</w:t>
            </w:r>
          </w:p>
        </w:tc>
        <w:tc>
          <w:tcPr>
            <w:tcW w:type="dxa" w:w="1152"/>
            <w:shd w:fill="F9FBE7"/>
            <w:tcMar>
              <w:top w:w="50" w:type="dxa"/>
              <w:bottom w:w="50" w:type="dxa"/>
              <w:left w:w="70" w:type="dxa"/>
              <w:right w:w="70" w:type="dxa"/>
            </w:tcMar>
          </w:tcPr>
          <w:p>
            <w:pPr>
              <w:spacing w:after="0" w:line="252" w:lineRule="auto"/>
            </w:pPr>
            <w:r>
              <w:rPr>
                <w:rFonts w:ascii="Calibri" w:hAnsi="Calibri"/>
                <w:sz w:val="16"/>
              </w:rPr>
              <w:t>49.50</w:t>
            </w:r>
          </w:p>
        </w:tc>
        <w:tc>
          <w:tcPr>
            <w:tcW w:type="dxa" w:w="1440"/>
            <w:shd w:fill="F9FBE7"/>
            <w:tcMar>
              <w:top w:w="50" w:type="dxa"/>
              <w:bottom w:w="50" w:type="dxa"/>
              <w:left w:w="70" w:type="dxa"/>
              <w:right w:w="70" w:type="dxa"/>
            </w:tcMar>
          </w:tcPr>
          <w:p>
            <w:pPr>
              <w:spacing w:after="0" w:line="252" w:lineRule="auto"/>
            </w:pPr>
            <w:r>
              <w:rPr>
                <w:rFonts w:ascii="Calibri" w:hAnsi="Calibri"/>
                <w:sz w:val="16"/>
              </w:rPr>
              <w:t>10,705 (vs 1,250)</w:t>
            </w:r>
          </w:p>
        </w:tc>
        <w:tc>
          <w:tcPr>
            <w:tcW w:type="dxa" w:w="1296"/>
            <w:shd w:fill="F9FBE7"/>
            <w:tcMar>
              <w:top w:w="50" w:type="dxa"/>
              <w:bottom w:w="50" w:type="dxa"/>
              <w:left w:w="70" w:type="dxa"/>
              <w:right w:w="70" w:type="dxa"/>
            </w:tcMar>
          </w:tcPr>
          <w:p>
            <w:pPr>
              <w:spacing w:after="0" w:line="252" w:lineRule="auto"/>
            </w:pPr>
            <w:r>
              <w:rPr>
                <w:rFonts w:ascii="Calibri" w:hAnsi="Calibri"/>
                <w:sz w:val="16"/>
              </w:rPr>
              <w:t>52,990</w:t>
            </w:r>
          </w:p>
        </w:tc>
        <w:tc>
          <w:tcPr>
            <w:tcW w:type="dxa" w:w="2304"/>
            <w:shd w:fill="F9FBE7"/>
            <w:tcMar>
              <w:top w:w="50" w:type="dxa"/>
              <w:bottom w:w="50" w:type="dxa"/>
              <w:left w:w="70" w:type="dxa"/>
              <w:right w:w="70" w:type="dxa"/>
            </w:tcMar>
          </w:tcPr>
          <w:p>
            <w:pPr>
              <w:spacing w:after="0" w:line="252" w:lineRule="auto"/>
            </w:pPr>
            <w:r>
              <w:rPr>
                <w:rFonts w:ascii="Calibri" w:hAnsi="Calibri"/>
                <w:sz w:val="16"/>
              </w:rPr>
              <w:t>|Δln A| = 2.148: Ekspansi wilayah pemekaran administratif baru</w:t>
            </w:r>
          </w:p>
        </w:tc>
      </w:tr>
      <w:tr>
        <w:trPr>
          <w:cantSplit/>
        </w:trPr>
        <w:tc>
          <w:tcPr>
            <w:tcW w:type="dxa" w:w="1584"/>
            <w:shd w:fill="FFFFFF"/>
            <w:tcMar>
              <w:top w:w="50" w:type="dxa"/>
              <w:bottom w:w="50" w:type="dxa"/>
              <w:left w:w="70" w:type="dxa"/>
              <w:right w:w="70" w:type="dxa"/>
            </w:tcMar>
          </w:tcPr>
          <w:p>
            <w:pPr>
              <w:spacing w:after="0" w:line="252" w:lineRule="auto"/>
            </w:pPr>
            <w:r>
              <w:rPr>
                <w:rFonts w:ascii="Calibri" w:hAnsi="Calibri"/>
                <w:b/>
                <w:sz w:val="16"/>
              </w:rPr>
              <w:t>|Δln Luas| #5</w:t>
            </w:r>
          </w:p>
        </w:tc>
        <w:tc>
          <w:tcPr>
            <w:tcW w:type="dxa" w:w="1440"/>
            <w:shd w:fill="FFFFFF"/>
            <w:tcMar>
              <w:top w:w="50" w:type="dxa"/>
              <w:bottom w:w="50" w:type="dxa"/>
              <w:left w:w="70" w:type="dxa"/>
              <w:right w:w="70" w:type="dxa"/>
            </w:tcMar>
          </w:tcPr>
          <w:p>
            <w:pPr>
              <w:spacing w:after="0" w:line="252" w:lineRule="auto"/>
            </w:pPr>
            <w:r>
              <w:rPr>
                <w:rFonts w:ascii="Calibri" w:hAnsi="Calibri"/>
                <w:sz w:val="16"/>
              </w:rPr>
              <w:t>Sukabumi</w:t>
            </w:r>
          </w:p>
        </w:tc>
        <w:tc>
          <w:tcPr>
            <w:tcW w:type="dxa" w:w="864"/>
            <w:shd w:fill="FFFFFF"/>
            <w:tcMar>
              <w:top w:w="50" w:type="dxa"/>
              <w:bottom w:w="50" w:type="dxa"/>
              <w:left w:w="70" w:type="dxa"/>
              <w:right w:w="70" w:type="dxa"/>
            </w:tcMar>
          </w:tcPr>
          <w:p>
            <w:pPr>
              <w:spacing w:after="0" w:line="252" w:lineRule="auto"/>
            </w:pPr>
            <w:r>
              <w:rPr>
                <w:rFonts w:ascii="Calibri" w:hAnsi="Calibri"/>
                <w:sz w:val="16"/>
              </w:rPr>
              <w:t>2017</w:t>
            </w:r>
          </w:p>
        </w:tc>
        <w:tc>
          <w:tcPr>
            <w:tcW w:type="dxa" w:w="1152"/>
            <w:shd w:fill="FFFFFF"/>
            <w:tcMar>
              <w:top w:w="50" w:type="dxa"/>
              <w:bottom w:w="50" w:type="dxa"/>
              <w:left w:w="70" w:type="dxa"/>
              <w:right w:w="70" w:type="dxa"/>
            </w:tcMar>
          </w:tcPr>
          <w:p>
            <w:pPr>
              <w:spacing w:after="0" w:line="252" w:lineRule="auto"/>
            </w:pPr>
            <w:r>
              <w:rPr>
                <w:rFonts w:ascii="Calibri" w:hAnsi="Calibri"/>
                <w:sz w:val="16"/>
              </w:rPr>
              <w:t>62.30</w:t>
            </w:r>
          </w:p>
        </w:tc>
        <w:tc>
          <w:tcPr>
            <w:tcW w:type="dxa" w:w="1440"/>
            <w:shd w:fill="FFFFFF"/>
            <w:tcMar>
              <w:top w:w="50" w:type="dxa"/>
              <w:bottom w:w="50" w:type="dxa"/>
              <w:left w:w="70" w:type="dxa"/>
              <w:right w:w="70" w:type="dxa"/>
            </w:tcMar>
          </w:tcPr>
          <w:p>
            <w:pPr>
              <w:spacing w:after="0" w:line="252" w:lineRule="auto"/>
            </w:pPr>
            <w:r>
              <w:rPr>
                <w:rFonts w:ascii="Calibri" w:hAnsi="Calibri"/>
                <w:sz w:val="16"/>
              </w:rPr>
              <w:t>9,642 (vs 1,540)</w:t>
            </w:r>
          </w:p>
        </w:tc>
        <w:tc>
          <w:tcPr>
            <w:tcW w:type="dxa" w:w="1296"/>
            <w:shd w:fill="FFFFFF"/>
            <w:tcMar>
              <w:top w:w="50" w:type="dxa"/>
              <w:bottom w:w="50" w:type="dxa"/>
              <w:left w:w="70" w:type="dxa"/>
              <w:right w:w="70" w:type="dxa"/>
            </w:tcMar>
          </w:tcPr>
          <w:p>
            <w:pPr>
              <w:spacing w:after="0" w:line="252" w:lineRule="auto"/>
            </w:pPr>
            <w:r>
              <w:rPr>
                <w:rFonts w:ascii="Calibri" w:hAnsi="Calibri"/>
                <w:sz w:val="16"/>
              </w:rPr>
              <w:t>60,070</w:t>
            </w:r>
          </w:p>
        </w:tc>
        <w:tc>
          <w:tcPr>
            <w:tcW w:type="dxa" w:w="2304"/>
            <w:shd w:fill="FFFFFF"/>
            <w:tcMar>
              <w:top w:w="50" w:type="dxa"/>
              <w:bottom w:w="50" w:type="dxa"/>
              <w:left w:w="70" w:type="dxa"/>
              <w:right w:w="70" w:type="dxa"/>
            </w:tcMar>
          </w:tcPr>
          <w:p>
            <w:pPr>
              <w:spacing w:after="0" w:line="252" w:lineRule="auto"/>
            </w:pPr>
            <w:r>
              <w:rPr>
                <w:rFonts w:ascii="Calibri" w:hAnsi="Calibri"/>
                <w:sz w:val="16"/>
              </w:rPr>
              <w:t>|Δln A| = 1.834: Lonjakan pelaporan dinas lokal</w:t>
            </w:r>
          </w:p>
        </w:tc>
      </w:tr>
    </w:tbl>
    <w:p>
      <w:pPr>
        <w:spacing w:after="120"/>
      </w:pPr>
    </w:p>
    <w:p>
      <w:pPr>
        <w:spacing w:after="40"/>
      </w:pPr>
    </w:p>
    <w:p>
      <w:r>
        <w:drawing>
          <wp:inline xmlns:a="http://schemas.openxmlformats.org/drawingml/2006/main" xmlns:pic="http://schemas.openxmlformats.org/drawingml/2006/picture">
            <wp:extent cx="5303520" cy="2930226"/>
            <wp:docPr id="7" name="Picture 7"/>
            <wp:cNvGraphicFramePr>
              <a:graphicFrameLocks noChangeAspect="1"/>
            </wp:cNvGraphicFramePr>
            <a:graphic>
              <a:graphicData uri="http://schemas.openxmlformats.org/drawingml/2006/picture">
                <pic:pic>
                  <pic:nvPicPr>
                    <pic:cNvPr id="0" name="fig02_strip_plot_detektor_nilai_identik_2022.png"/>
                    <pic:cNvPicPr/>
                  </pic:nvPicPr>
                  <pic:blipFill>
                    <a:blip r:embed="rId15"/>
                    <a:stretch>
                      <a:fillRect/>
                    </a:stretch>
                  </pic:blipFill>
                  <pic:spPr>
                    <a:xfrm>
                      <a:off x="0" y="0"/>
                      <a:ext cx="5303520" cy="2930226"/>
                    </a:xfrm>
                    <a:prstGeom prst="rect"/>
                  </pic:spPr>
                </pic:pic>
              </a:graphicData>
            </a:graphic>
          </wp:inline>
        </w:drawing>
      </w:r>
    </w:p>
    <w:p>
      <w:pPr>
        <w:spacing w:after="160"/>
      </w:pPr>
      <w:r>
        <w:t>Gambar 4.7: Strip Plot Deteksi Nilai Identik 2022 pada Produktivitas Jagung (13 Kabupaten Mampat Persis di 75.70 ku/ha -&gt; Bukti Imputasi Seragam Dinas).</w:t>
      </w:r>
    </w:p>
    <w:p>
      <w:pPr>
        <w:pStyle w:val="Heading2"/>
      </w:pPr>
      <w:r>
        <w:t>4.6 Horticulture Chili &amp; Vegetables (DS06) — Notebook 06</w:t>
      </w:r>
    </w:p>
    <w:p>
      <w:r>
        <w:t>• Kerataan Agregat Provinsi: Produktivitas cabai besar dan rawit hanya tersedia pada agregat provinsi (2017–2024). Agregasi makro meratakan seluruh variasi cuaca lokal, menghasilkan CV yang sangat rendah (Cabai Besar 4.49%, Cabai Rawit 5.71%).</w:t>
        <w:br/>
        <w:t>• Bukti Zero Temporal Overlap: Data produksi sayuran kabupaten/kota (od_18096) berhenti di tahun 2014, sedangkan data cuaca modern AgERA5 dimulai 2015. Selisih waktu permanen ini menggugurkan regresi panel spasial kabupaten.</w:t>
        <w:br/>
        <w:t>• Ketiadaan Label OPT &amp; Larangan Supervised ML: Portal Galura tidak memuat data serangan hama/penyakit. Pemodelan supervised machine learning untuk penyakit resmi dilarang.</w:t>
        <w:br/>
        <w:t>• Penguncian Tier B: Seluruh komoditas hortikultura dikunci permanen di Tier B Rule-Based Advisory mikroklimat tanpa regresi hasil panen.</w:t>
      </w:r>
    </w:p>
    <w:p>
      <w:pPr>
        <w:spacing w:after="40"/>
      </w:pPr>
    </w:p>
    <w:p>
      <w:r>
        <w:drawing>
          <wp:inline xmlns:a="http://schemas.openxmlformats.org/drawingml/2006/main" xmlns:pic="http://schemas.openxmlformats.org/drawingml/2006/picture">
            <wp:extent cx="5303520" cy="2148410"/>
            <wp:docPr id="8" name="Picture 8"/>
            <wp:cNvGraphicFramePr>
              <a:graphicFrameLocks noChangeAspect="1"/>
            </wp:cNvGraphicFramePr>
            <a:graphic>
              <a:graphicData uri="http://schemas.openxmlformats.org/drawingml/2006/picture">
                <pic:pic>
                  <pic:nvPicPr>
                    <pic:cNvPr id="0" name="fig03_bukti_zero_temporal_overlap_kabkota.png"/>
                    <pic:cNvPicPr/>
                  </pic:nvPicPr>
                  <pic:blipFill>
                    <a:blip r:embed="rId16"/>
                    <a:stretch>
                      <a:fillRect/>
                    </a:stretch>
                  </pic:blipFill>
                  <pic:spPr>
                    <a:xfrm>
                      <a:off x="0" y="0"/>
                      <a:ext cx="5303520" cy="2148410"/>
                    </a:xfrm>
                    <a:prstGeom prst="rect"/>
                  </pic:spPr>
                </pic:pic>
              </a:graphicData>
            </a:graphic>
          </wp:inline>
        </w:drawing>
      </w:r>
    </w:p>
    <w:p>
      <w:pPr>
        <w:spacing w:after="160"/>
      </w:pPr>
      <w:r>
        <w:t>Gambar 4.8: Bukti Visual Zero Temporal Overlap antara Produksi Sayuran Kabupaten/Kota (od_18096: 2013–2014) vs Cuaca AgERA5 (2015–2024).</w:t>
      </w:r>
    </w:p>
    <w:p>
      <w:pPr>
        <w:pStyle w:val="Heading2"/>
      </w:pPr>
      <w:r>
        <w:t>4.7 Soybean Productivity &amp; Geoboundaries (DS07) — Notebook 07</w:t>
      </w:r>
    </w:p>
    <w:p>
      <w:r>
        <w:t>• Kriteria Sentra Ex-Ante: Kriteria keaktifan N &gt;= 6 tahun menyaring tepat 17 kabupaten sentra kedelai aktif (108 observasi valid 2015–2021).</w:t>
        <w:br/>
        <w:t>• Kolaps Variansi Spasial 2022 (SUSPECT): Standar deviasi spasial kedelai pada 2022 runtuh dari 2.18 ku/ha (2021) menjadi hanya 0.19 ku/ha akibat imputasi rata-rata dinas 14.30 ku/ha. Tahun 2022 resmi diklasifikasikan sebagai SUSPECT.</w:t>
        <w:br/>
        <w:t>• Integrasi Geospasial: Centroid 27 wilayah geoBoundaries ADM2 dipadankan ke 22 sel AgERA5 unik dengan rata-rata perpindahan 5.2 km. Elevasi SRTM menunjukkan kontras dari Pantura (&lt;50 m) hingga Priangan (&gt;1.000 m). Tabel lookup disimpan di data/processed/lookup_kab_cell_elev.csv.</w:t>
        <w:br/>
        <w:t>• Audit Outlier Kedelai: Ditemukan artefak indexing serupa di Kab. Bandung (1.00, 2.00, 3.00, 4.00 ku/ha) dan lonjakan luas panen ekstrem |Δln A| di Karawang dan Majalengka.</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cantSplit/>
        </w:trPr>
        <w:tc>
          <w:tcPr>
            <w:tcW w:type="dxa" w:w="1584"/>
            <w:shd w:fill="2E7D32"/>
            <w:tcMar>
              <w:top w:w="70" w:type="dxa"/>
              <w:bottom w:w="70" w:type="dxa"/>
              <w:left w:w="90" w:type="dxa"/>
              <w:right w:w="90" w:type="dxa"/>
            </w:tcMar>
          </w:tcPr>
          <w:p>
            <w:pPr>
              <w:spacing w:after="0" w:line="252" w:lineRule="auto"/>
            </w:pPr>
            <w:r>
              <w:rPr>
                <w:rFonts w:ascii="Calibri" w:hAnsi="Calibri"/>
                <w:b/>
                <w:color w:val="FFFFFF"/>
                <w:sz w:val="17"/>
              </w:rPr>
              <w:t>Kategori Outlier</w:t>
            </w:r>
          </w:p>
        </w:tc>
        <w:tc>
          <w:tcPr>
            <w:tcW w:type="dxa" w:w="1440"/>
            <w:shd w:fill="2E7D32"/>
            <w:tcMar>
              <w:top w:w="70" w:type="dxa"/>
              <w:bottom w:w="70" w:type="dxa"/>
              <w:left w:w="90" w:type="dxa"/>
              <w:right w:w="90" w:type="dxa"/>
            </w:tcMar>
          </w:tcPr>
          <w:p>
            <w:pPr>
              <w:spacing w:after="0" w:line="252" w:lineRule="auto"/>
            </w:pPr>
            <w:r>
              <w:rPr>
                <w:rFonts w:ascii="Calibri" w:hAnsi="Calibri"/>
                <w:b/>
                <w:color w:val="FFFFFF"/>
                <w:sz w:val="17"/>
              </w:rPr>
              <w:t>Kabupaten</w:t>
            </w:r>
          </w:p>
        </w:tc>
        <w:tc>
          <w:tcPr>
            <w:tcW w:type="dxa" w:w="864"/>
            <w:shd w:fill="2E7D32"/>
            <w:tcMar>
              <w:top w:w="70" w:type="dxa"/>
              <w:bottom w:w="70" w:type="dxa"/>
              <w:left w:w="90" w:type="dxa"/>
              <w:right w:w="90" w:type="dxa"/>
            </w:tcMar>
          </w:tcPr>
          <w:p>
            <w:pPr>
              <w:spacing w:after="0" w:line="252" w:lineRule="auto"/>
            </w:pPr>
            <w:r>
              <w:rPr>
                <w:rFonts w:ascii="Calibri" w:hAnsi="Calibri"/>
                <w:b/>
                <w:color w:val="FFFFFF"/>
                <w:sz w:val="17"/>
              </w:rPr>
              <w:t>Tahun</w:t>
            </w:r>
          </w:p>
        </w:tc>
        <w:tc>
          <w:tcPr>
            <w:tcW w:type="dxa" w:w="1152"/>
            <w:shd w:fill="2E7D32"/>
            <w:tcMar>
              <w:top w:w="70" w:type="dxa"/>
              <w:bottom w:w="70" w:type="dxa"/>
              <w:left w:w="90" w:type="dxa"/>
              <w:right w:w="90" w:type="dxa"/>
            </w:tcMar>
          </w:tcPr>
          <w:p>
            <w:pPr>
              <w:spacing w:after="0" w:line="252" w:lineRule="auto"/>
            </w:pPr>
            <w:r>
              <w:rPr>
                <w:rFonts w:ascii="Calibri" w:hAnsi="Calibri"/>
                <w:b/>
                <w:color w:val="FFFFFF"/>
                <w:sz w:val="17"/>
              </w:rPr>
              <w:t>Yield (ku/ha)</w:t>
            </w:r>
          </w:p>
        </w:tc>
        <w:tc>
          <w:tcPr>
            <w:tcW w:type="dxa" w:w="1440"/>
            <w:shd w:fill="2E7D32"/>
            <w:tcMar>
              <w:top w:w="70" w:type="dxa"/>
              <w:bottom w:w="70" w:type="dxa"/>
              <w:left w:w="90" w:type="dxa"/>
              <w:right w:w="90" w:type="dxa"/>
            </w:tcMar>
          </w:tcPr>
          <w:p>
            <w:pPr>
              <w:spacing w:after="0" w:line="252" w:lineRule="auto"/>
            </w:pPr>
            <w:r>
              <w:rPr>
                <w:rFonts w:ascii="Calibri" w:hAnsi="Calibri"/>
                <w:b/>
                <w:color w:val="FFFFFF"/>
                <w:sz w:val="17"/>
              </w:rPr>
              <w:t>Luas Panen (ha)</w:t>
            </w:r>
          </w:p>
        </w:tc>
        <w:tc>
          <w:tcPr>
            <w:tcW w:type="dxa" w:w="1296"/>
            <w:shd w:fill="2E7D32"/>
            <w:tcMar>
              <w:top w:w="70" w:type="dxa"/>
              <w:bottom w:w="70" w:type="dxa"/>
              <w:left w:w="90" w:type="dxa"/>
              <w:right w:w="90" w:type="dxa"/>
            </w:tcMar>
          </w:tcPr>
          <w:p>
            <w:pPr>
              <w:spacing w:after="0" w:line="252" w:lineRule="auto"/>
            </w:pPr>
            <w:r>
              <w:rPr>
                <w:rFonts w:ascii="Calibri" w:hAnsi="Calibri"/>
                <w:b/>
                <w:color w:val="FFFFFF"/>
                <w:sz w:val="17"/>
              </w:rPr>
              <w:t>Produksi (ton)</w:t>
            </w:r>
          </w:p>
        </w:tc>
        <w:tc>
          <w:tcPr>
            <w:tcW w:type="dxa" w:w="2304"/>
            <w:shd w:fill="2E7D32"/>
            <w:tcMar>
              <w:top w:w="70" w:type="dxa"/>
              <w:bottom w:w="70" w:type="dxa"/>
              <w:left w:w="90" w:type="dxa"/>
              <w:right w:w="90" w:type="dxa"/>
            </w:tcMar>
          </w:tcPr>
          <w:p>
            <w:pPr>
              <w:spacing w:after="0" w:line="252" w:lineRule="auto"/>
            </w:pPr>
            <w:r>
              <w:rPr>
                <w:rFonts w:ascii="Calibri" w:hAnsi="Calibri"/>
                <w:b/>
                <w:color w:val="FFFFFF"/>
                <w:sz w:val="17"/>
              </w:rPr>
              <w:t>Diagnosis Metodologis</w:t>
            </w:r>
          </w:p>
        </w:tc>
      </w:tr>
      <w:tr>
        <w:trPr>
          <w:cantSplit/>
        </w:trPr>
        <w:tc>
          <w:tcPr>
            <w:tcW w:type="dxa" w:w="1584"/>
            <w:shd w:fill="F9FBE7"/>
            <w:tcMar>
              <w:top w:w="50" w:type="dxa"/>
              <w:bottom w:w="50" w:type="dxa"/>
              <w:left w:w="70" w:type="dxa"/>
              <w:right w:w="70" w:type="dxa"/>
            </w:tcMar>
          </w:tcPr>
          <w:p>
            <w:pPr>
              <w:spacing w:after="0" w:line="252" w:lineRule="auto"/>
            </w:pPr>
            <w:r>
              <w:rPr>
                <w:rFonts w:ascii="Calibri" w:hAnsi="Calibri"/>
                <w:b/>
                <w:sz w:val="16"/>
              </w:rPr>
              <w:t>Yield Terendah #1</w:t>
            </w:r>
          </w:p>
        </w:tc>
        <w:tc>
          <w:tcPr>
            <w:tcW w:type="dxa" w:w="1440"/>
            <w:shd w:fill="F9FBE7"/>
            <w:tcMar>
              <w:top w:w="50" w:type="dxa"/>
              <w:bottom w:w="50" w:type="dxa"/>
              <w:left w:w="70" w:type="dxa"/>
              <w:right w:w="70" w:type="dxa"/>
            </w:tcMar>
          </w:tcPr>
          <w:p>
            <w:pPr>
              <w:spacing w:after="0" w:line="252" w:lineRule="auto"/>
            </w:pPr>
            <w:r>
              <w:rPr>
                <w:rFonts w:ascii="Calibri" w:hAnsi="Calibri"/>
                <w:sz w:val="16"/>
              </w:rPr>
              <w:t>Kab. Bandung</w:t>
            </w:r>
          </w:p>
        </w:tc>
        <w:tc>
          <w:tcPr>
            <w:tcW w:type="dxa" w:w="864"/>
            <w:shd w:fill="F9FBE7"/>
            <w:tcMar>
              <w:top w:w="50" w:type="dxa"/>
              <w:bottom w:w="50" w:type="dxa"/>
              <w:left w:w="70" w:type="dxa"/>
              <w:right w:w="70" w:type="dxa"/>
            </w:tcMar>
          </w:tcPr>
          <w:p>
            <w:pPr>
              <w:spacing w:after="0" w:line="252" w:lineRule="auto"/>
            </w:pPr>
            <w:r>
              <w:rPr>
                <w:rFonts w:ascii="Calibri" w:hAnsi="Calibri"/>
                <w:sz w:val="16"/>
              </w:rPr>
              <w:t>2017</w:t>
            </w:r>
          </w:p>
        </w:tc>
        <w:tc>
          <w:tcPr>
            <w:tcW w:type="dxa" w:w="1152"/>
            <w:shd w:fill="F9FBE7"/>
            <w:tcMar>
              <w:top w:w="50" w:type="dxa"/>
              <w:bottom w:w="50" w:type="dxa"/>
              <w:left w:w="70" w:type="dxa"/>
              <w:right w:w="70" w:type="dxa"/>
            </w:tcMar>
          </w:tcPr>
          <w:p>
            <w:pPr>
              <w:spacing w:after="0" w:line="252" w:lineRule="auto"/>
            </w:pPr>
            <w:r>
              <w:rPr>
                <w:rFonts w:ascii="Calibri" w:hAnsi="Calibri"/>
                <w:sz w:val="16"/>
              </w:rPr>
              <w:t>1.00</w:t>
            </w:r>
          </w:p>
        </w:tc>
        <w:tc>
          <w:tcPr>
            <w:tcW w:type="dxa" w:w="1440"/>
            <w:shd w:fill="F9FBE7"/>
            <w:tcMar>
              <w:top w:w="50" w:type="dxa"/>
              <w:bottom w:w="50" w:type="dxa"/>
              <w:left w:w="70" w:type="dxa"/>
              <w:right w:w="70" w:type="dxa"/>
            </w:tcMar>
          </w:tcPr>
          <w:p>
            <w:pPr>
              <w:spacing w:after="0" w:line="252" w:lineRule="auto"/>
            </w:pPr>
            <w:r>
              <w:rPr>
                <w:rFonts w:ascii="Calibri" w:hAnsi="Calibri"/>
                <w:sz w:val="16"/>
              </w:rPr>
              <w:t>4,500</w:t>
            </w:r>
          </w:p>
        </w:tc>
        <w:tc>
          <w:tcPr>
            <w:tcW w:type="dxa" w:w="1296"/>
            <w:shd w:fill="F9FBE7"/>
            <w:tcMar>
              <w:top w:w="50" w:type="dxa"/>
              <w:bottom w:w="50" w:type="dxa"/>
              <w:left w:w="70" w:type="dxa"/>
              <w:right w:w="70" w:type="dxa"/>
            </w:tcMar>
          </w:tcPr>
          <w:p>
            <w:pPr>
              <w:spacing w:after="0" w:line="252" w:lineRule="auto"/>
            </w:pPr>
            <w:r>
              <w:rPr>
                <w:rFonts w:ascii="Calibri" w:hAnsi="Calibri"/>
                <w:sz w:val="16"/>
              </w:rPr>
              <w:t>450</w:t>
            </w:r>
          </w:p>
        </w:tc>
        <w:tc>
          <w:tcPr>
            <w:tcW w:type="dxa" w:w="2304"/>
            <w:shd w:fill="F9FBE7"/>
            <w:tcMar>
              <w:top w:w="50" w:type="dxa"/>
              <w:bottom w:w="50" w:type="dxa"/>
              <w:left w:w="70" w:type="dxa"/>
              <w:right w:w="70" w:type="dxa"/>
            </w:tcMar>
          </w:tcPr>
          <w:p>
            <w:pPr>
              <w:spacing w:after="0" w:line="252" w:lineRule="auto"/>
            </w:pPr>
            <w:r>
              <w:rPr>
                <w:rFonts w:ascii="Calibri" w:hAnsi="Calibri"/>
                <w:sz w:val="16"/>
              </w:rPr>
              <w:t>Artefak indexing placeholder administratif (1.00 ku/ha)</w:t>
            </w:r>
          </w:p>
        </w:tc>
      </w:tr>
      <w:tr>
        <w:trPr>
          <w:cantSplit/>
        </w:trPr>
        <w:tc>
          <w:tcPr>
            <w:tcW w:type="dxa" w:w="1584"/>
            <w:shd w:fill="FFFFFF"/>
            <w:tcMar>
              <w:top w:w="50" w:type="dxa"/>
              <w:bottom w:w="50" w:type="dxa"/>
              <w:left w:w="70" w:type="dxa"/>
              <w:right w:w="70" w:type="dxa"/>
            </w:tcMar>
          </w:tcPr>
          <w:p>
            <w:pPr>
              <w:spacing w:after="0" w:line="252" w:lineRule="auto"/>
            </w:pPr>
            <w:r>
              <w:rPr>
                <w:rFonts w:ascii="Calibri" w:hAnsi="Calibri"/>
                <w:b/>
                <w:sz w:val="16"/>
              </w:rPr>
              <w:t>Yield Terendah #2</w:t>
            </w:r>
          </w:p>
        </w:tc>
        <w:tc>
          <w:tcPr>
            <w:tcW w:type="dxa" w:w="1440"/>
            <w:shd w:fill="FFFFFF"/>
            <w:tcMar>
              <w:top w:w="50" w:type="dxa"/>
              <w:bottom w:w="50" w:type="dxa"/>
              <w:left w:w="70" w:type="dxa"/>
              <w:right w:w="70" w:type="dxa"/>
            </w:tcMar>
          </w:tcPr>
          <w:p>
            <w:pPr>
              <w:spacing w:after="0" w:line="252" w:lineRule="auto"/>
            </w:pPr>
            <w:r>
              <w:rPr>
                <w:rFonts w:ascii="Calibri" w:hAnsi="Calibri"/>
                <w:sz w:val="16"/>
              </w:rPr>
              <w:t>Kab. Bandung</w:t>
            </w:r>
          </w:p>
        </w:tc>
        <w:tc>
          <w:tcPr>
            <w:tcW w:type="dxa" w:w="864"/>
            <w:shd w:fill="FFFFFF"/>
            <w:tcMar>
              <w:top w:w="50" w:type="dxa"/>
              <w:bottom w:w="50" w:type="dxa"/>
              <w:left w:w="70" w:type="dxa"/>
              <w:right w:w="70" w:type="dxa"/>
            </w:tcMar>
          </w:tcPr>
          <w:p>
            <w:pPr>
              <w:spacing w:after="0" w:line="252" w:lineRule="auto"/>
            </w:pPr>
            <w:r>
              <w:rPr>
                <w:rFonts w:ascii="Calibri" w:hAnsi="Calibri"/>
                <w:sz w:val="16"/>
              </w:rPr>
              <w:t>2018</w:t>
            </w:r>
          </w:p>
        </w:tc>
        <w:tc>
          <w:tcPr>
            <w:tcW w:type="dxa" w:w="1152"/>
            <w:shd w:fill="FFFFFF"/>
            <w:tcMar>
              <w:top w:w="50" w:type="dxa"/>
              <w:bottom w:w="50" w:type="dxa"/>
              <w:left w:w="70" w:type="dxa"/>
              <w:right w:w="70" w:type="dxa"/>
            </w:tcMar>
          </w:tcPr>
          <w:p>
            <w:pPr>
              <w:spacing w:after="0" w:line="252" w:lineRule="auto"/>
            </w:pPr>
            <w:r>
              <w:rPr>
                <w:rFonts w:ascii="Calibri" w:hAnsi="Calibri"/>
                <w:sz w:val="16"/>
              </w:rPr>
              <w:t>2.00</w:t>
            </w:r>
          </w:p>
        </w:tc>
        <w:tc>
          <w:tcPr>
            <w:tcW w:type="dxa" w:w="1440"/>
            <w:shd w:fill="FFFFFF"/>
            <w:tcMar>
              <w:top w:w="50" w:type="dxa"/>
              <w:bottom w:w="50" w:type="dxa"/>
              <w:left w:w="70" w:type="dxa"/>
              <w:right w:w="70" w:type="dxa"/>
            </w:tcMar>
          </w:tcPr>
          <w:p>
            <w:pPr>
              <w:spacing w:after="0" w:line="252" w:lineRule="auto"/>
            </w:pPr>
            <w:r>
              <w:rPr>
                <w:rFonts w:ascii="Calibri" w:hAnsi="Calibri"/>
                <w:sz w:val="16"/>
              </w:rPr>
              <w:t>4,600</w:t>
            </w:r>
          </w:p>
        </w:tc>
        <w:tc>
          <w:tcPr>
            <w:tcW w:type="dxa" w:w="1296"/>
            <w:shd w:fill="FFFFFF"/>
            <w:tcMar>
              <w:top w:w="50" w:type="dxa"/>
              <w:bottom w:w="50" w:type="dxa"/>
              <w:left w:w="70" w:type="dxa"/>
              <w:right w:w="70" w:type="dxa"/>
            </w:tcMar>
          </w:tcPr>
          <w:p>
            <w:pPr>
              <w:spacing w:after="0" w:line="252" w:lineRule="auto"/>
            </w:pPr>
            <w:r>
              <w:rPr>
                <w:rFonts w:ascii="Calibri" w:hAnsi="Calibri"/>
                <w:sz w:val="16"/>
              </w:rPr>
              <w:t>920</w:t>
            </w:r>
          </w:p>
        </w:tc>
        <w:tc>
          <w:tcPr>
            <w:tcW w:type="dxa" w:w="2304"/>
            <w:shd w:fill="FFFFFF"/>
            <w:tcMar>
              <w:top w:w="50" w:type="dxa"/>
              <w:bottom w:w="50" w:type="dxa"/>
              <w:left w:w="70" w:type="dxa"/>
              <w:right w:w="70" w:type="dxa"/>
            </w:tcMar>
          </w:tcPr>
          <w:p>
            <w:pPr>
              <w:spacing w:after="0" w:line="252" w:lineRule="auto"/>
            </w:pPr>
            <w:r>
              <w:rPr>
                <w:rFonts w:ascii="Calibri" w:hAnsi="Calibri"/>
                <w:sz w:val="16"/>
              </w:rPr>
              <w:t>Artefak indexing placeholder administratif (2.00 ku/ha)</w:t>
            </w:r>
          </w:p>
        </w:tc>
      </w:tr>
      <w:tr>
        <w:trPr>
          <w:cantSplit/>
        </w:trPr>
        <w:tc>
          <w:tcPr>
            <w:tcW w:type="dxa" w:w="1584"/>
            <w:shd w:fill="F9FBE7"/>
            <w:tcMar>
              <w:top w:w="50" w:type="dxa"/>
              <w:bottom w:w="50" w:type="dxa"/>
              <w:left w:w="70" w:type="dxa"/>
              <w:right w:w="70" w:type="dxa"/>
            </w:tcMar>
          </w:tcPr>
          <w:p>
            <w:pPr>
              <w:spacing w:after="0" w:line="252" w:lineRule="auto"/>
            </w:pPr>
            <w:r>
              <w:rPr>
                <w:rFonts w:ascii="Calibri" w:hAnsi="Calibri"/>
                <w:b/>
                <w:sz w:val="16"/>
              </w:rPr>
              <w:t>Yield Terendah #3</w:t>
            </w:r>
          </w:p>
        </w:tc>
        <w:tc>
          <w:tcPr>
            <w:tcW w:type="dxa" w:w="1440"/>
            <w:shd w:fill="F9FBE7"/>
            <w:tcMar>
              <w:top w:w="50" w:type="dxa"/>
              <w:bottom w:w="50" w:type="dxa"/>
              <w:left w:w="70" w:type="dxa"/>
              <w:right w:w="70" w:type="dxa"/>
            </w:tcMar>
          </w:tcPr>
          <w:p>
            <w:pPr>
              <w:spacing w:after="0" w:line="252" w:lineRule="auto"/>
            </w:pPr>
            <w:r>
              <w:rPr>
                <w:rFonts w:ascii="Calibri" w:hAnsi="Calibri"/>
                <w:sz w:val="16"/>
              </w:rPr>
              <w:t>Kab. Bandung</w:t>
            </w:r>
          </w:p>
        </w:tc>
        <w:tc>
          <w:tcPr>
            <w:tcW w:type="dxa" w:w="864"/>
            <w:shd w:fill="F9FBE7"/>
            <w:tcMar>
              <w:top w:w="50" w:type="dxa"/>
              <w:bottom w:w="50" w:type="dxa"/>
              <w:left w:w="70" w:type="dxa"/>
              <w:right w:w="70" w:type="dxa"/>
            </w:tcMar>
          </w:tcPr>
          <w:p>
            <w:pPr>
              <w:spacing w:after="0" w:line="252" w:lineRule="auto"/>
            </w:pPr>
            <w:r>
              <w:rPr>
                <w:rFonts w:ascii="Calibri" w:hAnsi="Calibri"/>
                <w:sz w:val="16"/>
              </w:rPr>
              <w:t>2019</w:t>
            </w:r>
          </w:p>
        </w:tc>
        <w:tc>
          <w:tcPr>
            <w:tcW w:type="dxa" w:w="1152"/>
            <w:shd w:fill="F9FBE7"/>
            <w:tcMar>
              <w:top w:w="50" w:type="dxa"/>
              <w:bottom w:w="50" w:type="dxa"/>
              <w:left w:w="70" w:type="dxa"/>
              <w:right w:w="70" w:type="dxa"/>
            </w:tcMar>
          </w:tcPr>
          <w:p>
            <w:pPr>
              <w:spacing w:after="0" w:line="252" w:lineRule="auto"/>
            </w:pPr>
            <w:r>
              <w:rPr>
                <w:rFonts w:ascii="Calibri" w:hAnsi="Calibri"/>
                <w:sz w:val="16"/>
              </w:rPr>
              <w:t>3.00</w:t>
            </w:r>
          </w:p>
        </w:tc>
        <w:tc>
          <w:tcPr>
            <w:tcW w:type="dxa" w:w="1440"/>
            <w:shd w:fill="F9FBE7"/>
            <w:tcMar>
              <w:top w:w="50" w:type="dxa"/>
              <w:bottom w:w="50" w:type="dxa"/>
              <w:left w:w="70" w:type="dxa"/>
              <w:right w:w="70" w:type="dxa"/>
            </w:tcMar>
          </w:tcPr>
          <w:p>
            <w:pPr>
              <w:spacing w:after="0" w:line="252" w:lineRule="auto"/>
            </w:pPr>
            <w:r>
              <w:rPr>
                <w:rFonts w:ascii="Calibri" w:hAnsi="Calibri"/>
                <w:sz w:val="16"/>
              </w:rPr>
              <w:t>4,700</w:t>
            </w:r>
          </w:p>
        </w:tc>
        <w:tc>
          <w:tcPr>
            <w:tcW w:type="dxa" w:w="1296"/>
            <w:shd w:fill="F9FBE7"/>
            <w:tcMar>
              <w:top w:w="50" w:type="dxa"/>
              <w:bottom w:w="50" w:type="dxa"/>
              <w:left w:w="70" w:type="dxa"/>
              <w:right w:w="70" w:type="dxa"/>
            </w:tcMar>
          </w:tcPr>
          <w:p>
            <w:pPr>
              <w:spacing w:after="0" w:line="252" w:lineRule="auto"/>
            </w:pPr>
            <w:r>
              <w:rPr>
                <w:rFonts w:ascii="Calibri" w:hAnsi="Calibri"/>
                <w:sz w:val="16"/>
              </w:rPr>
              <w:t>1,410</w:t>
            </w:r>
          </w:p>
        </w:tc>
        <w:tc>
          <w:tcPr>
            <w:tcW w:type="dxa" w:w="2304"/>
            <w:shd w:fill="F9FBE7"/>
            <w:tcMar>
              <w:top w:w="50" w:type="dxa"/>
              <w:bottom w:w="50" w:type="dxa"/>
              <w:left w:w="70" w:type="dxa"/>
              <w:right w:w="70" w:type="dxa"/>
            </w:tcMar>
          </w:tcPr>
          <w:p>
            <w:pPr>
              <w:spacing w:after="0" w:line="252" w:lineRule="auto"/>
            </w:pPr>
            <w:r>
              <w:rPr>
                <w:rFonts w:ascii="Calibri" w:hAnsi="Calibri"/>
                <w:sz w:val="16"/>
              </w:rPr>
              <w:t>Artefak indexing placeholder administratif (3.00 ku/ha)</w:t>
            </w:r>
          </w:p>
        </w:tc>
      </w:tr>
      <w:tr>
        <w:trPr>
          <w:cantSplit/>
        </w:trPr>
        <w:tc>
          <w:tcPr>
            <w:tcW w:type="dxa" w:w="1584"/>
            <w:shd w:fill="FFFFFF"/>
            <w:tcMar>
              <w:top w:w="50" w:type="dxa"/>
              <w:bottom w:w="50" w:type="dxa"/>
              <w:left w:w="70" w:type="dxa"/>
              <w:right w:w="70" w:type="dxa"/>
            </w:tcMar>
          </w:tcPr>
          <w:p>
            <w:pPr>
              <w:spacing w:after="0" w:line="252" w:lineRule="auto"/>
            </w:pPr>
            <w:r>
              <w:rPr>
                <w:rFonts w:ascii="Calibri" w:hAnsi="Calibri"/>
                <w:b/>
                <w:sz w:val="16"/>
              </w:rPr>
              <w:t>Yield Terendah #4</w:t>
            </w:r>
          </w:p>
        </w:tc>
        <w:tc>
          <w:tcPr>
            <w:tcW w:type="dxa" w:w="1440"/>
            <w:shd w:fill="FFFFFF"/>
            <w:tcMar>
              <w:top w:w="50" w:type="dxa"/>
              <w:bottom w:w="50" w:type="dxa"/>
              <w:left w:w="70" w:type="dxa"/>
              <w:right w:w="70" w:type="dxa"/>
            </w:tcMar>
          </w:tcPr>
          <w:p>
            <w:pPr>
              <w:spacing w:after="0" w:line="252" w:lineRule="auto"/>
            </w:pPr>
            <w:r>
              <w:rPr>
                <w:rFonts w:ascii="Calibri" w:hAnsi="Calibri"/>
                <w:sz w:val="16"/>
              </w:rPr>
              <w:t>Kab. Bandung</w:t>
            </w:r>
          </w:p>
        </w:tc>
        <w:tc>
          <w:tcPr>
            <w:tcW w:type="dxa" w:w="864"/>
            <w:shd w:fill="FFFFFF"/>
            <w:tcMar>
              <w:top w:w="50" w:type="dxa"/>
              <w:bottom w:w="50" w:type="dxa"/>
              <w:left w:w="70" w:type="dxa"/>
              <w:right w:w="70" w:type="dxa"/>
            </w:tcMar>
          </w:tcPr>
          <w:p>
            <w:pPr>
              <w:spacing w:after="0" w:line="252" w:lineRule="auto"/>
            </w:pPr>
            <w:r>
              <w:rPr>
                <w:rFonts w:ascii="Calibri" w:hAnsi="Calibri"/>
                <w:sz w:val="16"/>
              </w:rPr>
              <w:t>2020</w:t>
            </w:r>
          </w:p>
        </w:tc>
        <w:tc>
          <w:tcPr>
            <w:tcW w:type="dxa" w:w="1152"/>
            <w:shd w:fill="FFFFFF"/>
            <w:tcMar>
              <w:top w:w="50" w:type="dxa"/>
              <w:bottom w:w="50" w:type="dxa"/>
              <w:left w:w="70" w:type="dxa"/>
              <w:right w:w="70" w:type="dxa"/>
            </w:tcMar>
          </w:tcPr>
          <w:p>
            <w:pPr>
              <w:spacing w:after="0" w:line="252" w:lineRule="auto"/>
            </w:pPr>
            <w:r>
              <w:rPr>
                <w:rFonts w:ascii="Calibri" w:hAnsi="Calibri"/>
                <w:sz w:val="16"/>
              </w:rPr>
              <w:t>4.00</w:t>
            </w:r>
          </w:p>
        </w:tc>
        <w:tc>
          <w:tcPr>
            <w:tcW w:type="dxa" w:w="1440"/>
            <w:shd w:fill="FFFFFF"/>
            <w:tcMar>
              <w:top w:w="50" w:type="dxa"/>
              <w:bottom w:w="50" w:type="dxa"/>
              <w:left w:w="70" w:type="dxa"/>
              <w:right w:w="70" w:type="dxa"/>
            </w:tcMar>
          </w:tcPr>
          <w:p>
            <w:pPr>
              <w:spacing w:after="0" w:line="252" w:lineRule="auto"/>
            </w:pPr>
            <w:r>
              <w:rPr>
                <w:rFonts w:ascii="Calibri" w:hAnsi="Calibri"/>
                <w:sz w:val="16"/>
              </w:rPr>
              <w:t>4,800</w:t>
            </w:r>
          </w:p>
        </w:tc>
        <w:tc>
          <w:tcPr>
            <w:tcW w:type="dxa" w:w="1296"/>
            <w:shd w:fill="FFFFFF"/>
            <w:tcMar>
              <w:top w:w="50" w:type="dxa"/>
              <w:bottom w:w="50" w:type="dxa"/>
              <w:left w:w="70" w:type="dxa"/>
              <w:right w:w="70" w:type="dxa"/>
            </w:tcMar>
          </w:tcPr>
          <w:p>
            <w:pPr>
              <w:spacing w:after="0" w:line="252" w:lineRule="auto"/>
            </w:pPr>
            <w:r>
              <w:rPr>
                <w:rFonts w:ascii="Calibri" w:hAnsi="Calibri"/>
                <w:sz w:val="16"/>
              </w:rPr>
              <w:t>1,920</w:t>
            </w:r>
          </w:p>
        </w:tc>
        <w:tc>
          <w:tcPr>
            <w:tcW w:type="dxa" w:w="2304"/>
            <w:shd w:fill="FFFFFF"/>
            <w:tcMar>
              <w:top w:w="50" w:type="dxa"/>
              <w:bottom w:w="50" w:type="dxa"/>
              <w:left w:w="70" w:type="dxa"/>
              <w:right w:w="70" w:type="dxa"/>
            </w:tcMar>
          </w:tcPr>
          <w:p>
            <w:pPr>
              <w:spacing w:after="0" w:line="252" w:lineRule="auto"/>
            </w:pPr>
            <w:r>
              <w:rPr>
                <w:rFonts w:ascii="Calibri" w:hAnsi="Calibri"/>
                <w:sz w:val="16"/>
              </w:rPr>
              <w:t>Artefak indexing placeholder administratif (4.00 ku/ha)</w:t>
            </w:r>
          </w:p>
        </w:tc>
      </w:tr>
      <w:tr>
        <w:trPr>
          <w:cantSplit/>
        </w:trPr>
        <w:tc>
          <w:tcPr>
            <w:tcW w:type="dxa" w:w="1584"/>
            <w:shd w:fill="F9FBE7"/>
            <w:tcMar>
              <w:top w:w="50" w:type="dxa"/>
              <w:bottom w:w="50" w:type="dxa"/>
              <w:left w:w="70" w:type="dxa"/>
              <w:right w:w="70" w:type="dxa"/>
            </w:tcMar>
          </w:tcPr>
          <w:p>
            <w:pPr>
              <w:spacing w:after="0" w:line="252" w:lineRule="auto"/>
            </w:pPr>
            <w:r>
              <w:rPr>
                <w:rFonts w:ascii="Calibri" w:hAnsi="Calibri"/>
                <w:b/>
                <w:sz w:val="16"/>
              </w:rPr>
              <w:t>Yield Terendah #5</w:t>
            </w:r>
          </w:p>
        </w:tc>
        <w:tc>
          <w:tcPr>
            <w:tcW w:type="dxa" w:w="1440"/>
            <w:shd w:fill="F9FBE7"/>
            <w:tcMar>
              <w:top w:w="50" w:type="dxa"/>
              <w:bottom w:w="50" w:type="dxa"/>
              <w:left w:w="70" w:type="dxa"/>
              <w:right w:w="70" w:type="dxa"/>
            </w:tcMar>
          </w:tcPr>
          <w:p>
            <w:pPr>
              <w:spacing w:after="0" w:line="252" w:lineRule="auto"/>
            </w:pPr>
            <w:r>
              <w:rPr>
                <w:rFonts w:ascii="Calibri" w:hAnsi="Calibri"/>
                <w:sz w:val="16"/>
              </w:rPr>
              <w:t>Ciamis</w:t>
            </w:r>
          </w:p>
        </w:tc>
        <w:tc>
          <w:tcPr>
            <w:tcW w:type="dxa" w:w="864"/>
            <w:shd w:fill="F9FBE7"/>
            <w:tcMar>
              <w:top w:w="50" w:type="dxa"/>
              <w:bottom w:w="50" w:type="dxa"/>
              <w:left w:w="70" w:type="dxa"/>
              <w:right w:w="70" w:type="dxa"/>
            </w:tcMar>
          </w:tcPr>
          <w:p>
            <w:pPr>
              <w:spacing w:after="0" w:line="252" w:lineRule="auto"/>
            </w:pPr>
            <w:r>
              <w:rPr>
                <w:rFonts w:ascii="Calibri" w:hAnsi="Calibri"/>
                <w:sz w:val="16"/>
              </w:rPr>
              <w:t>2017</w:t>
            </w:r>
          </w:p>
        </w:tc>
        <w:tc>
          <w:tcPr>
            <w:tcW w:type="dxa" w:w="1152"/>
            <w:shd w:fill="F9FBE7"/>
            <w:tcMar>
              <w:top w:w="50" w:type="dxa"/>
              <w:bottom w:w="50" w:type="dxa"/>
              <w:left w:w="70" w:type="dxa"/>
              <w:right w:w="70" w:type="dxa"/>
            </w:tcMar>
          </w:tcPr>
          <w:p>
            <w:pPr>
              <w:spacing w:after="0" w:line="252" w:lineRule="auto"/>
            </w:pPr>
            <w:r>
              <w:rPr>
                <w:rFonts w:ascii="Calibri" w:hAnsi="Calibri"/>
                <w:sz w:val="16"/>
              </w:rPr>
              <w:t>8.21</w:t>
            </w:r>
          </w:p>
        </w:tc>
        <w:tc>
          <w:tcPr>
            <w:tcW w:type="dxa" w:w="1440"/>
            <w:shd w:fill="F9FBE7"/>
            <w:tcMar>
              <w:top w:w="50" w:type="dxa"/>
              <w:bottom w:w="50" w:type="dxa"/>
              <w:left w:w="70" w:type="dxa"/>
              <w:right w:w="70" w:type="dxa"/>
            </w:tcMar>
          </w:tcPr>
          <w:p>
            <w:pPr>
              <w:spacing w:after="0" w:line="252" w:lineRule="auto"/>
            </w:pPr>
            <w:r>
              <w:rPr>
                <w:rFonts w:ascii="Calibri" w:hAnsi="Calibri"/>
                <w:sz w:val="16"/>
              </w:rPr>
              <w:t>1,120</w:t>
            </w:r>
          </w:p>
        </w:tc>
        <w:tc>
          <w:tcPr>
            <w:tcW w:type="dxa" w:w="1296"/>
            <w:shd w:fill="F9FBE7"/>
            <w:tcMar>
              <w:top w:w="50" w:type="dxa"/>
              <w:bottom w:w="50" w:type="dxa"/>
              <w:left w:w="70" w:type="dxa"/>
              <w:right w:w="70" w:type="dxa"/>
            </w:tcMar>
          </w:tcPr>
          <w:p>
            <w:pPr>
              <w:spacing w:after="0" w:line="252" w:lineRule="auto"/>
            </w:pPr>
            <w:r>
              <w:rPr>
                <w:rFonts w:ascii="Calibri" w:hAnsi="Calibri"/>
                <w:sz w:val="16"/>
              </w:rPr>
              <w:t>920</w:t>
            </w:r>
          </w:p>
        </w:tc>
        <w:tc>
          <w:tcPr>
            <w:tcW w:type="dxa" w:w="2304"/>
            <w:shd w:fill="F9FBE7"/>
            <w:tcMar>
              <w:top w:w="50" w:type="dxa"/>
              <w:bottom w:w="50" w:type="dxa"/>
              <w:left w:w="70" w:type="dxa"/>
              <w:right w:w="70" w:type="dxa"/>
            </w:tcMar>
          </w:tcPr>
          <w:p>
            <w:pPr>
              <w:spacing w:after="0" w:line="252" w:lineRule="auto"/>
            </w:pPr>
            <w:r>
              <w:rPr>
                <w:rFonts w:ascii="Calibri" w:hAnsi="Calibri"/>
                <w:sz w:val="16"/>
              </w:rPr>
              <w:t>Variasi ekstrim lokal / gagal panen parsial dalam-kabupaten</w:t>
            </w:r>
          </w:p>
        </w:tc>
      </w:tr>
      <w:tr>
        <w:trPr>
          <w:cantSplit/>
        </w:trPr>
        <w:tc>
          <w:tcPr>
            <w:tcW w:type="dxa" w:w="1584"/>
            <w:shd w:fill="FFFFFF"/>
            <w:tcMar>
              <w:top w:w="50" w:type="dxa"/>
              <w:bottom w:w="50" w:type="dxa"/>
              <w:left w:w="70" w:type="dxa"/>
              <w:right w:w="70" w:type="dxa"/>
            </w:tcMar>
          </w:tcPr>
          <w:p>
            <w:pPr>
              <w:spacing w:after="0" w:line="252" w:lineRule="auto"/>
            </w:pPr>
            <w:r>
              <w:rPr>
                <w:rFonts w:ascii="Calibri" w:hAnsi="Calibri"/>
                <w:b/>
                <w:sz w:val="16"/>
              </w:rPr>
              <w:t>|Δln Luas| #1</w:t>
            </w:r>
          </w:p>
        </w:tc>
        <w:tc>
          <w:tcPr>
            <w:tcW w:type="dxa" w:w="1440"/>
            <w:shd w:fill="FFFFFF"/>
            <w:tcMar>
              <w:top w:w="50" w:type="dxa"/>
              <w:bottom w:w="50" w:type="dxa"/>
              <w:left w:w="70" w:type="dxa"/>
              <w:right w:w="70" w:type="dxa"/>
            </w:tcMar>
          </w:tcPr>
          <w:p>
            <w:pPr>
              <w:spacing w:after="0" w:line="252" w:lineRule="auto"/>
            </w:pPr>
            <w:r>
              <w:rPr>
                <w:rFonts w:ascii="Calibri" w:hAnsi="Calibri"/>
                <w:sz w:val="16"/>
              </w:rPr>
              <w:t>Karawang</w:t>
            </w:r>
          </w:p>
        </w:tc>
        <w:tc>
          <w:tcPr>
            <w:tcW w:type="dxa" w:w="864"/>
            <w:shd w:fill="FFFFFF"/>
            <w:tcMar>
              <w:top w:w="50" w:type="dxa"/>
              <w:bottom w:w="50" w:type="dxa"/>
              <w:left w:w="70" w:type="dxa"/>
              <w:right w:w="70" w:type="dxa"/>
            </w:tcMar>
          </w:tcPr>
          <w:p>
            <w:pPr>
              <w:spacing w:after="0" w:line="252" w:lineRule="auto"/>
            </w:pPr>
            <w:r>
              <w:rPr>
                <w:rFonts w:ascii="Calibri" w:hAnsi="Calibri"/>
                <w:sz w:val="16"/>
              </w:rPr>
              <w:t>2017</w:t>
            </w:r>
          </w:p>
        </w:tc>
        <w:tc>
          <w:tcPr>
            <w:tcW w:type="dxa" w:w="1152"/>
            <w:shd w:fill="FFFFFF"/>
            <w:tcMar>
              <w:top w:w="50" w:type="dxa"/>
              <w:bottom w:w="50" w:type="dxa"/>
              <w:left w:w="70" w:type="dxa"/>
              <w:right w:w="70" w:type="dxa"/>
            </w:tcMar>
          </w:tcPr>
          <w:p>
            <w:pPr>
              <w:spacing w:after="0" w:line="252" w:lineRule="auto"/>
            </w:pPr>
            <w:r>
              <w:rPr>
                <w:rFonts w:ascii="Calibri" w:hAnsi="Calibri"/>
                <w:sz w:val="16"/>
              </w:rPr>
              <w:t>15.40</w:t>
            </w:r>
          </w:p>
        </w:tc>
        <w:tc>
          <w:tcPr>
            <w:tcW w:type="dxa" w:w="1440"/>
            <w:shd w:fill="FFFFFF"/>
            <w:tcMar>
              <w:top w:w="50" w:type="dxa"/>
              <w:bottom w:w="50" w:type="dxa"/>
              <w:left w:w="70" w:type="dxa"/>
              <w:right w:w="70" w:type="dxa"/>
            </w:tcMar>
          </w:tcPr>
          <w:p>
            <w:pPr>
              <w:spacing w:after="0" w:line="252" w:lineRule="auto"/>
            </w:pPr>
            <w:r>
              <w:rPr>
                <w:rFonts w:ascii="Calibri" w:hAnsi="Calibri"/>
                <w:sz w:val="16"/>
              </w:rPr>
              <w:t>5,600 (vs 120)</w:t>
            </w:r>
          </w:p>
        </w:tc>
        <w:tc>
          <w:tcPr>
            <w:tcW w:type="dxa" w:w="1296"/>
            <w:shd w:fill="FFFFFF"/>
            <w:tcMar>
              <w:top w:w="50" w:type="dxa"/>
              <w:bottom w:w="50" w:type="dxa"/>
              <w:left w:w="70" w:type="dxa"/>
              <w:right w:w="70" w:type="dxa"/>
            </w:tcMar>
          </w:tcPr>
          <w:p>
            <w:pPr>
              <w:spacing w:after="0" w:line="252" w:lineRule="auto"/>
            </w:pPr>
            <w:r>
              <w:rPr>
                <w:rFonts w:ascii="Calibri" w:hAnsi="Calibri"/>
                <w:sz w:val="16"/>
              </w:rPr>
              <w:t>8,624</w:t>
            </w:r>
          </w:p>
        </w:tc>
        <w:tc>
          <w:tcPr>
            <w:tcW w:type="dxa" w:w="2304"/>
            <w:shd w:fill="FFFFFF"/>
            <w:tcMar>
              <w:top w:w="50" w:type="dxa"/>
              <w:bottom w:w="50" w:type="dxa"/>
              <w:left w:w="70" w:type="dxa"/>
              <w:right w:w="70" w:type="dxa"/>
            </w:tcMar>
          </w:tcPr>
          <w:p>
            <w:pPr>
              <w:spacing w:after="0" w:line="252" w:lineRule="auto"/>
            </w:pPr>
            <w:r>
              <w:rPr>
                <w:rFonts w:ascii="Calibri" w:hAnsi="Calibri"/>
                <w:sz w:val="16"/>
              </w:rPr>
              <w:t>|Δln A| = 3.842: Lonjakan area 46.7x lipat</w:t>
            </w:r>
          </w:p>
        </w:tc>
      </w:tr>
      <w:tr>
        <w:trPr>
          <w:cantSplit/>
        </w:trPr>
        <w:tc>
          <w:tcPr>
            <w:tcW w:type="dxa" w:w="1584"/>
            <w:shd w:fill="F9FBE7"/>
            <w:tcMar>
              <w:top w:w="50" w:type="dxa"/>
              <w:bottom w:w="50" w:type="dxa"/>
              <w:left w:w="70" w:type="dxa"/>
              <w:right w:w="70" w:type="dxa"/>
            </w:tcMar>
          </w:tcPr>
          <w:p>
            <w:pPr>
              <w:spacing w:after="0" w:line="252" w:lineRule="auto"/>
            </w:pPr>
            <w:r>
              <w:rPr>
                <w:rFonts w:ascii="Calibri" w:hAnsi="Calibri"/>
                <w:b/>
                <w:sz w:val="16"/>
              </w:rPr>
              <w:t>|Δln Luas| #2</w:t>
            </w:r>
          </w:p>
        </w:tc>
        <w:tc>
          <w:tcPr>
            <w:tcW w:type="dxa" w:w="1440"/>
            <w:shd w:fill="F9FBE7"/>
            <w:tcMar>
              <w:top w:w="50" w:type="dxa"/>
              <w:bottom w:w="50" w:type="dxa"/>
              <w:left w:w="70" w:type="dxa"/>
              <w:right w:w="70" w:type="dxa"/>
            </w:tcMar>
          </w:tcPr>
          <w:p>
            <w:pPr>
              <w:spacing w:after="0" w:line="252" w:lineRule="auto"/>
            </w:pPr>
            <w:r>
              <w:rPr>
                <w:rFonts w:ascii="Calibri" w:hAnsi="Calibri"/>
                <w:sz w:val="16"/>
              </w:rPr>
              <w:t>Majalengka</w:t>
            </w:r>
          </w:p>
        </w:tc>
        <w:tc>
          <w:tcPr>
            <w:tcW w:type="dxa" w:w="864"/>
            <w:shd w:fill="F9FBE7"/>
            <w:tcMar>
              <w:top w:w="50" w:type="dxa"/>
              <w:bottom w:w="50" w:type="dxa"/>
              <w:left w:w="70" w:type="dxa"/>
              <w:right w:w="70" w:type="dxa"/>
            </w:tcMar>
          </w:tcPr>
          <w:p>
            <w:pPr>
              <w:spacing w:after="0" w:line="252" w:lineRule="auto"/>
            </w:pPr>
            <w:r>
              <w:rPr>
                <w:rFonts w:ascii="Calibri" w:hAnsi="Calibri"/>
                <w:sz w:val="16"/>
              </w:rPr>
              <w:t>2018</w:t>
            </w:r>
          </w:p>
        </w:tc>
        <w:tc>
          <w:tcPr>
            <w:tcW w:type="dxa" w:w="1152"/>
            <w:shd w:fill="F9FBE7"/>
            <w:tcMar>
              <w:top w:w="50" w:type="dxa"/>
              <w:bottom w:w="50" w:type="dxa"/>
              <w:left w:w="70" w:type="dxa"/>
              <w:right w:w="70" w:type="dxa"/>
            </w:tcMar>
          </w:tcPr>
          <w:p>
            <w:pPr>
              <w:spacing w:after="0" w:line="252" w:lineRule="auto"/>
            </w:pPr>
            <w:r>
              <w:rPr>
                <w:rFonts w:ascii="Calibri" w:hAnsi="Calibri"/>
                <w:sz w:val="16"/>
              </w:rPr>
              <w:t>14.80</w:t>
            </w:r>
          </w:p>
        </w:tc>
        <w:tc>
          <w:tcPr>
            <w:tcW w:type="dxa" w:w="1440"/>
            <w:shd w:fill="F9FBE7"/>
            <w:tcMar>
              <w:top w:w="50" w:type="dxa"/>
              <w:bottom w:w="50" w:type="dxa"/>
              <w:left w:w="70" w:type="dxa"/>
              <w:right w:w="70" w:type="dxa"/>
            </w:tcMar>
          </w:tcPr>
          <w:p>
            <w:pPr>
              <w:spacing w:after="0" w:line="252" w:lineRule="auto"/>
            </w:pPr>
            <w:r>
              <w:rPr>
                <w:rFonts w:ascii="Calibri" w:hAnsi="Calibri"/>
                <w:sz w:val="16"/>
              </w:rPr>
              <w:t>6,120 (vs 407)</w:t>
            </w:r>
          </w:p>
        </w:tc>
        <w:tc>
          <w:tcPr>
            <w:tcW w:type="dxa" w:w="1296"/>
            <w:shd w:fill="F9FBE7"/>
            <w:tcMar>
              <w:top w:w="50" w:type="dxa"/>
              <w:bottom w:w="50" w:type="dxa"/>
              <w:left w:w="70" w:type="dxa"/>
              <w:right w:w="70" w:type="dxa"/>
            </w:tcMar>
          </w:tcPr>
          <w:p>
            <w:pPr>
              <w:spacing w:after="0" w:line="252" w:lineRule="auto"/>
            </w:pPr>
            <w:r>
              <w:rPr>
                <w:rFonts w:ascii="Calibri" w:hAnsi="Calibri"/>
                <w:sz w:val="16"/>
              </w:rPr>
              <w:t>9,058</w:t>
            </w:r>
          </w:p>
        </w:tc>
        <w:tc>
          <w:tcPr>
            <w:tcW w:type="dxa" w:w="2304"/>
            <w:shd w:fill="F9FBE7"/>
            <w:tcMar>
              <w:top w:w="50" w:type="dxa"/>
              <w:bottom w:w="50" w:type="dxa"/>
              <w:left w:w="70" w:type="dxa"/>
              <w:right w:w="70" w:type="dxa"/>
            </w:tcMar>
          </w:tcPr>
          <w:p>
            <w:pPr>
              <w:spacing w:after="0" w:line="252" w:lineRule="auto"/>
            </w:pPr>
            <w:r>
              <w:rPr>
                <w:rFonts w:ascii="Calibri" w:hAnsi="Calibri"/>
                <w:sz w:val="16"/>
              </w:rPr>
              <w:t>|Δln A| = 2.711: Lonjakan area 15.0x lipat</w:t>
            </w:r>
          </w:p>
        </w:tc>
      </w:tr>
      <w:tr>
        <w:trPr>
          <w:cantSplit/>
        </w:trPr>
        <w:tc>
          <w:tcPr>
            <w:tcW w:type="dxa" w:w="1584"/>
            <w:shd w:fill="FFFFFF"/>
            <w:tcMar>
              <w:top w:w="50" w:type="dxa"/>
              <w:bottom w:w="50" w:type="dxa"/>
              <w:left w:w="70" w:type="dxa"/>
              <w:right w:w="70" w:type="dxa"/>
            </w:tcMar>
          </w:tcPr>
          <w:p>
            <w:pPr>
              <w:spacing w:after="0" w:line="252" w:lineRule="auto"/>
            </w:pPr>
            <w:r>
              <w:rPr>
                <w:rFonts w:ascii="Calibri" w:hAnsi="Calibri"/>
                <w:b/>
                <w:sz w:val="16"/>
              </w:rPr>
              <w:t>|Δln Luas| #3</w:t>
            </w:r>
          </w:p>
        </w:tc>
        <w:tc>
          <w:tcPr>
            <w:tcW w:type="dxa" w:w="1440"/>
            <w:shd w:fill="FFFFFF"/>
            <w:tcMar>
              <w:top w:w="50" w:type="dxa"/>
              <w:bottom w:w="50" w:type="dxa"/>
              <w:left w:w="70" w:type="dxa"/>
              <w:right w:w="70" w:type="dxa"/>
            </w:tcMar>
          </w:tcPr>
          <w:p>
            <w:pPr>
              <w:spacing w:after="0" w:line="252" w:lineRule="auto"/>
            </w:pPr>
            <w:r>
              <w:rPr>
                <w:rFonts w:ascii="Calibri" w:hAnsi="Calibri"/>
                <w:sz w:val="16"/>
              </w:rPr>
              <w:t>Subang</w:t>
            </w:r>
          </w:p>
        </w:tc>
        <w:tc>
          <w:tcPr>
            <w:tcW w:type="dxa" w:w="864"/>
            <w:shd w:fill="FFFFFF"/>
            <w:tcMar>
              <w:top w:w="50" w:type="dxa"/>
              <w:bottom w:w="50" w:type="dxa"/>
              <w:left w:w="70" w:type="dxa"/>
              <w:right w:w="70" w:type="dxa"/>
            </w:tcMar>
          </w:tcPr>
          <w:p>
            <w:pPr>
              <w:spacing w:after="0" w:line="252" w:lineRule="auto"/>
            </w:pPr>
            <w:r>
              <w:rPr>
                <w:rFonts w:ascii="Calibri" w:hAnsi="Calibri"/>
                <w:sz w:val="16"/>
              </w:rPr>
              <w:t>2019</w:t>
            </w:r>
          </w:p>
        </w:tc>
        <w:tc>
          <w:tcPr>
            <w:tcW w:type="dxa" w:w="1152"/>
            <w:shd w:fill="FFFFFF"/>
            <w:tcMar>
              <w:top w:w="50" w:type="dxa"/>
              <w:bottom w:w="50" w:type="dxa"/>
              <w:left w:w="70" w:type="dxa"/>
              <w:right w:w="70" w:type="dxa"/>
            </w:tcMar>
          </w:tcPr>
          <w:p>
            <w:pPr>
              <w:spacing w:after="0" w:line="252" w:lineRule="auto"/>
            </w:pPr>
            <w:r>
              <w:rPr>
                <w:rFonts w:ascii="Calibri" w:hAnsi="Calibri"/>
                <w:sz w:val="16"/>
              </w:rPr>
              <w:t>13.50</w:t>
            </w:r>
          </w:p>
        </w:tc>
        <w:tc>
          <w:tcPr>
            <w:tcW w:type="dxa" w:w="1440"/>
            <w:shd w:fill="FFFFFF"/>
            <w:tcMar>
              <w:top w:w="50" w:type="dxa"/>
              <w:bottom w:w="50" w:type="dxa"/>
              <w:left w:w="70" w:type="dxa"/>
              <w:right w:w="70" w:type="dxa"/>
            </w:tcMar>
          </w:tcPr>
          <w:p>
            <w:pPr>
              <w:spacing w:after="0" w:line="252" w:lineRule="auto"/>
            </w:pPr>
            <w:r>
              <w:rPr>
                <w:rFonts w:ascii="Calibri" w:hAnsi="Calibri"/>
                <w:sz w:val="16"/>
              </w:rPr>
              <w:t>250 (vs 2,770)</w:t>
            </w:r>
          </w:p>
        </w:tc>
        <w:tc>
          <w:tcPr>
            <w:tcW w:type="dxa" w:w="1296"/>
            <w:shd w:fill="FFFFFF"/>
            <w:tcMar>
              <w:top w:w="50" w:type="dxa"/>
              <w:bottom w:w="50" w:type="dxa"/>
              <w:left w:w="70" w:type="dxa"/>
              <w:right w:w="70" w:type="dxa"/>
            </w:tcMar>
          </w:tcPr>
          <w:p>
            <w:pPr>
              <w:spacing w:after="0" w:line="252" w:lineRule="auto"/>
            </w:pPr>
            <w:r>
              <w:rPr>
                <w:rFonts w:ascii="Calibri" w:hAnsi="Calibri"/>
                <w:sz w:val="16"/>
              </w:rPr>
              <w:t>338</w:t>
            </w:r>
          </w:p>
        </w:tc>
        <w:tc>
          <w:tcPr>
            <w:tcW w:type="dxa" w:w="2304"/>
            <w:shd w:fill="FFFFFF"/>
            <w:tcMar>
              <w:top w:w="50" w:type="dxa"/>
              <w:bottom w:w="50" w:type="dxa"/>
              <w:left w:w="70" w:type="dxa"/>
              <w:right w:w="70" w:type="dxa"/>
            </w:tcMar>
          </w:tcPr>
          <w:p>
            <w:pPr>
              <w:spacing w:after="0" w:line="252" w:lineRule="auto"/>
            </w:pPr>
            <w:r>
              <w:rPr>
                <w:rFonts w:ascii="Calibri" w:hAnsi="Calibri"/>
                <w:sz w:val="16"/>
              </w:rPr>
              <w:t>|Δln A| = 2.405: Kontraksi area 91%</w:t>
            </w:r>
          </w:p>
        </w:tc>
      </w:tr>
      <w:tr>
        <w:trPr>
          <w:cantSplit/>
        </w:trPr>
        <w:tc>
          <w:tcPr>
            <w:tcW w:type="dxa" w:w="1584"/>
            <w:shd w:fill="F9FBE7"/>
            <w:tcMar>
              <w:top w:w="50" w:type="dxa"/>
              <w:bottom w:w="50" w:type="dxa"/>
              <w:left w:w="70" w:type="dxa"/>
              <w:right w:w="70" w:type="dxa"/>
            </w:tcMar>
          </w:tcPr>
          <w:p>
            <w:pPr>
              <w:spacing w:after="0" w:line="252" w:lineRule="auto"/>
            </w:pPr>
            <w:r>
              <w:rPr>
                <w:rFonts w:ascii="Calibri" w:hAnsi="Calibri"/>
                <w:b/>
                <w:sz w:val="16"/>
              </w:rPr>
              <w:t>|Δln Luas| #4</w:t>
            </w:r>
          </w:p>
        </w:tc>
        <w:tc>
          <w:tcPr>
            <w:tcW w:type="dxa" w:w="1440"/>
            <w:shd w:fill="F9FBE7"/>
            <w:tcMar>
              <w:top w:w="50" w:type="dxa"/>
              <w:bottom w:w="50" w:type="dxa"/>
              <w:left w:w="70" w:type="dxa"/>
              <w:right w:w="70" w:type="dxa"/>
            </w:tcMar>
          </w:tcPr>
          <w:p>
            <w:pPr>
              <w:spacing w:after="0" w:line="252" w:lineRule="auto"/>
            </w:pPr>
            <w:r>
              <w:rPr>
                <w:rFonts w:ascii="Calibri" w:hAnsi="Calibri"/>
                <w:sz w:val="16"/>
              </w:rPr>
              <w:t>Indramayu</w:t>
            </w:r>
          </w:p>
        </w:tc>
        <w:tc>
          <w:tcPr>
            <w:tcW w:type="dxa" w:w="864"/>
            <w:shd w:fill="F9FBE7"/>
            <w:tcMar>
              <w:top w:w="50" w:type="dxa"/>
              <w:bottom w:w="50" w:type="dxa"/>
              <w:left w:w="70" w:type="dxa"/>
              <w:right w:w="70" w:type="dxa"/>
            </w:tcMar>
          </w:tcPr>
          <w:p>
            <w:pPr>
              <w:spacing w:after="0" w:line="252" w:lineRule="auto"/>
            </w:pPr>
            <w:r>
              <w:rPr>
                <w:rFonts w:ascii="Calibri" w:hAnsi="Calibri"/>
                <w:sz w:val="16"/>
              </w:rPr>
              <w:t>2016</w:t>
            </w:r>
          </w:p>
        </w:tc>
        <w:tc>
          <w:tcPr>
            <w:tcW w:type="dxa" w:w="1152"/>
            <w:shd w:fill="F9FBE7"/>
            <w:tcMar>
              <w:top w:w="50" w:type="dxa"/>
              <w:bottom w:w="50" w:type="dxa"/>
              <w:left w:w="70" w:type="dxa"/>
              <w:right w:w="70" w:type="dxa"/>
            </w:tcMar>
          </w:tcPr>
          <w:p>
            <w:pPr>
              <w:spacing w:after="0" w:line="252" w:lineRule="auto"/>
            </w:pPr>
            <w:r>
              <w:rPr>
                <w:rFonts w:ascii="Calibri" w:hAnsi="Calibri"/>
                <w:sz w:val="16"/>
              </w:rPr>
              <w:t>14.10</w:t>
            </w:r>
          </w:p>
        </w:tc>
        <w:tc>
          <w:tcPr>
            <w:tcW w:type="dxa" w:w="1440"/>
            <w:shd w:fill="F9FBE7"/>
            <w:tcMar>
              <w:top w:w="50" w:type="dxa"/>
              <w:bottom w:w="50" w:type="dxa"/>
              <w:left w:w="70" w:type="dxa"/>
              <w:right w:w="70" w:type="dxa"/>
            </w:tcMar>
          </w:tcPr>
          <w:p>
            <w:pPr>
              <w:spacing w:after="0" w:line="252" w:lineRule="auto"/>
            </w:pPr>
            <w:r>
              <w:rPr>
                <w:rFonts w:ascii="Calibri" w:hAnsi="Calibri"/>
                <w:sz w:val="16"/>
              </w:rPr>
              <w:t>1,450 (vs 162)</w:t>
            </w:r>
          </w:p>
        </w:tc>
        <w:tc>
          <w:tcPr>
            <w:tcW w:type="dxa" w:w="1296"/>
            <w:shd w:fill="F9FBE7"/>
            <w:tcMar>
              <w:top w:w="50" w:type="dxa"/>
              <w:bottom w:w="50" w:type="dxa"/>
              <w:left w:w="70" w:type="dxa"/>
              <w:right w:w="70" w:type="dxa"/>
            </w:tcMar>
          </w:tcPr>
          <w:p>
            <w:pPr>
              <w:spacing w:after="0" w:line="252" w:lineRule="auto"/>
            </w:pPr>
            <w:r>
              <w:rPr>
                <w:rFonts w:ascii="Calibri" w:hAnsi="Calibri"/>
                <w:sz w:val="16"/>
              </w:rPr>
              <w:t>2,045</w:t>
            </w:r>
          </w:p>
        </w:tc>
        <w:tc>
          <w:tcPr>
            <w:tcW w:type="dxa" w:w="2304"/>
            <w:shd w:fill="F9FBE7"/>
            <w:tcMar>
              <w:top w:w="50" w:type="dxa"/>
              <w:bottom w:w="50" w:type="dxa"/>
              <w:left w:w="70" w:type="dxa"/>
              <w:right w:w="70" w:type="dxa"/>
            </w:tcMar>
          </w:tcPr>
          <w:p>
            <w:pPr>
              <w:spacing w:after="0" w:line="252" w:lineRule="auto"/>
            </w:pPr>
            <w:r>
              <w:rPr>
                <w:rFonts w:ascii="Calibri" w:hAnsi="Calibri"/>
                <w:sz w:val="16"/>
              </w:rPr>
              <w:t>|Δln A| = 2.190: Lonjakan area 8.9x lipat</w:t>
            </w:r>
          </w:p>
        </w:tc>
      </w:tr>
      <w:tr>
        <w:trPr>
          <w:cantSplit/>
        </w:trPr>
        <w:tc>
          <w:tcPr>
            <w:tcW w:type="dxa" w:w="1584"/>
            <w:shd w:fill="FFFFFF"/>
            <w:tcMar>
              <w:top w:w="50" w:type="dxa"/>
              <w:bottom w:w="50" w:type="dxa"/>
              <w:left w:w="70" w:type="dxa"/>
              <w:right w:w="70" w:type="dxa"/>
            </w:tcMar>
          </w:tcPr>
          <w:p>
            <w:pPr>
              <w:spacing w:after="0" w:line="252" w:lineRule="auto"/>
            </w:pPr>
            <w:r>
              <w:rPr>
                <w:rFonts w:ascii="Calibri" w:hAnsi="Calibri"/>
                <w:b/>
                <w:sz w:val="16"/>
              </w:rPr>
              <w:t>|Δln Luas| #5</w:t>
            </w:r>
          </w:p>
        </w:tc>
        <w:tc>
          <w:tcPr>
            <w:tcW w:type="dxa" w:w="1440"/>
            <w:shd w:fill="FFFFFF"/>
            <w:tcMar>
              <w:top w:w="50" w:type="dxa"/>
              <w:bottom w:w="50" w:type="dxa"/>
              <w:left w:w="70" w:type="dxa"/>
              <w:right w:w="70" w:type="dxa"/>
            </w:tcMar>
          </w:tcPr>
          <w:p>
            <w:pPr>
              <w:spacing w:after="0" w:line="252" w:lineRule="auto"/>
            </w:pPr>
            <w:r>
              <w:rPr>
                <w:rFonts w:ascii="Calibri" w:hAnsi="Calibri"/>
                <w:sz w:val="16"/>
              </w:rPr>
              <w:t>Pangandaran</w:t>
            </w:r>
          </w:p>
        </w:tc>
        <w:tc>
          <w:tcPr>
            <w:tcW w:type="dxa" w:w="864"/>
            <w:shd w:fill="FFFFFF"/>
            <w:tcMar>
              <w:top w:w="50" w:type="dxa"/>
              <w:bottom w:w="50" w:type="dxa"/>
              <w:left w:w="70" w:type="dxa"/>
              <w:right w:w="70" w:type="dxa"/>
            </w:tcMar>
          </w:tcPr>
          <w:p>
            <w:pPr>
              <w:spacing w:after="0" w:line="252" w:lineRule="auto"/>
            </w:pPr>
            <w:r>
              <w:rPr>
                <w:rFonts w:ascii="Calibri" w:hAnsi="Calibri"/>
                <w:sz w:val="16"/>
              </w:rPr>
              <w:t>2017</w:t>
            </w:r>
          </w:p>
        </w:tc>
        <w:tc>
          <w:tcPr>
            <w:tcW w:type="dxa" w:w="1152"/>
            <w:shd w:fill="FFFFFF"/>
            <w:tcMar>
              <w:top w:w="50" w:type="dxa"/>
              <w:bottom w:w="50" w:type="dxa"/>
              <w:left w:w="70" w:type="dxa"/>
              <w:right w:w="70" w:type="dxa"/>
            </w:tcMar>
          </w:tcPr>
          <w:p>
            <w:pPr>
              <w:spacing w:after="0" w:line="252" w:lineRule="auto"/>
            </w:pPr>
            <w:r>
              <w:rPr>
                <w:rFonts w:ascii="Calibri" w:hAnsi="Calibri"/>
                <w:sz w:val="16"/>
              </w:rPr>
              <w:t>12.90</w:t>
            </w:r>
          </w:p>
        </w:tc>
        <w:tc>
          <w:tcPr>
            <w:tcW w:type="dxa" w:w="1440"/>
            <w:shd w:fill="FFFFFF"/>
            <w:tcMar>
              <w:top w:w="50" w:type="dxa"/>
              <w:bottom w:w="50" w:type="dxa"/>
              <w:left w:w="70" w:type="dxa"/>
              <w:right w:w="70" w:type="dxa"/>
            </w:tcMar>
          </w:tcPr>
          <w:p>
            <w:pPr>
              <w:spacing w:after="0" w:line="252" w:lineRule="auto"/>
            </w:pPr>
            <w:r>
              <w:rPr>
                <w:rFonts w:ascii="Calibri" w:hAnsi="Calibri"/>
                <w:sz w:val="16"/>
              </w:rPr>
              <w:t>3,200 (vs 453)</w:t>
            </w:r>
          </w:p>
        </w:tc>
        <w:tc>
          <w:tcPr>
            <w:tcW w:type="dxa" w:w="1296"/>
            <w:shd w:fill="FFFFFF"/>
            <w:tcMar>
              <w:top w:w="50" w:type="dxa"/>
              <w:bottom w:w="50" w:type="dxa"/>
              <w:left w:w="70" w:type="dxa"/>
              <w:right w:w="70" w:type="dxa"/>
            </w:tcMar>
          </w:tcPr>
          <w:p>
            <w:pPr>
              <w:spacing w:after="0" w:line="252" w:lineRule="auto"/>
            </w:pPr>
            <w:r>
              <w:rPr>
                <w:rFonts w:ascii="Calibri" w:hAnsi="Calibri"/>
                <w:sz w:val="16"/>
              </w:rPr>
              <w:t>4,128</w:t>
            </w:r>
          </w:p>
        </w:tc>
        <w:tc>
          <w:tcPr>
            <w:tcW w:type="dxa" w:w="2304"/>
            <w:shd w:fill="FFFFFF"/>
            <w:tcMar>
              <w:top w:w="50" w:type="dxa"/>
              <w:bottom w:w="50" w:type="dxa"/>
              <w:left w:w="70" w:type="dxa"/>
              <w:right w:w="70" w:type="dxa"/>
            </w:tcMar>
          </w:tcPr>
          <w:p>
            <w:pPr>
              <w:spacing w:after="0" w:line="252" w:lineRule="auto"/>
            </w:pPr>
            <w:r>
              <w:rPr>
                <w:rFonts w:ascii="Calibri" w:hAnsi="Calibri"/>
                <w:sz w:val="16"/>
              </w:rPr>
              <w:t>|Δln A| = 1.954: Lonjakan area 7.1x lipat</w:t>
            </w:r>
          </w:p>
        </w:tc>
      </w:tr>
    </w:tbl>
    <w:p>
      <w:pPr>
        <w:spacing w:after="120"/>
      </w:pPr>
    </w:p>
    <w:p>
      <w:pPr>
        <w:spacing w:after="40"/>
      </w:pPr>
    </w:p>
    <w:p>
      <w:r>
        <w:drawing>
          <wp:inline xmlns:a="http://schemas.openxmlformats.org/drawingml/2006/main" xmlns:pic="http://schemas.openxmlformats.org/drawingml/2006/picture">
            <wp:extent cx="5303520" cy="2087357"/>
            <wp:docPr id="9" name="Picture 9"/>
            <wp:cNvGraphicFramePr>
              <a:graphicFrameLocks noChangeAspect="1"/>
            </wp:cNvGraphicFramePr>
            <a:graphic>
              <a:graphicData uri="http://schemas.openxmlformats.org/drawingml/2006/picture">
                <pic:pic>
                  <pic:nvPicPr>
                    <pic:cNvPr id="0" name="fig02_strip_plot_dan_sd_spasial_kedelai_2022_suspect.png"/>
                    <pic:cNvPicPr/>
                  </pic:nvPicPr>
                  <pic:blipFill>
                    <a:blip r:embed="rId17"/>
                    <a:stretch>
                      <a:fillRect/>
                    </a:stretch>
                  </pic:blipFill>
                  <pic:spPr>
                    <a:xfrm>
                      <a:off x="0" y="0"/>
                      <a:ext cx="5303520" cy="2087357"/>
                    </a:xfrm>
                    <a:prstGeom prst="rect"/>
                  </pic:spPr>
                </pic:pic>
              </a:graphicData>
            </a:graphic>
          </wp:inline>
        </w:drawing>
      </w:r>
    </w:p>
    <w:p>
      <w:pPr>
        <w:spacing w:after="160"/>
      </w:pPr>
      <w:r>
        <w:t>Gambar 4.9: Strip Plot &amp; Keruntuhan Standar Deviasi Spasial Kedelai 2022 (SD Menyusut ke 0.19 ku/ha -&gt; Bukti Imputasi Rata-rata Dinas 14.30 ku/ha).</w:t>
      </w:r>
    </w:p>
    <w:p>
      <w:pPr>
        <w:pStyle w:val="Heading2"/>
      </w:pPr>
      <w:r>
        <w:t>4.8 Volume Produksi, Luas Panen &amp; Dekomposisi Log (DS08) — Notebook 08</w:t>
      </w:r>
    </w:p>
    <w:p>
      <w:r>
        <w:t>• Uji Konsistensi Identitas Matematika: Identitas Yield = Produksi x 10 / Luas terbukti konsisten 100.0% pada seluruh baris aktif jagung dan kedelai tanpa anomali rumus dinas.</w:t>
        <w:br/>
        <w:t>• Konsentrasi Luas Panen: Kabupaten Garut mendominasi 46.86% total luas panen jagung se-Jawa Barat. Kabupaten Subang hanya memegang 0.8% luas panen.</w:t>
        <w:br/>
        <w:t>• Dekomposisi Logaritmik Produksi: Delta ln(Produksi) = Delta ln(Luas) + Delta ln(Yield) membuktikan bahwa rata-rata 67.16% fluktuasi produksi tahunan digerakkan oleh penyesuaian luas panen petani (margin intensif vs ekstensif), bukan perubahan produktivitas semata.</w:t>
        <w:br/>
        <w:t>• Eksplorasi Cuaca vs Luas: Fluktuasi luas panen berhubungan dengan defisit hujan kemarau, dilaporkan murni deskriptif tanpa p-value dan tanpa inferensi kausal.</w:t>
      </w:r>
    </w:p>
    <w:p>
      <w:pPr>
        <w:spacing w:after="40"/>
      </w:pPr>
    </w:p>
    <w:p>
      <w:r>
        <w:drawing>
          <wp:inline xmlns:a="http://schemas.openxmlformats.org/drawingml/2006/main" xmlns:pic="http://schemas.openxmlformats.org/drawingml/2006/picture">
            <wp:extent cx="5303520" cy="3349193"/>
            <wp:docPr id="10" name="Picture 10"/>
            <wp:cNvGraphicFramePr>
              <a:graphicFrameLocks noChangeAspect="1"/>
            </wp:cNvGraphicFramePr>
            <a:graphic>
              <a:graphicData uri="http://schemas.openxmlformats.org/drawingml/2006/picture">
                <pic:pic>
                  <pic:nvPicPr>
                    <pic:cNvPr id="0" name="fig02_dekomposisi_log_produksi_luas_yield.png"/>
                    <pic:cNvPicPr/>
                  </pic:nvPicPr>
                  <pic:blipFill>
                    <a:blip r:embed="rId18"/>
                    <a:stretch>
                      <a:fillRect/>
                    </a:stretch>
                  </pic:blipFill>
                  <pic:spPr>
                    <a:xfrm>
                      <a:off x="0" y="0"/>
                      <a:ext cx="5303520" cy="3349193"/>
                    </a:xfrm>
                    <a:prstGeom prst="rect"/>
                  </pic:spPr>
                </pic:pic>
              </a:graphicData>
            </a:graphic>
          </wp:inline>
        </w:drawing>
      </w:r>
    </w:p>
    <w:p>
      <w:pPr>
        <w:spacing w:after="160"/>
      </w:pPr>
      <w:r>
        <w:t>Gambar 4.10: Dekomposisi Log Produksi Jagung: Delta ln(P) = Delta ln(A) + Delta ln(Y) (Rata-rata 67.2% Fluktuasi Digerakkan oleh Luas Panen Petani).</w:t>
      </w:r>
    </w:p>
    <w:p>
      <w:pPr>
        <w:pStyle w:val="Heading2"/>
      </w:pPr>
      <w:r>
        <w:t>4.9 Indeks Iklim Global &amp; CHIRPS (DS09) — Notebook 09</w:t>
      </w:r>
    </w:p>
    <w:p>
      <w:r>
        <w:t>• Runtun Waktu Iklim Makro Lengkap: 120 bulan ONI v5 dan DMI HadISST (2015–2024) mencatat akurat episode Super El Niño 2015, La Niña berkepanjangan 2020–2022, dan El Niño 2023.</w:t>
        <w:br/>
        <w:t>• Keterbatasan Akses NOAA ERDDAP CHIRPS: Endpoint ERDDAP melayani tepat 3 tahun benchmark (2016, 2020, 2024; N = 972 unit-bulan). Server NOAA mengembalikan 0 baris untuk tahun non-benchmark (2015, 2017–2019, 2021–2023), dilaporkan transparan sebagai BLOCKED.</w:t>
        <w:br/>
        <w:t>• Respon Hidrologis ENSO: Korelasi negatif teramati jelas antara indeks ONI dengan curah hujan kemarau di Pantura dan Priangan (n = 10 tahun, deskriptif).</w:t>
      </w:r>
    </w:p>
    <w:p>
      <w:pPr>
        <w:spacing w:after="40"/>
      </w:pPr>
    </w:p>
    <w:p>
      <w:r>
        <w:drawing>
          <wp:inline xmlns:a="http://schemas.openxmlformats.org/drawingml/2006/main" xmlns:pic="http://schemas.openxmlformats.org/drawingml/2006/picture">
            <wp:extent cx="5303520" cy="3165689"/>
            <wp:docPr id="11" name="Picture 11"/>
            <wp:cNvGraphicFramePr>
              <a:graphicFrameLocks noChangeAspect="1"/>
            </wp:cNvGraphicFramePr>
            <a:graphic>
              <a:graphicData uri="http://schemas.openxmlformats.org/drawingml/2006/picture">
                <pic:pic>
                  <pic:nvPicPr>
                    <pic:cNvPr id="0" name="fig01_oni_dmi_fase_enso_iod_2015_2024.png"/>
                    <pic:cNvPicPr/>
                  </pic:nvPicPr>
                  <pic:blipFill>
                    <a:blip r:embed="rId19"/>
                    <a:stretch>
                      <a:fillRect/>
                    </a:stretch>
                  </pic:blipFill>
                  <pic:spPr>
                    <a:xfrm>
                      <a:off x="0" y="0"/>
                      <a:ext cx="5303520" cy="3165689"/>
                    </a:xfrm>
                    <a:prstGeom prst="rect"/>
                  </pic:spPr>
                </pic:pic>
              </a:graphicData>
            </a:graphic>
          </wp:inline>
        </w:drawing>
      </w:r>
    </w:p>
    <w:p>
      <w:pPr>
        <w:spacing w:after="160"/>
      </w:pPr>
      <w:r>
        <w:t>Gambar 4.11: Runtun Waktu Indeks Iklim Makro Global ONI dan DMI 2015–2024 (Fase ENSO Pasifik &amp; IOD Samudera Hindia Lengkap 120 Bulan).</w:t>
      </w:r>
    </w:p>
    <w:p>
      <w:pPr>
        <w:pStyle w:val="Heading1"/>
        <w:spacing w:before="280" w:after="120"/>
      </w:pPr>
      <w:r>
        <w:t>5. Sintesis Lintas-Dataset &amp; Uji Ekonometrika Terdaftar (Notebook 10)</w:t>
      </w:r>
    </w:p>
    <w:p>
      <w:pPr>
        <w:pStyle w:val="Heading2"/>
      </w:pPr>
      <w:r>
        <w:t>5.1 Validasi Cuaca AgERA5 vs Satelit CHIRPS &amp; Analisis Topografi Orografis</w:t>
      </w:r>
    </w:p>
    <w:p>
      <w:r>
        <w:t>• Validasi Silang Lintas Satelit: Scatter plot anomali bulanan AgERA5 vs CHIRPS v2 menghasilkan Pearson r = 0.7102 dan Spearman rho = 0.7371 pada 36 bulan benchmark valid (N = 972 unit-bulan).</w:t>
        <w:br/>
        <w:t>• Korelasi Dalam-Tahun &amp; Antar-Unit: Korelasi dalam-tahun terhitung konsisten tinggi (2016: r = 0.6350; 2020: r = 0.7277; 2024: r = 0.6930). Korelasi per-unit wilayah administrasi mencatat median r = 0.7569 (berkisar antara 0.5899 hingga 0.8684).</w:t>
        <w:br/>
        <w:t>• Pola Signed Bias Orografis: Analisis bias musiman terhadap elevasi DEM SRTM mengungkap signed bias maksimum Musim Hujan mencapai +72.31% di dataran tinggi Priangan (Bandung Raya) akibat parameterisasi konvektif ERA5 pada topografi pegunungan kompleks, serta bias defisit negatif di pesisir Pantura pada Musim Kemarau.</w:t>
        <w:br/>
        <w:t>• Uji Sampling Spasial Poligon: Mengambil rata-rata sampling seluruh poligon wilayah terbukti meredam amplitudo bias sebesar 18% hingga 28% dibandingkan hanya mengandalkan piksel centroid tunggal pada 6 sentra Tier A.</w:t>
      </w:r>
    </w:p>
    <w:p>
      <w:pPr>
        <w:spacing w:after="40"/>
      </w:pPr>
    </w:p>
    <w:p>
      <w:r>
        <w:drawing>
          <wp:inline xmlns:a="http://schemas.openxmlformats.org/drawingml/2006/main" xmlns:pic="http://schemas.openxmlformats.org/drawingml/2006/picture">
            <wp:extent cx="5303520" cy="3382311"/>
            <wp:docPr id="12" name="Picture 12"/>
            <wp:cNvGraphicFramePr>
              <a:graphicFrameLocks noChangeAspect="1"/>
            </wp:cNvGraphicFramePr>
            <a:graphic>
              <a:graphicData uri="http://schemas.openxmlformats.org/drawingml/2006/picture">
                <pic:pic>
                  <pic:nvPicPr>
                    <pic:cNvPr id="0" name="fig01_scatter_anomali_bulanan_agera5_vs_chirps.png"/>
                    <pic:cNvPicPr/>
                  </pic:nvPicPr>
                  <pic:blipFill>
                    <a:blip r:embed="rId20"/>
                    <a:stretch>
                      <a:fillRect/>
                    </a:stretch>
                  </pic:blipFill>
                  <pic:spPr>
                    <a:xfrm>
                      <a:off x="0" y="0"/>
                      <a:ext cx="5303520" cy="3382311"/>
                    </a:xfrm>
                    <a:prstGeom prst="rect"/>
                  </pic:spPr>
                </pic:pic>
              </a:graphicData>
            </a:graphic>
          </wp:inline>
        </w:drawing>
      </w:r>
    </w:p>
    <w:p>
      <w:pPr>
        <w:spacing w:after="160"/>
      </w:pPr>
      <w:r>
        <w:t>Gambar 5.1: Validasi Silang Anomali Bulanan AgERA5 vs CHIRPS v2 pada 36 Bulan Benchmark (N = 972 Unit-Bulan; Pooled r = 0.710, Median per-Unit r = 0.757).</w:t>
      </w:r>
    </w:p>
    <w:p>
      <w:pPr>
        <w:spacing w:after="40"/>
      </w:pPr>
    </w:p>
    <w:p>
      <w:r>
        <w:drawing>
          <wp:inline xmlns:a="http://schemas.openxmlformats.org/drawingml/2006/main" xmlns:pic="http://schemas.openxmlformats.org/drawingml/2006/picture">
            <wp:extent cx="5303520" cy="2289766"/>
            <wp:docPr id="13" name="Picture 13"/>
            <wp:cNvGraphicFramePr>
              <a:graphicFrameLocks noChangeAspect="1"/>
            </wp:cNvGraphicFramePr>
            <a:graphic>
              <a:graphicData uri="http://schemas.openxmlformats.org/drawingml/2006/picture">
                <pic:pic>
                  <pic:nvPicPr>
                    <pic:cNvPr id="0" name="fig02_bias_bertanda_musim_vs_elevasi.png"/>
                    <pic:cNvPicPr/>
                  </pic:nvPicPr>
                  <pic:blipFill>
                    <a:blip r:embed="rId21"/>
                    <a:stretch>
                      <a:fillRect/>
                    </a:stretch>
                  </pic:blipFill>
                  <pic:spPr>
                    <a:xfrm>
                      <a:off x="0" y="0"/>
                      <a:ext cx="5303520" cy="2289766"/>
                    </a:xfrm>
                    <a:prstGeom prst="rect"/>
                  </pic:spPr>
                </pic:pic>
              </a:graphicData>
            </a:graphic>
          </wp:inline>
        </w:drawing>
      </w:r>
    </w:p>
    <w:p>
      <w:pPr>
        <w:spacing w:after="160"/>
      </w:pPr>
      <w:r>
        <w:t>Gambar 5.2: Signed Bias AgERA5 vs CHIRPS per Musim vs Elevasi (Signed Bias Musim Hujan Mencapai Puncak +72.31% di Dataran Tinggi Priangan).</w:t>
      </w:r>
    </w:p>
    <w:p>
      <w:pPr>
        <w:spacing w:after="40"/>
      </w:pPr>
    </w:p>
    <w:p>
      <w:r>
        <w:drawing>
          <wp:inline xmlns:a="http://schemas.openxmlformats.org/drawingml/2006/main" xmlns:pic="http://schemas.openxmlformats.org/drawingml/2006/picture">
            <wp:extent cx="5303520" cy="3199157"/>
            <wp:docPr id="14" name="Picture 14"/>
            <wp:cNvGraphicFramePr>
              <a:graphicFrameLocks noChangeAspect="1"/>
            </wp:cNvGraphicFramePr>
            <a:graphic>
              <a:graphicData uri="http://schemas.openxmlformats.org/drawingml/2006/picture">
                <pic:pic>
                  <pic:nvPicPr>
                    <pic:cNvPr id="0" name="fig03_uji_sampling_centroid_vs_area_6_kabupaten.png"/>
                    <pic:cNvPicPr/>
                  </pic:nvPicPr>
                  <pic:blipFill>
                    <a:blip r:embed="rId22"/>
                    <a:stretch>
                      <a:fillRect/>
                    </a:stretch>
                  </pic:blipFill>
                  <pic:spPr>
                    <a:xfrm>
                      <a:off x="0" y="0"/>
                      <a:ext cx="5303520" cy="3199157"/>
                    </a:xfrm>
                    <a:prstGeom prst="rect"/>
                  </pic:spPr>
                </pic:pic>
              </a:graphicData>
            </a:graphic>
          </wp:inline>
        </w:drawing>
      </w:r>
    </w:p>
    <w:p>
      <w:pPr>
        <w:spacing w:after="160"/>
      </w:pPr>
      <w:r>
        <w:t>Gambar 5.3: Uji Efektivitas Sampling Spasial Rata-rata Poligon Area vs Centroid Tunggal (Peredaman Bias 18-28% pada 6 Sentra Tier A).</w:t>
      </w:r>
    </w:p>
    <w:p>
      <w:pPr>
        <w:pStyle w:val="Heading2"/>
      </w:pPr>
      <w:r>
        <w:t>5.2 Evaluasi Hipotesis Terdaftar H_CORN_01 &amp; Estimasi Ulang Robust</w:t>
      </w:r>
    </w:p>
    <w:p>
      <w:r>
        <w:t>Evaluasi ekonometrika Added-Variable Plot Two-Way FE pada 18 sentra kabupaten jagung (2015–2021, N = 124 observasi):</w:t>
        <w:br/>
        <w:t>Menguji dampak anomali hujan periode vegetatif (Feb–Apr) terhadap log produktivitas jagung di bawah 4 model estimasi alternatif:</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cantSplit/>
        </w:trPr>
        <w:tc>
          <w:tcPr>
            <w:tcW w:type="dxa" w:w="1008"/>
            <w:shd w:fill="1B5E20"/>
            <w:tcMar>
              <w:top w:w="70" w:type="dxa"/>
              <w:bottom w:w="70" w:type="dxa"/>
              <w:left w:w="90" w:type="dxa"/>
              <w:right w:w="90" w:type="dxa"/>
            </w:tcMar>
          </w:tcPr>
          <w:p>
            <w:pPr>
              <w:spacing w:after="0" w:line="252" w:lineRule="auto"/>
            </w:pPr>
            <w:r>
              <w:rPr>
                <w:rFonts w:ascii="Calibri" w:hAnsi="Calibri"/>
                <w:b/>
                <w:color w:val="FFFFFF"/>
                <w:sz w:val="17"/>
              </w:rPr>
              <w:t>Model</w:t>
            </w:r>
          </w:p>
        </w:tc>
        <w:tc>
          <w:tcPr>
            <w:tcW w:type="dxa" w:w="2592"/>
            <w:shd w:fill="1B5E20"/>
            <w:tcMar>
              <w:top w:w="70" w:type="dxa"/>
              <w:bottom w:w="70" w:type="dxa"/>
              <w:left w:w="90" w:type="dxa"/>
              <w:right w:w="90" w:type="dxa"/>
            </w:tcMar>
          </w:tcPr>
          <w:p>
            <w:pPr>
              <w:spacing w:after="0" w:line="252" w:lineRule="auto"/>
            </w:pPr>
            <w:r>
              <w:rPr>
                <w:rFonts w:ascii="Calibri" w:hAnsi="Calibri"/>
                <w:b/>
                <w:color w:val="FFFFFF"/>
                <w:sz w:val="17"/>
              </w:rPr>
              <w:t>Spesifikasi Model Regresi</w:t>
            </w:r>
          </w:p>
        </w:tc>
        <w:tc>
          <w:tcPr>
            <w:tcW w:type="dxa" w:w="1152"/>
            <w:shd w:fill="1B5E20"/>
            <w:tcMar>
              <w:top w:w="70" w:type="dxa"/>
              <w:bottom w:w="70" w:type="dxa"/>
              <w:left w:w="90" w:type="dxa"/>
              <w:right w:w="90" w:type="dxa"/>
            </w:tcMar>
          </w:tcPr>
          <w:p>
            <w:pPr>
              <w:spacing w:after="0" w:line="252" w:lineRule="auto"/>
            </w:pPr>
            <w:r>
              <w:rPr>
                <w:rFonts w:ascii="Calibri" w:hAnsi="Calibri"/>
                <w:b/>
                <w:color w:val="FFFFFF"/>
                <w:sz w:val="17"/>
              </w:rPr>
              <w:t>Beta (log pts/SD)</w:t>
            </w:r>
          </w:p>
        </w:tc>
        <w:tc>
          <w:tcPr>
            <w:tcW w:type="dxa" w:w="1584"/>
            <w:shd w:fill="1B5E20"/>
            <w:tcMar>
              <w:top w:w="70" w:type="dxa"/>
              <w:bottom w:w="70" w:type="dxa"/>
              <w:left w:w="90" w:type="dxa"/>
              <w:right w:w="90" w:type="dxa"/>
            </w:tcMar>
          </w:tcPr>
          <w:p>
            <w:pPr>
              <w:spacing w:after="0" w:line="252" w:lineRule="auto"/>
            </w:pPr>
            <w:r>
              <w:rPr>
                <w:rFonts w:ascii="Calibri" w:hAnsi="Calibri"/>
                <w:b/>
                <w:color w:val="FFFFFF"/>
                <w:sz w:val="17"/>
              </w:rPr>
              <w:t>95% Webb Bootstrap CI</w:t>
            </w:r>
          </w:p>
        </w:tc>
        <w:tc>
          <w:tcPr>
            <w:tcW w:type="dxa" w:w="1008"/>
            <w:shd w:fill="1B5E20"/>
            <w:tcMar>
              <w:top w:w="70" w:type="dxa"/>
              <w:bottom w:w="70" w:type="dxa"/>
              <w:left w:w="90" w:type="dxa"/>
              <w:right w:w="90" w:type="dxa"/>
            </w:tcMar>
          </w:tcPr>
          <w:p>
            <w:pPr>
              <w:spacing w:after="0" w:line="252" w:lineRule="auto"/>
            </w:pPr>
            <w:r>
              <w:rPr>
                <w:rFonts w:ascii="Calibri" w:hAnsi="Calibri"/>
                <w:b/>
                <w:color w:val="FFFFFF"/>
                <w:sz w:val="17"/>
              </w:rPr>
              <w:t>Bootstrap SE</w:t>
            </w:r>
          </w:p>
        </w:tc>
        <w:tc>
          <w:tcPr>
            <w:tcW w:type="dxa" w:w="1152"/>
            <w:shd w:fill="1B5E20"/>
            <w:tcMar>
              <w:top w:w="70" w:type="dxa"/>
              <w:bottom w:w="70" w:type="dxa"/>
              <w:left w:w="90" w:type="dxa"/>
              <w:right w:w="90" w:type="dxa"/>
            </w:tcMar>
          </w:tcPr>
          <w:p>
            <w:pPr>
              <w:spacing w:after="0" w:line="252" w:lineRule="auto"/>
            </w:pPr>
            <w:r>
              <w:rPr>
                <w:rFonts w:ascii="Calibri" w:hAnsi="Calibri"/>
                <w:b/>
                <w:color w:val="FFFFFF"/>
                <w:sz w:val="17"/>
              </w:rPr>
              <w:t>MDE (2.8 x SE)</w:t>
            </w:r>
          </w:p>
        </w:tc>
        <w:tc>
          <w:tcPr>
            <w:tcW w:type="dxa" w:w="1584"/>
            <w:shd w:fill="1B5E20"/>
            <w:tcMar>
              <w:top w:w="70" w:type="dxa"/>
              <w:bottom w:w="70" w:type="dxa"/>
              <w:left w:w="90" w:type="dxa"/>
              <w:right w:w="90" w:type="dxa"/>
            </w:tcMar>
          </w:tcPr>
          <w:p>
            <w:pPr>
              <w:spacing w:after="0" w:line="252" w:lineRule="auto"/>
            </w:pPr>
            <w:r>
              <w:rPr>
                <w:rFonts w:ascii="Calibri" w:hAnsi="Calibri"/>
                <w:b/>
                <w:color w:val="FFFFFF"/>
                <w:sz w:val="17"/>
              </w:rPr>
              <w:t>Batas Dikecualikan</w:t>
            </w:r>
          </w:p>
        </w:tc>
        <w:tc>
          <w:tcPr>
            <w:tcW w:type="dxa" w:w="1440"/>
            <w:shd w:fill="1B5E20"/>
            <w:tcMar>
              <w:top w:w="70" w:type="dxa"/>
              <w:bottom w:w="70" w:type="dxa"/>
              <w:left w:w="90" w:type="dxa"/>
              <w:right w:w="90" w:type="dxa"/>
            </w:tcMar>
          </w:tcPr>
          <w:p>
            <w:pPr>
              <w:spacing w:after="0" w:line="252" w:lineRule="auto"/>
            </w:pPr>
            <w:r>
              <w:rPr>
                <w:rFonts w:ascii="Calibri" w:hAnsi="Calibri"/>
                <w:b/>
                <w:color w:val="FFFFFF"/>
                <w:sz w:val="17"/>
              </w:rPr>
              <w:t>Status Evaluasi</w:t>
            </w:r>
          </w:p>
        </w:tc>
      </w:tr>
      <w:tr>
        <w:trPr>
          <w:cantSplit/>
        </w:trPr>
        <w:tc>
          <w:tcPr>
            <w:tcW w:type="dxa" w:w="1008"/>
            <w:shd w:fill="F1F8E9"/>
            <w:tcMar>
              <w:top w:w="50" w:type="dxa"/>
              <w:bottom w:w="50" w:type="dxa"/>
              <w:left w:w="70" w:type="dxa"/>
              <w:right w:w="70" w:type="dxa"/>
            </w:tcMar>
          </w:tcPr>
          <w:p>
            <w:pPr>
              <w:spacing w:after="0" w:line="252" w:lineRule="auto"/>
            </w:pPr>
            <w:r>
              <w:rPr>
                <w:rFonts w:ascii="Calibri" w:hAnsi="Calibri"/>
                <w:b/>
                <w:sz w:val="16"/>
              </w:rPr>
              <w:t>Model 1</w:t>
            </w:r>
          </w:p>
        </w:tc>
        <w:tc>
          <w:tcPr>
            <w:tcW w:type="dxa" w:w="2592"/>
            <w:shd w:fill="F1F8E9"/>
            <w:tcMar>
              <w:top w:w="50" w:type="dxa"/>
              <w:bottom w:w="50" w:type="dxa"/>
              <w:left w:w="70" w:type="dxa"/>
              <w:right w:w="70" w:type="dxa"/>
            </w:tcMar>
          </w:tcPr>
          <w:p>
            <w:pPr>
              <w:spacing w:after="0" w:line="252" w:lineRule="auto"/>
            </w:pPr>
            <w:r>
              <w:rPr>
                <w:rFonts w:ascii="Calibri" w:hAnsi="Calibri"/>
                <w:sz w:val="16"/>
              </w:rPr>
              <w:t>Baseline OLS TWFE (18 Sentra, N=124)</w:t>
            </w:r>
          </w:p>
        </w:tc>
        <w:tc>
          <w:tcPr>
            <w:tcW w:type="dxa" w:w="1152"/>
            <w:shd w:fill="F1F8E9"/>
            <w:tcMar>
              <w:top w:w="50" w:type="dxa"/>
              <w:bottom w:w="50" w:type="dxa"/>
              <w:left w:w="70" w:type="dxa"/>
              <w:right w:w="70" w:type="dxa"/>
            </w:tcMar>
          </w:tcPr>
          <w:p>
            <w:pPr>
              <w:spacing w:after="0" w:line="252" w:lineRule="auto"/>
            </w:pPr>
            <w:r>
              <w:rPr>
                <w:rFonts w:ascii="Calibri" w:hAnsi="Calibri"/>
                <w:sz w:val="16"/>
              </w:rPr>
              <w:t>+0.0368</w:t>
            </w:r>
          </w:p>
        </w:tc>
        <w:tc>
          <w:tcPr>
            <w:tcW w:type="dxa" w:w="1584"/>
            <w:shd w:fill="F1F8E9"/>
            <w:tcMar>
              <w:top w:w="50" w:type="dxa"/>
              <w:bottom w:w="50" w:type="dxa"/>
              <w:left w:w="70" w:type="dxa"/>
              <w:right w:w="70" w:type="dxa"/>
            </w:tcMar>
          </w:tcPr>
          <w:p>
            <w:pPr>
              <w:spacing w:after="0" w:line="252" w:lineRule="auto"/>
            </w:pPr>
            <w:r>
              <w:rPr>
                <w:rFonts w:ascii="Calibri" w:hAnsi="Calibri"/>
                <w:sz w:val="16"/>
              </w:rPr>
              <w:t>[-0.0521, +0.1300]</w:t>
            </w:r>
          </w:p>
        </w:tc>
        <w:tc>
          <w:tcPr>
            <w:tcW w:type="dxa" w:w="1008"/>
            <w:shd w:fill="F1F8E9"/>
            <w:tcMar>
              <w:top w:w="50" w:type="dxa"/>
              <w:bottom w:w="50" w:type="dxa"/>
              <w:left w:w="70" w:type="dxa"/>
              <w:right w:w="70" w:type="dxa"/>
            </w:tcMar>
          </w:tcPr>
          <w:p>
            <w:pPr>
              <w:spacing w:after="0" w:line="252" w:lineRule="auto"/>
            </w:pPr>
            <w:r>
              <w:rPr>
                <w:rFonts w:ascii="Calibri" w:hAnsi="Calibri"/>
                <w:sz w:val="16"/>
              </w:rPr>
              <w:t>0.0516</w:t>
            </w:r>
          </w:p>
        </w:tc>
        <w:tc>
          <w:tcPr>
            <w:tcW w:type="dxa" w:w="1152"/>
            <w:shd w:fill="F1F8E9"/>
            <w:tcMar>
              <w:top w:w="50" w:type="dxa"/>
              <w:bottom w:w="50" w:type="dxa"/>
              <w:left w:w="70" w:type="dxa"/>
              <w:right w:w="70" w:type="dxa"/>
            </w:tcMar>
          </w:tcPr>
          <w:p>
            <w:pPr>
              <w:spacing w:after="0" w:line="252" w:lineRule="auto"/>
            </w:pPr>
            <w:r>
              <w:rPr>
                <w:rFonts w:ascii="Calibri" w:hAnsi="Calibri"/>
                <w:sz w:val="16"/>
              </w:rPr>
              <w:t>±0.1444</w:t>
            </w:r>
          </w:p>
        </w:tc>
        <w:tc>
          <w:tcPr>
            <w:tcW w:type="dxa" w:w="1584"/>
            <w:shd w:fill="F1F8E9"/>
            <w:tcMar>
              <w:top w:w="50" w:type="dxa"/>
              <w:bottom w:w="50" w:type="dxa"/>
              <w:left w:w="70" w:type="dxa"/>
              <w:right w:w="70" w:type="dxa"/>
            </w:tcMar>
          </w:tcPr>
          <w:p>
            <w:pPr>
              <w:spacing w:after="0" w:line="252" w:lineRule="auto"/>
            </w:pPr>
            <w:r>
              <w:rPr>
                <w:rFonts w:ascii="Calibri" w:hAnsi="Calibri"/>
                <w:sz w:val="16"/>
              </w:rPr>
              <w:t>&lt; -0.0521 atau &gt; +0.1300</w:t>
            </w:r>
          </w:p>
        </w:tc>
        <w:tc>
          <w:tcPr>
            <w:tcW w:type="dxa" w:w="1440"/>
            <w:shd w:fill="F1F8E9"/>
            <w:tcMar>
              <w:top w:w="50" w:type="dxa"/>
              <w:bottom w:w="50" w:type="dxa"/>
              <w:left w:w="70" w:type="dxa"/>
              <w:right w:w="70" w:type="dxa"/>
            </w:tcMar>
          </w:tcPr>
          <w:p>
            <w:pPr>
              <w:spacing w:after="0" w:line="252" w:lineRule="auto"/>
            </w:pPr>
            <w:r>
              <w:rPr>
                <w:rFonts w:ascii="Calibri" w:hAnsi="Calibri"/>
                <w:sz w:val="16"/>
              </w:rPr>
              <w:t>Evidence Insufficient</w:t>
            </w:r>
          </w:p>
        </w:tc>
      </w:tr>
      <w:tr>
        <w:trPr>
          <w:cantSplit/>
        </w:trPr>
        <w:tc>
          <w:tcPr>
            <w:tcW w:type="dxa" w:w="1008"/>
            <w:shd w:fill="FFFFFF"/>
            <w:tcMar>
              <w:top w:w="50" w:type="dxa"/>
              <w:bottom w:w="50" w:type="dxa"/>
              <w:left w:w="70" w:type="dxa"/>
              <w:right w:w="70" w:type="dxa"/>
            </w:tcMar>
          </w:tcPr>
          <w:p>
            <w:pPr>
              <w:spacing w:after="0" w:line="252" w:lineRule="auto"/>
            </w:pPr>
            <w:r>
              <w:rPr>
                <w:rFonts w:ascii="Calibri" w:hAnsi="Calibri"/>
                <w:b/>
                <w:sz w:val="16"/>
              </w:rPr>
              <w:t>Model 2</w:t>
            </w:r>
          </w:p>
        </w:tc>
        <w:tc>
          <w:tcPr>
            <w:tcW w:type="dxa" w:w="2592"/>
            <w:shd w:fill="FFFFFF"/>
            <w:tcMar>
              <w:top w:w="50" w:type="dxa"/>
              <w:bottom w:w="50" w:type="dxa"/>
              <w:left w:w="70" w:type="dxa"/>
              <w:right w:w="70" w:type="dxa"/>
            </w:tcMar>
          </w:tcPr>
          <w:p>
            <w:pPr>
              <w:spacing w:after="0" w:line="252" w:lineRule="auto"/>
            </w:pPr>
            <w:r>
              <w:rPr>
                <w:rFonts w:ascii="Calibri" w:hAnsi="Calibri"/>
                <w:sz w:val="16"/>
              </w:rPr>
              <w:t>WLS Bobot Baseline Luas 2015–2017</w:t>
            </w:r>
          </w:p>
        </w:tc>
        <w:tc>
          <w:tcPr>
            <w:tcW w:type="dxa" w:w="1152"/>
            <w:shd w:fill="FFFFFF"/>
            <w:tcMar>
              <w:top w:w="50" w:type="dxa"/>
              <w:bottom w:w="50" w:type="dxa"/>
              <w:left w:w="70" w:type="dxa"/>
              <w:right w:w="70" w:type="dxa"/>
            </w:tcMar>
          </w:tcPr>
          <w:p>
            <w:pPr>
              <w:spacing w:after="0" w:line="252" w:lineRule="auto"/>
            </w:pPr>
            <w:r>
              <w:rPr>
                <w:rFonts w:ascii="Calibri" w:hAnsi="Calibri"/>
                <w:sz w:val="16"/>
              </w:rPr>
              <w:t>+0.0395</w:t>
            </w:r>
          </w:p>
        </w:tc>
        <w:tc>
          <w:tcPr>
            <w:tcW w:type="dxa" w:w="1584"/>
            <w:shd w:fill="FFFFFF"/>
            <w:tcMar>
              <w:top w:w="50" w:type="dxa"/>
              <w:bottom w:w="50" w:type="dxa"/>
              <w:left w:w="70" w:type="dxa"/>
              <w:right w:w="70" w:type="dxa"/>
            </w:tcMar>
          </w:tcPr>
          <w:p>
            <w:pPr>
              <w:spacing w:after="0" w:line="252" w:lineRule="auto"/>
            </w:pPr>
            <w:r>
              <w:rPr>
                <w:rFonts w:ascii="Calibri" w:hAnsi="Calibri"/>
                <w:sz w:val="16"/>
              </w:rPr>
              <w:t>[-0.0161, +0.0932]</w:t>
            </w:r>
          </w:p>
        </w:tc>
        <w:tc>
          <w:tcPr>
            <w:tcW w:type="dxa" w:w="1008"/>
            <w:shd w:fill="FFFFFF"/>
            <w:tcMar>
              <w:top w:w="50" w:type="dxa"/>
              <w:bottom w:w="50" w:type="dxa"/>
              <w:left w:w="70" w:type="dxa"/>
              <w:right w:w="70" w:type="dxa"/>
            </w:tcMar>
          </w:tcPr>
          <w:p>
            <w:pPr>
              <w:spacing w:after="0" w:line="252" w:lineRule="auto"/>
            </w:pPr>
            <w:r>
              <w:rPr>
                <w:rFonts w:ascii="Calibri" w:hAnsi="Calibri"/>
                <w:sz w:val="16"/>
              </w:rPr>
              <w:t>0.0307</w:t>
            </w:r>
          </w:p>
        </w:tc>
        <w:tc>
          <w:tcPr>
            <w:tcW w:type="dxa" w:w="1152"/>
            <w:shd w:fill="FFFFFF"/>
            <w:tcMar>
              <w:top w:w="50" w:type="dxa"/>
              <w:bottom w:w="50" w:type="dxa"/>
              <w:left w:w="70" w:type="dxa"/>
              <w:right w:w="70" w:type="dxa"/>
            </w:tcMar>
          </w:tcPr>
          <w:p>
            <w:pPr>
              <w:spacing w:after="0" w:line="252" w:lineRule="auto"/>
            </w:pPr>
            <w:r>
              <w:rPr>
                <w:rFonts w:ascii="Calibri" w:hAnsi="Calibri"/>
                <w:sz w:val="16"/>
              </w:rPr>
              <w:t>±0.0859</w:t>
            </w:r>
          </w:p>
        </w:tc>
        <w:tc>
          <w:tcPr>
            <w:tcW w:type="dxa" w:w="1584"/>
            <w:shd w:fill="FFFFFF"/>
            <w:tcMar>
              <w:top w:w="50" w:type="dxa"/>
              <w:bottom w:w="50" w:type="dxa"/>
              <w:left w:w="70" w:type="dxa"/>
              <w:right w:w="70" w:type="dxa"/>
            </w:tcMar>
          </w:tcPr>
          <w:p>
            <w:pPr>
              <w:spacing w:after="0" w:line="252" w:lineRule="auto"/>
            </w:pPr>
            <w:r>
              <w:rPr>
                <w:rFonts w:ascii="Calibri" w:hAnsi="Calibri"/>
                <w:sz w:val="16"/>
              </w:rPr>
              <w:t>&lt; -0.0161 atau &gt; +0.0932</w:t>
            </w:r>
          </w:p>
        </w:tc>
        <w:tc>
          <w:tcPr>
            <w:tcW w:type="dxa" w:w="1440"/>
            <w:shd w:fill="FFFFFF"/>
            <w:tcMar>
              <w:top w:w="50" w:type="dxa"/>
              <w:bottom w:w="50" w:type="dxa"/>
              <w:left w:w="70" w:type="dxa"/>
              <w:right w:w="70" w:type="dxa"/>
            </w:tcMar>
          </w:tcPr>
          <w:p>
            <w:pPr>
              <w:spacing w:after="0" w:line="252" w:lineRule="auto"/>
            </w:pPr>
            <w:r>
              <w:rPr>
                <w:rFonts w:ascii="Calibri" w:hAnsi="Calibri"/>
                <w:sz w:val="16"/>
              </w:rPr>
              <w:t>Evidence Insufficient</w:t>
            </w:r>
          </w:p>
        </w:tc>
      </w:tr>
      <w:tr>
        <w:trPr>
          <w:cantSplit/>
        </w:trPr>
        <w:tc>
          <w:tcPr>
            <w:tcW w:type="dxa" w:w="1008"/>
            <w:shd w:fill="F1F8E9"/>
            <w:tcMar>
              <w:top w:w="50" w:type="dxa"/>
              <w:bottom w:w="50" w:type="dxa"/>
              <w:left w:w="70" w:type="dxa"/>
              <w:right w:w="70" w:type="dxa"/>
            </w:tcMar>
          </w:tcPr>
          <w:p>
            <w:pPr>
              <w:spacing w:after="0" w:line="252" w:lineRule="auto"/>
            </w:pPr>
            <w:r>
              <w:rPr>
                <w:rFonts w:ascii="Calibri" w:hAnsi="Calibri"/>
                <w:b/>
                <w:sz w:val="16"/>
              </w:rPr>
              <w:t>Model 3</w:t>
            </w:r>
          </w:p>
        </w:tc>
        <w:tc>
          <w:tcPr>
            <w:tcW w:type="dxa" w:w="2592"/>
            <w:shd w:fill="F1F8E9"/>
            <w:tcMar>
              <w:top w:w="50" w:type="dxa"/>
              <w:bottom w:w="50" w:type="dxa"/>
              <w:left w:w="70" w:type="dxa"/>
              <w:right w:w="70" w:type="dxa"/>
            </w:tcMar>
          </w:tcPr>
          <w:p>
            <w:pPr>
              <w:spacing w:after="0" w:line="252" w:lineRule="auto"/>
            </w:pPr>
            <w:r>
              <w:rPr>
                <w:rFonts w:ascii="Calibri" w:hAnsi="Calibri"/>
                <w:sz w:val="16"/>
              </w:rPr>
              <w:t>Regresi Robust Huber (RLM)</w:t>
            </w:r>
          </w:p>
        </w:tc>
        <w:tc>
          <w:tcPr>
            <w:tcW w:type="dxa" w:w="1152"/>
            <w:shd w:fill="F1F8E9"/>
            <w:tcMar>
              <w:top w:w="50" w:type="dxa"/>
              <w:bottom w:w="50" w:type="dxa"/>
              <w:left w:w="70" w:type="dxa"/>
              <w:right w:w="70" w:type="dxa"/>
            </w:tcMar>
          </w:tcPr>
          <w:p>
            <w:pPr>
              <w:spacing w:after="0" w:line="252" w:lineRule="auto"/>
            </w:pPr>
            <w:r>
              <w:rPr>
                <w:rFonts w:ascii="Calibri" w:hAnsi="Calibri"/>
                <w:sz w:val="16"/>
              </w:rPr>
              <w:t>+0.0198</w:t>
            </w:r>
          </w:p>
        </w:tc>
        <w:tc>
          <w:tcPr>
            <w:tcW w:type="dxa" w:w="1584"/>
            <w:shd w:fill="F1F8E9"/>
            <w:tcMar>
              <w:top w:w="50" w:type="dxa"/>
              <w:bottom w:w="50" w:type="dxa"/>
              <w:left w:w="70" w:type="dxa"/>
              <w:right w:w="70" w:type="dxa"/>
            </w:tcMar>
          </w:tcPr>
          <w:p>
            <w:pPr>
              <w:spacing w:after="0" w:line="252" w:lineRule="auto"/>
            </w:pPr>
            <w:r>
              <w:rPr>
                <w:rFonts w:ascii="Calibri" w:hAnsi="Calibri"/>
                <w:sz w:val="16"/>
              </w:rPr>
              <w:t>[-0.0292, +0.0709]</w:t>
            </w:r>
          </w:p>
        </w:tc>
        <w:tc>
          <w:tcPr>
            <w:tcW w:type="dxa" w:w="1008"/>
            <w:shd w:fill="F1F8E9"/>
            <w:tcMar>
              <w:top w:w="50" w:type="dxa"/>
              <w:bottom w:w="50" w:type="dxa"/>
              <w:left w:w="70" w:type="dxa"/>
              <w:right w:w="70" w:type="dxa"/>
            </w:tcMar>
          </w:tcPr>
          <w:p>
            <w:pPr>
              <w:spacing w:after="0" w:line="252" w:lineRule="auto"/>
            </w:pPr>
            <w:r>
              <w:rPr>
                <w:rFonts w:ascii="Calibri" w:hAnsi="Calibri"/>
                <w:sz w:val="16"/>
              </w:rPr>
              <w:t>0.0273</w:t>
            </w:r>
          </w:p>
        </w:tc>
        <w:tc>
          <w:tcPr>
            <w:tcW w:type="dxa" w:w="1152"/>
            <w:shd w:fill="F1F8E9"/>
            <w:tcMar>
              <w:top w:w="50" w:type="dxa"/>
              <w:bottom w:w="50" w:type="dxa"/>
              <w:left w:w="70" w:type="dxa"/>
              <w:right w:w="70" w:type="dxa"/>
            </w:tcMar>
          </w:tcPr>
          <w:p>
            <w:pPr>
              <w:spacing w:after="0" w:line="252" w:lineRule="auto"/>
            </w:pPr>
            <w:r>
              <w:rPr>
                <w:rFonts w:ascii="Calibri" w:hAnsi="Calibri"/>
                <w:sz w:val="16"/>
              </w:rPr>
              <w:t>±0.0765</w:t>
            </w:r>
          </w:p>
        </w:tc>
        <w:tc>
          <w:tcPr>
            <w:tcW w:type="dxa" w:w="1584"/>
            <w:shd w:fill="F1F8E9"/>
            <w:tcMar>
              <w:top w:w="50" w:type="dxa"/>
              <w:bottom w:w="50" w:type="dxa"/>
              <w:left w:w="70" w:type="dxa"/>
              <w:right w:w="70" w:type="dxa"/>
            </w:tcMar>
          </w:tcPr>
          <w:p>
            <w:pPr>
              <w:spacing w:after="0" w:line="252" w:lineRule="auto"/>
            </w:pPr>
            <w:r>
              <w:rPr>
                <w:rFonts w:ascii="Calibri" w:hAnsi="Calibri"/>
                <w:sz w:val="16"/>
              </w:rPr>
              <w:t>&lt; -0.0292 atau &gt; +0.0709</w:t>
            </w:r>
          </w:p>
        </w:tc>
        <w:tc>
          <w:tcPr>
            <w:tcW w:type="dxa" w:w="1440"/>
            <w:shd w:fill="F1F8E9"/>
            <w:tcMar>
              <w:top w:w="50" w:type="dxa"/>
              <w:bottom w:w="50" w:type="dxa"/>
              <w:left w:w="70" w:type="dxa"/>
              <w:right w:w="70" w:type="dxa"/>
            </w:tcMar>
          </w:tcPr>
          <w:p>
            <w:pPr>
              <w:spacing w:after="0" w:line="252" w:lineRule="auto"/>
            </w:pPr>
            <w:r>
              <w:rPr>
                <w:rFonts w:ascii="Calibri" w:hAnsi="Calibri"/>
                <w:sz w:val="16"/>
              </w:rPr>
              <w:t>Evidence Insufficient</w:t>
            </w:r>
          </w:p>
        </w:tc>
      </w:tr>
      <w:tr>
        <w:trPr>
          <w:cantSplit/>
        </w:trPr>
        <w:tc>
          <w:tcPr>
            <w:tcW w:type="dxa" w:w="1008"/>
            <w:shd w:fill="FFFFFF"/>
            <w:tcMar>
              <w:top w:w="50" w:type="dxa"/>
              <w:bottom w:w="50" w:type="dxa"/>
              <w:left w:w="70" w:type="dxa"/>
              <w:right w:w="70" w:type="dxa"/>
            </w:tcMar>
          </w:tcPr>
          <w:p>
            <w:pPr>
              <w:spacing w:after="0" w:line="252" w:lineRule="auto"/>
            </w:pPr>
            <w:r>
              <w:rPr>
                <w:rFonts w:ascii="Calibri" w:hAnsi="Calibri"/>
                <w:b/>
                <w:sz w:val="16"/>
              </w:rPr>
              <w:t>Model 4</w:t>
            </w:r>
          </w:p>
        </w:tc>
        <w:tc>
          <w:tcPr>
            <w:tcW w:type="dxa" w:w="2592"/>
            <w:shd w:fill="FFFFFF"/>
            <w:tcMar>
              <w:top w:w="50" w:type="dxa"/>
              <w:bottom w:w="50" w:type="dxa"/>
              <w:left w:w="70" w:type="dxa"/>
              <w:right w:w="70" w:type="dxa"/>
            </w:tcMar>
          </w:tcPr>
          <w:p>
            <w:pPr>
              <w:spacing w:after="0" w:line="252" w:lineRule="auto"/>
            </w:pPr>
            <w:r>
              <w:rPr>
                <w:rFonts w:ascii="Calibri" w:hAnsi="Calibri"/>
                <w:sz w:val="16"/>
              </w:rPr>
              <w:t>Tanpa Outlier MAD-z (Cutoff P95, 7 obs dropped)</w:t>
            </w:r>
          </w:p>
        </w:tc>
        <w:tc>
          <w:tcPr>
            <w:tcW w:type="dxa" w:w="1152"/>
            <w:shd w:fill="FFFFFF"/>
            <w:tcMar>
              <w:top w:w="50" w:type="dxa"/>
              <w:bottom w:w="50" w:type="dxa"/>
              <w:left w:w="70" w:type="dxa"/>
              <w:right w:w="70" w:type="dxa"/>
            </w:tcMar>
          </w:tcPr>
          <w:p>
            <w:pPr>
              <w:spacing w:after="0" w:line="252" w:lineRule="auto"/>
            </w:pPr>
            <w:r>
              <w:rPr>
                <w:rFonts w:ascii="Calibri" w:hAnsi="Calibri"/>
                <w:sz w:val="16"/>
              </w:rPr>
              <w:t>+0.0555</w:t>
            </w:r>
          </w:p>
        </w:tc>
        <w:tc>
          <w:tcPr>
            <w:tcW w:type="dxa" w:w="1584"/>
            <w:shd w:fill="FFFFFF"/>
            <w:tcMar>
              <w:top w:w="50" w:type="dxa"/>
              <w:bottom w:w="50" w:type="dxa"/>
              <w:left w:w="70" w:type="dxa"/>
              <w:right w:w="70" w:type="dxa"/>
            </w:tcMar>
          </w:tcPr>
          <w:p>
            <w:pPr>
              <w:spacing w:after="0" w:line="252" w:lineRule="auto"/>
            </w:pPr>
            <w:r>
              <w:rPr>
                <w:rFonts w:ascii="Calibri" w:hAnsi="Calibri"/>
                <w:sz w:val="16"/>
              </w:rPr>
              <w:t>[-0.0275, +0.1398]</w:t>
            </w:r>
          </w:p>
        </w:tc>
        <w:tc>
          <w:tcPr>
            <w:tcW w:type="dxa" w:w="1008"/>
            <w:shd w:fill="FFFFFF"/>
            <w:tcMar>
              <w:top w:w="50" w:type="dxa"/>
              <w:bottom w:w="50" w:type="dxa"/>
              <w:left w:w="70" w:type="dxa"/>
              <w:right w:w="70" w:type="dxa"/>
            </w:tcMar>
          </w:tcPr>
          <w:p>
            <w:pPr>
              <w:spacing w:after="0" w:line="252" w:lineRule="auto"/>
            </w:pPr>
            <w:r>
              <w:rPr>
                <w:rFonts w:ascii="Calibri" w:hAnsi="Calibri"/>
                <w:sz w:val="16"/>
              </w:rPr>
              <w:t>0.0463</w:t>
            </w:r>
          </w:p>
        </w:tc>
        <w:tc>
          <w:tcPr>
            <w:tcW w:type="dxa" w:w="1152"/>
            <w:shd w:fill="FFFFFF"/>
            <w:tcMar>
              <w:top w:w="50" w:type="dxa"/>
              <w:bottom w:w="50" w:type="dxa"/>
              <w:left w:w="70" w:type="dxa"/>
              <w:right w:w="70" w:type="dxa"/>
            </w:tcMar>
          </w:tcPr>
          <w:p>
            <w:pPr>
              <w:spacing w:after="0" w:line="252" w:lineRule="auto"/>
            </w:pPr>
            <w:r>
              <w:rPr>
                <w:rFonts w:ascii="Calibri" w:hAnsi="Calibri"/>
                <w:sz w:val="16"/>
              </w:rPr>
              <w:t>±0.1298</w:t>
            </w:r>
          </w:p>
        </w:tc>
        <w:tc>
          <w:tcPr>
            <w:tcW w:type="dxa" w:w="1584"/>
            <w:shd w:fill="FFFFFF"/>
            <w:tcMar>
              <w:top w:w="50" w:type="dxa"/>
              <w:bottom w:w="50" w:type="dxa"/>
              <w:left w:w="70" w:type="dxa"/>
              <w:right w:w="70" w:type="dxa"/>
            </w:tcMar>
          </w:tcPr>
          <w:p>
            <w:pPr>
              <w:spacing w:after="0" w:line="252" w:lineRule="auto"/>
            </w:pPr>
            <w:r>
              <w:rPr>
                <w:rFonts w:ascii="Calibri" w:hAnsi="Calibri"/>
                <w:sz w:val="16"/>
              </w:rPr>
              <w:t>&lt; -0.0275 atau &gt; +0.1398</w:t>
            </w:r>
          </w:p>
        </w:tc>
        <w:tc>
          <w:tcPr>
            <w:tcW w:type="dxa" w:w="1440"/>
            <w:shd w:fill="FFFFFF"/>
            <w:tcMar>
              <w:top w:w="50" w:type="dxa"/>
              <w:bottom w:w="50" w:type="dxa"/>
              <w:left w:w="70" w:type="dxa"/>
              <w:right w:w="70" w:type="dxa"/>
            </w:tcMar>
          </w:tcPr>
          <w:p>
            <w:pPr>
              <w:spacing w:after="0" w:line="252" w:lineRule="auto"/>
            </w:pPr>
            <w:r>
              <w:rPr>
                <w:rFonts w:ascii="Calibri" w:hAnsi="Calibri"/>
                <w:sz w:val="16"/>
              </w:rPr>
              <w:t>Evidence Insufficient</w:t>
            </w:r>
          </w:p>
        </w:tc>
      </w:tr>
    </w:tbl>
    <w:p>
      <w:pPr>
        <w:spacing w:after="120"/>
      </w:pPr>
    </w:p>
    <w:p>
      <w:r>
        <w:t>Interpretasi Ekonometrika Mendalam:</w:t>
        <w:br/>
        <w:t>• Efek yang Dikecualikan oleh Data: beta &lt; -0.0521 atau beta &gt; +0.1300 (data menolak efek cuaca negatif tajam atau positif ekstrem).</w:t>
        <w:br/>
        <w:t>• Transfer dari Efek Suhu Literatur: +-0.0650 log points (Schlenker &amp; Roberts 2009).</w:t>
        <w:br/>
        <w:t>• Status Evaluasi Resmi: EVIDENCE INSUFFICIENT.</w:t>
        <w:br/>
        <w:t>Pada seluruh 4 spesifikasi di atas, 95% Confidence Interval Wild Cluster Bootstrap Webb selalu melintasi nol dan mencakup rentang transfer efek literatur (+-0.0650). Karena MDE panel makro tahunan lebih lebar daripada benchmark efek (+-0.1444 &gt; 0.0650), data observasional makro tahunan tidak memiliki daya statistik untuk menarik kesimpulan kausal konfirmatori.</w:t>
      </w:r>
    </w:p>
    <w:p>
      <w:pPr>
        <w:spacing w:after="40"/>
      </w:pPr>
    </w:p>
    <w:p>
      <w:r>
        <w:drawing>
          <wp:inline xmlns:a="http://schemas.openxmlformats.org/drawingml/2006/main" xmlns:pic="http://schemas.openxmlformats.org/drawingml/2006/picture">
            <wp:extent cx="5303520" cy="3147642"/>
            <wp:docPr id="15" name="Picture 15"/>
            <wp:cNvGraphicFramePr>
              <a:graphicFrameLocks noChangeAspect="1"/>
            </wp:cNvGraphicFramePr>
            <a:graphic>
              <a:graphicData uri="http://schemas.openxmlformats.org/drawingml/2006/picture">
                <pic:pic>
                  <pic:nvPicPr>
                    <pic:cNvPr id="0" name="fig07_added_variable_plot_corn_webb_ci_mde.png"/>
                    <pic:cNvPicPr/>
                  </pic:nvPicPr>
                  <pic:blipFill>
                    <a:blip r:embed="rId23"/>
                    <a:stretch>
                      <a:fillRect/>
                    </a:stretch>
                  </pic:blipFill>
                  <pic:spPr>
                    <a:xfrm>
                      <a:off x="0" y="0"/>
                      <a:ext cx="5303520" cy="3147642"/>
                    </a:xfrm>
                    <a:prstGeom prst="rect"/>
                  </pic:spPr>
                </pic:pic>
              </a:graphicData>
            </a:graphic>
          </wp:inline>
        </w:drawing>
      </w:r>
    </w:p>
    <w:p>
      <w:pPr>
        <w:spacing w:after="160"/>
      </w:pPr>
      <w:r>
        <w:t>Gambar 5.4: Added-Variable Plot H_CORN_01 Two-Way FE dengan 95% CI Wild Cluster Bootstrap Webb dan MDE = 2.8 x SE (Status: Evidence Insufficient).</w:t>
      </w:r>
    </w:p>
    <w:p>
      <w:pPr>
        <w:pStyle w:val="Heading2"/>
      </w:pPr>
      <w:r>
        <w:t>5.3 Uji Sensitivitas Leave-One-Year-Out (LOO) &amp; Falsifikasi Lead Placebo (t+1)</w:t>
      </w:r>
    </w:p>
    <w:p>
      <w:r>
        <w:t>• Forest Plot LOO-Tahun: Mengeluarkan Super El Niño 2015 menghasilkan beta = +0.0412; mengeluarkan La Niña 2016 menghasilkan beta = +0.0298. Estimasi titik tetap stabil di rentang +0.03 s.d. +0.04 dan CI selalu melintasi nol. Tidak ada tahun tunggal yang mendikte estimasi.</w:t>
        <w:br/>
        <w:t>• Stabilitas Jendela Waktu (Window Shifting): Estimasi jendela tanam maju Jan–Mar (beta = +0.0211) dan mundur Mar–Mei (beta = +0.0405) konsisten berada dalam koridor variasi residual.</w:t>
        <w:br/>
        <w:t>• Lead Weather Placebo (t+1): Estimasi cuaca masa depan terhadap hasil tahun ini terhitung beta_lead = +0.0075 dengan 95% CI [-0.068, +0.082]. Uji falsifikasi ini dilaporkan secara transparan.</w:t>
      </w:r>
    </w:p>
    <w:p>
      <w:pPr>
        <w:spacing w:after="40"/>
      </w:pPr>
    </w:p>
    <w:p>
      <w:r>
        <w:drawing>
          <wp:inline xmlns:a="http://schemas.openxmlformats.org/drawingml/2006/main" xmlns:pic="http://schemas.openxmlformats.org/drawingml/2006/picture">
            <wp:extent cx="5303520" cy="2673974"/>
            <wp:docPr id="16" name="Picture 16"/>
            <wp:cNvGraphicFramePr>
              <a:graphicFrameLocks noChangeAspect="1"/>
            </wp:cNvGraphicFramePr>
            <a:graphic>
              <a:graphicData uri="http://schemas.openxmlformats.org/drawingml/2006/picture">
                <pic:pic>
                  <pic:nvPicPr>
                    <pic:cNvPr id="0" name="fig08_forest_loo_tahun_webb_bootstrap.png"/>
                    <pic:cNvPicPr/>
                  </pic:nvPicPr>
                  <pic:blipFill>
                    <a:blip r:embed="rId24"/>
                    <a:stretch>
                      <a:fillRect/>
                    </a:stretch>
                  </pic:blipFill>
                  <pic:spPr>
                    <a:xfrm>
                      <a:off x="0" y="0"/>
                      <a:ext cx="5303520" cy="2673974"/>
                    </a:xfrm>
                    <a:prstGeom prst="rect"/>
                  </pic:spPr>
                </pic:pic>
              </a:graphicData>
            </a:graphic>
          </wp:inline>
        </w:drawing>
      </w:r>
    </w:p>
    <w:p>
      <w:pPr>
        <w:spacing w:after="160"/>
      </w:pPr>
      <w:r>
        <w:t>Gambar 5.5: Forest Plot Leave-One-Year-Out (LOO) Uji Ketahanan Sensitivitas Ekstrem (Estimasi Konsisten &amp; CI Selalu Melintasi Nol).</w:t>
      </w:r>
    </w:p>
    <w:p>
      <w:pPr>
        <w:spacing w:after="40"/>
      </w:pPr>
    </w:p>
    <w:p>
      <w:r>
        <w:drawing>
          <wp:inline xmlns:a="http://schemas.openxmlformats.org/drawingml/2006/main" xmlns:pic="http://schemas.openxmlformats.org/drawingml/2006/picture">
            <wp:extent cx="5303520" cy="2557201"/>
            <wp:docPr id="17" name="Picture 17"/>
            <wp:cNvGraphicFramePr>
              <a:graphicFrameLocks noChangeAspect="1"/>
            </wp:cNvGraphicFramePr>
            <a:graphic>
              <a:graphicData uri="http://schemas.openxmlformats.org/drawingml/2006/picture">
                <pic:pic>
                  <pic:nvPicPr>
                    <pic:cNvPr id="0" name="fig09_stabilitas_jendela_dan_lead_placebo_dihitung.png"/>
                    <pic:cNvPicPr/>
                  </pic:nvPicPr>
                  <pic:blipFill>
                    <a:blip r:embed="rId25"/>
                    <a:stretch>
                      <a:fillRect/>
                    </a:stretch>
                  </pic:blipFill>
                  <pic:spPr>
                    <a:xfrm>
                      <a:off x="0" y="0"/>
                      <a:ext cx="5303520" cy="2557201"/>
                    </a:xfrm>
                    <a:prstGeom prst="rect"/>
                  </pic:spPr>
                </pic:pic>
              </a:graphicData>
            </a:graphic>
          </wp:inline>
        </w:drawing>
      </w:r>
    </w:p>
    <w:p>
      <w:pPr>
        <w:spacing w:after="160"/>
      </w:pPr>
      <w:r>
        <w:t>Gambar 5.6: Uji Stabilitas Jendela Waktu &amp; Lead Weather Placebo (t+1) Dihitung Nyata dari Data Menggunakan Two-Way FE &amp; Wild Bootstrap Webb.</w:t>
      </w:r>
    </w:p>
    <w:p>
      <w:pPr>
        <w:pStyle w:val="Heading2"/>
      </w:pPr>
      <w:r>
        <w:t>5.4 Tier B Hortikultura: Monitoring Mikroklimat Kebasahan Daun Jenuh (IFWC)</w:t>
      </w:r>
    </w:p>
    <w:p>
      <w:r>
        <w:t>• Depresiasi Titik Embun Malam (Tmin – Tdew): Tmin adalah nilai minimum 24 jam (subuh), sedangkan Tdew adalah rata-rata 24 jam. Sebanyak 40.31% hari mencatat depresiasi negatif (&lt; 0°C) murni akibat ketidaksesuaian rata-rata diurnal, bukan supersaturasi udara. Sebagai pelengkap proksi fajar, kelembapan relatif jam 06 lokal (RH_06h) mencatat persentil 90 sebesar 91.64%.</w:t>
        <w:br/>
        <w:t>• Persentil Ambang Batas: P10 seluruh musim tanam terhitung -0.70°C (bervariasi per bulan: -0.81°C Maret s.d. -0.48°C Agustus).</w:t>
        <w:br/>
        <w:t>• Persistensi Hari Basah Ekstrem: Run length hari berturut-turut di bawah P10 (hanya menghitung run &gt;= 1 hari, total 5.550 run) dilaporkan murni deskriptif untuk sistem peringatan dini jamur (IFWC) tanpa regresi terhadap hasil panen.</w:t>
      </w:r>
    </w:p>
    <w:p>
      <w:pPr>
        <w:spacing w:after="40"/>
      </w:pPr>
    </w:p>
    <w:p>
      <w:r>
        <w:drawing>
          <wp:inline xmlns:a="http://schemas.openxmlformats.org/drawingml/2006/main" xmlns:pic="http://schemas.openxmlformats.org/drawingml/2006/picture">
            <wp:extent cx="5303520" cy="2305771"/>
            <wp:docPr id="18" name="Picture 18"/>
            <wp:cNvGraphicFramePr>
              <a:graphicFrameLocks noChangeAspect="1"/>
            </wp:cNvGraphicFramePr>
            <a:graphic>
              <a:graphicData uri="http://schemas.openxmlformats.org/drawingml/2006/picture">
                <pic:pic>
                  <pic:nvPicPr>
                    <pic:cNvPr id="0" name="fig10_tier_b_ifwc_depresiasi_embun_run_length.png"/>
                    <pic:cNvPicPr/>
                  </pic:nvPicPr>
                  <pic:blipFill>
                    <a:blip r:embed="rId26"/>
                    <a:stretch>
                      <a:fillRect/>
                    </a:stretch>
                  </pic:blipFill>
                  <pic:spPr>
                    <a:xfrm>
                      <a:off x="0" y="0"/>
                      <a:ext cx="5303520" cy="2305771"/>
                    </a:xfrm>
                    <a:prstGeom prst="rect"/>
                  </pic:spPr>
                </pic:pic>
              </a:graphicData>
            </a:graphic>
          </wp:inline>
        </w:drawing>
      </w:r>
    </w:p>
    <w:p>
      <w:pPr>
        <w:spacing w:after="160"/>
      </w:pPr>
      <w:r>
        <w:t>Gambar 5.7: Distribusi Depresiasi Titik Embun Malam (Tmin – Tdew) dan Frekuensi Run Length Hari Lembap di Bawah P10 (Run &gt;= 1 Hari, Tier B Deskriptif).</w:t>
      </w:r>
    </w:p>
    <w:p>
      <w:pPr>
        <w:pStyle w:val="Heading2"/>
      </w:pPr>
      <w:r>
        <w:t>5.5 Daya Statistik (MDE = 2.8 x SE) &amp; Dekomposisi Varians Lintas Komoditas</w:t>
      </w:r>
    </w:p>
    <w:p>
      <w:r>
        <w:t>Tabel komparasi MDE dihitung konsisten langsung dari Standard Error Wild Cluster Bootstrap (MDE = 2.8 x SE_boot):</w:t>
        <w:br/>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cantSplit/>
        </w:trPr>
        <w:tc>
          <w:tcPr>
            <w:tcW w:type="dxa" w:w="1728"/>
            <w:shd w:fill="2E7D32"/>
            <w:tcMar>
              <w:top w:w="70" w:type="dxa"/>
              <w:bottom w:w="70" w:type="dxa"/>
              <w:left w:w="90" w:type="dxa"/>
              <w:right w:w="90" w:type="dxa"/>
            </w:tcMar>
          </w:tcPr>
          <w:p>
            <w:pPr>
              <w:spacing w:after="0" w:line="252" w:lineRule="auto"/>
            </w:pPr>
            <w:r>
              <w:rPr>
                <w:rFonts w:ascii="Calibri" w:hAnsi="Calibri"/>
                <w:b/>
                <w:color w:val="FFFFFF"/>
                <w:sz w:val="17"/>
              </w:rPr>
              <w:t>Komoditas &amp; Panel</w:t>
            </w:r>
          </w:p>
        </w:tc>
        <w:tc>
          <w:tcPr>
            <w:tcW w:type="dxa" w:w="1296"/>
            <w:shd w:fill="2E7D32"/>
            <w:tcMar>
              <w:top w:w="70" w:type="dxa"/>
              <w:bottom w:w="70" w:type="dxa"/>
              <w:left w:w="90" w:type="dxa"/>
              <w:right w:w="90" w:type="dxa"/>
            </w:tcMar>
          </w:tcPr>
          <w:p>
            <w:pPr>
              <w:spacing w:after="0" w:line="252" w:lineRule="auto"/>
            </w:pPr>
            <w:r>
              <w:rPr>
                <w:rFonts w:ascii="Calibri" w:hAnsi="Calibri"/>
                <w:b/>
                <w:color w:val="FFFFFF"/>
                <w:sz w:val="17"/>
              </w:rPr>
              <w:t>Periode Valid</w:t>
            </w:r>
          </w:p>
        </w:tc>
        <w:tc>
          <w:tcPr>
            <w:tcW w:type="dxa" w:w="720"/>
            <w:shd w:fill="2E7D32"/>
            <w:tcMar>
              <w:top w:w="70" w:type="dxa"/>
              <w:bottom w:w="70" w:type="dxa"/>
              <w:left w:w="90" w:type="dxa"/>
              <w:right w:w="90" w:type="dxa"/>
            </w:tcMar>
          </w:tcPr>
          <w:p>
            <w:pPr>
              <w:spacing w:after="0" w:line="252" w:lineRule="auto"/>
            </w:pPr>
            <w:r>
              <w:rPr>
                <w:rFonts w:ascii="Calibri" w:hAnsi="Calibri"/>
                <w:b/>
                <w:color w:val="FFFFFF"/>
                <w:sz w:val="17"/>
              </w:rPr>
              <w:t>N Obs</w:t>
            </w:r>
          </w:p>
        </w:tc>
        <w:tc>
          <w:tcPr>
            <w:tcW w:type="dxa" w:w="1152"/>
            <w:shd w:fill="2E7D32"/>
            <w:tcMar>
              <w:top w:w="70" w:type="dxa"/>
              <w:bottom w:w="70" w:type="dxa"/>
              <w:left w:w="90" w:type="dxa"/>
              <w:right w:w="90" w:type="dxa"/>
            </w:tcMar>
          </w:tcPr>
          <w:p>
            <w:pPr>
              <w:spacing w:after="0" w:line="252" w:lineRule="auto"/>
            </w:pPr>
            <w:r>
              <w:rPr>
                <w:rFonts w:ascii="Calibri" w:hAnsi="Calibri"/>
                <w:b/>
                <w:color w:val="FFFFFF"/>
                <w:sz w:val="17"/>
              </w:rPr>
              <w:t>Clusters (G)</w:t>
            </w:r>
          </w:p>
        </w:tc>
        <w:tc>
          <w:tcPr>
            <w:tcW w:type="dxa" w:w="1008"/>
            <w:shd w:fill="2E7D32"/>
            <w:tcMar>
              <w:top w:w="70" w:type="dxa"/>
              <w:bottom w:w="70" w:type="dxa"/>
              <w:left w:w="90" w:type="dxa"/>
              <w:right w:w="90" w:type="dxa"/>
            </w:tcMar>
          </w:tcPr>
          <w:p>
            <w:pPr>
              <w:spacing w:after="0" w:line="252" w:lineRule="auto"/>
            </w:pPr>
            <w:r>
              <w:rPr>
                <w:rFonts w:ascii="Calibri" w:hAnsi="Calibri"/>
                <w:b/>
                <w:color w:val="FFFFFF"/>
                <w:sz w:val="17"/>
              </w:rPr>
              <w:t>Within-CV</w:t>
            </w:r>
          </w:p>
        </w:tc>
        <w:tc>
          <w:tcPr>
            <w:tcW w:type="dxa" w:w="1008"/>
            <w:shd w:fill="2E7D32"/>
            <w:tcMar>
              <w:top w:w="70" w:type="dxa"/>
              <w:bottom w:w="70" w:type="dxa"/>
              <w:left w:w="90" w:type="dxa"/>
              <w:right w:w="90" w:type="dxa"/>
            </w:tcMar>
          </w:tcPr>
          <w:p>
            <w:pPr>
              <w:spacing w:after="0" w:line="252" w:lineRule="auto"/>
            </w:pPr>
            <w:r>
              <w:rPr>
                <w:rFonts w:ascii="Calibri" w:hAnsi="Calibri"/>
                <w:b/>
                <w:color w:val="FFFFFF"/>
                <w:sz w:val="17"/>
              </w:rPr>
              <w:t>Bootstrap SE</w:t>
            </w:r>
          </w:p>
        </w:tc>
        <w:tc>
          <w:tcPr>
            <w:tcW w:type="dxa" w:w="1152"/>
            <w:shd w:fill="2E7D32"/>
            <w:tcMar>
              <w:top w:w="70" w:type="dxa"/>
              <w:bottom w:w="70" w:type="dxa"/>
              <w:left w:w="90" w:type="dxa"/>
              <w:right w:w="90" w:type="dxa"/>
            </w:tcMar>
          </w:tcPr>
          <w:p>
            <w:pPr>
              <w:spacing w:after="0" w:line="252" w:lineRule="auto"/>
            </w:pPr>
            <w:r>
              <w:rPr>
                <w:rFonts w:ascii="Calibri" w:hAnsi="Calibri"/>
                <w:b/>
                <w:color w:val="FFFFFF"/>
                <w:sz w:val="17"/>
              </w:rPr>
              <w:t>MDE (2.8 x SE)</w:t>
            </w:r>
          </w:p>
        </w:tc>
        <w:tc>
          <w:tcPr>
            <w:tcW w:type="dxa" w:w="1296"/>
            <w:shd w:fill="2E7D32"/>
            <w:tcMar>
              <w:top w:w="70" w:type="dxa"/>
              <w:bottom w:w="70" w:type="dxa"/>
              <w:left w:w="90" w:type="dxa"/>
              <w:right w:w="90" w:type="dxa"/>
            </w:tcMar>
          </w:tcPr>
          <w:p>
            <w:pPr>
              <w:spacing w:after="0" w:line="252" w:lineRule="auto"/>
            </w:pPr>
            <w:r>
              <w:rPr>
                <w:rFonts w:ascii="Calibri" w:hAnsi="Calibri"/>
                <w:b/>
                <w:color w:val="FFFFFF"/>
                <w:sz w:val="17"/>
              </w:rPr>
              <w:t>Benchmark Efek</w:t>
            </w:r>
          </w:p>
        </w:tc>
        <w:tc>
          <w:tcPr>
            <w:tcW w:type="dxa" w:w="1584"/>
            <w:shd w:fill="2E7D32"/>
            <w:tcMar>
              <w:top w:w="70" w:type="dxa"/>
              <w:bottom w:w="70" w:type="dxa"/>
              <w:left w:w="90" w:type="dxa"/>
              <w:right w:w="90" w:type="dxa"/>
            </w:tcMar>
          </w:tcPr>
          <w:p>
            <w:pPr>
              <w:spacing w:after="0" w:line="252" w:lineRule="auto"/>
            </w:pPr>
            <w:r>
              <w:rPr>
                <w:rFonts w:ascii="Calibri" w:hAnsi="Calibri"/>
                <w:b/>
                <w:color w:val="FFFFFF"/>
                <w:sz w:val="17"/>
              </w:rPr>
              <w:t>Daya Statistik</w:t>
            </w:r>
          </w:p>
        </w:tc>
      </w:tr>
      <w:tr>
        <w:trPr>
          <w:cantSplit/>
        </w:trPr>
        <w:tc>
          <w:tcPr>
            <w:tcW w:type="dxa" w:w="1728"/>
            <w:shd w:fill="F9FBE7"/>
            <w:tcMar>
              <w:top w:w="50" w:type="dxa"/>
              <w:bottom w:w="50" w:type="dxa"/>
              <w:left w:w="70" w:type="dxa"/>
              <w:right w:w="70" w:type="dxa"/>
            </w:tcMar>
          </w:tcPr>
          <w:p>
            <w:pPr>
              <w:spacing w:after="0" w:line="252" w:lineRule="auto"/>
            </w:pPr>
            <w:r>
              <w:rPr>
                <w:rFonts w:ascii="Calibri" w:hAnsi="Calibri"/>
                <w:b/>
                <w:sz w:val="16"/>
              </w:rPr>
              <w:t>Jagung (DS05)</w:t>
            </w:r>
          </w:p>
        </w:tc>
        <w:tc>
          <w:tcPr>
            <w:tcW w:type="dxa" w:w="1296"/>
            <w:shd w:fill="F9FBE7"/>
            <w:tcMar>
              <w:top w:w="50" w:type="dxa"/>
              <w:bottom w:w="50" w:type="dxa"/>
              <w:left w:w="70" w:type="dxa"/>
              <w:right w:w="70" w:type="dxa"/>
            </w:tcMar>
          </w:tcPr>
          <w:p>
            <w:pPr>
              <w:spacing w:after="0" w:line="252" w:lineRule="auto"/>
            </w:pPr>
            <w:r>
              <w:rPr>
                <w:rFonts w:ascii="Calibri" w:hAnsi="Calibri"/>
                <w:sz w:val="16"/>
              </w:rPr>
              <w:t>2015–2021 (T=7)</w:t>
            </w:r>
          </w:p>
        </w:tc>
        <w:tc>
          <w:tcPr>
            <w:tcW w:type="dxa" w:w="720"/>
            <w:shd w:fill="F9FBE7"/>
            <w:tcMar>
              <w:top w:w="50" w:type="dxa"/>
              <w:bottom w:w="50" w:type="dxa"/>
              <w:left w:w="70" w:type="dxa"/>
              <w:right w:w="70" w:type="dxa"/>
            </w:tcMar>
          </w:tcPr>
          <w:p>
            <w:pPr>
              <w:spacing w:after="0" w:line="252" w:lineRule="auto"/>
            </w:pPr>
            <w:r>
              <w:rPr>
                <w:rFonts w:ascii="Calibri" w:hAnsi="Calibri"/>
                <w:sz w:val="16"/>
              </w:rPr>
              <w:t>124</w:t>
            </w:r>
          </w:p>
        </w:tc>
        <w:tc>
          <w:tcPr>
            <w:tcW w:type="dxa" w:w="1152"/>
            <w:shd w:fill="F9FBE7"/>
            <w:tcMar>
              <w:top w:w="50" w:type="dxa"/>
              <w:bottom w:w="50" w:type="dxa"/>
              <w:left w:w="70" w:type="dxa"/>
              <w:right w:w="70" w:type="dxa"/>
            </w:tcMar>
          </w:tcPr>
          <w:p>
            <w:pPr>
              <w:spacing w:after="0" w:line="252" w:lineRule="auto"/>
            </w:pPr>
            <w:r>
              <w:rPr>
                <w:rFonts w:ascii="Calibri" w:hAnsi="Calibri"/>
                <w:sz w:val="16"/>
              </w:rPr>
              <w:t>18 sentra</w:t>
            </w:r>
          </w:p>
        </w:tc>
        <w:tc>
          <w:tcPr>
            <w:tcW w:type="dxa" w:w="1008"/>
            <w:shd w:fill="F9FBE7"/>
            <w:tcMar>
              <w:top w:w="50" w:type="dxa"/>
              <w:bottom w:w="50" w:type="dxa"/>
              <w:left w:w="70" w:type="dxa"/>
              <w:right w:w="70" w:type="dxa"/>
            </w:tcMar>
          </w:tcPr>
          <w:p>
            <w:pPr>
              <w:spacing w:after="0" w:line="252" w:lineRule="auto"/>
            </w:pPr>
            <w:r>
              <w:rPr>
                <w:rFonts w:ascii="Calibri" w:hAnsi="Calibri"/>
                <w:sz w:val="16"/>
              </w:rPr>
              <w:t>5.49%</w:t>
            </w:r>
          </w:p>
        </w:tc>
        <w:tc>
          <w:tcPr>
            <w:tcW w:type="dxa" w:w="1008"/>
            <w:shd w:fill="F9FBE7"/>
            <w:tcMar>
              <w:top w:w="50" w:type="dxa"/>
              <w:bottom w:w="50" w:type="dxa"/>
              <w:left w:w="70" w:type="dxa"/>
              <w:right w:w="70" w:type="dxa"/>
            </w:tcMar>
          </w:tcPr>
          <w:p>
            <w:pPr>
              <w:spacing w:after="0" w:line="252" w:lineRule="auto"/>
            </w:pPr>
            <w:r>
              <w:rPr>
                <w:rFonts w:ascii="Calibri" w:hAnsi="Calibri"/>
                <w:sz w:val="16"/>
              </w:rPr>
              <w:t>0.0516</w:t>
            </w:r>
          </w:p>
        </w:tc>
        <w:tc>
          <w:tcPr>
            <w:tcW w:type="dxa" w:w="1152"/>
            <w:shd w:fill="F9FBE7"/>
            <w:tcMar>
              <w:top w:w="50" w:type="dxa"/>
              <w:bottom w:w="50" w:type="dxa"/>
              <w:left w:w="70" w:type="dxa"/>
              <w:right w:w="70" w:type="dxa"/>
            </w:tcMar>
          </w:tcPr>
          <w:p>
            <w:pPr>
              <w:spacing w:after="0" w:line="252" w:lineRule="auto"/>
            </w:pPr>
            <w:r>
              <w:rPr>
                <w:rFonts w:ascii="Calibri" w:hAnsi="Calibri"/>
                <w:sz w:val="16"/>
              </w:rPr>
              <w:t>±0.1444</w:t>
            </w:r>
          </w:p>
        </w:tc>
        <w:tc>
          <w:tcPr>
            <w:tcW w:type="dxa" w:w="1296"/>
            <w:shd w:fill="F9FBE7"/>
            <w:tcMar>
              <w:top w:w="50" w:type="dxa"/>
              <w:bottom w:w="50" w:type="dxa"/>
              <w:left w:w="70" w:type="dxa"/>
              <w:right w:w="70" w:type="dxa"/>
            </w:tcMar>
          </w:tcPr>
          <w:p>
            <w:pPr>
              <w:spacing w:after="0" w:line="252" w:lineRule="auto"/>
            </w:pPr>
            <w:r>
              <w:rPr>
                <w:rFonts w:ascii="Calibri" w:hAnsi="Calibri"/>
                <w:sz w:val="16"/>
              </w:rPr>
              <w:t>±0.0650 (Suhu)</w:t>
            </w:r>
          </w:p>
        </w:tc>
        <w:tc>
          <w:tcPr>
            <w:tcW w:type="dxa" w:w="1584"/>
            <w:shd w:fill="F9FBE7"/>
            <w:tcMar>
              <w:top w:w="50" w:type="dxa"/>
              <w:bottom w:w="50" w:type="dxa"/>
              <w:left w:w="70" w:type="dxa"/>
              <w:right w:w="70" w:type="dxa"/>
            </w:tcMar>
          </w:tcPr>
          <w:p>
            <w:pPr>
              <w:spacing w:after="0" w:line="252" w:lineRule="auto"/>
            </w:pPr>
            <w:r>
              <w:rPr>
                <w:rFonts w:ascii="Calibri" w:hAnsi="Calibri"/>
                <w:sz w:val="16"/>
              </w:rPr>
              <w:t>Daya Rendah (MDE &gt; Efek)</w:t>
            </w:r>
          </w:p>
        </w:tc>
      </w:tr>
      <w:tr>
        <w:trPr>
          <w:cantSplit/>
        </w:trPr>
        <w:tc>
          <w:tcPr>
            <w:tcW w:type="dxa" w:w="1728"/>
            <w:shd w:fill="FFFFFF"/>
            <w:tcMar>
              <w:top w:w="50" w:type="dxa"/>
              <w:bottom w:w="50" w:type="dxa"/>
              <w:left w:w="70" w:type="dxa"/>
              <w:right w:w="70" w:type="dxa"/>
            </w:tcMar>
          </w:tcPr>
          <w:p>
            <w:pPr>
              <w:spacing w:after="0" w:line="252" w:lineRule="auto"/>
            </w:pPr>
            <w:r>
              <w:rPr>
                <w:rFonts w:ascii="Calibri" w:hAnsi="Calibri"/>
                <w:b/>
                <w:sz w:val="16"/>
              </w:rPr>
              <w:t>Kedelai (DS07)</w:t>
            </w:r>
          </w:p>
        </w:tc>
        <w:tc>
          <w:tcPr>
            <w:tcW w:type="dxa" w:w="1296"/>
            <w:shd w:fill="FFFFFF"/>
            <w:tcMar>
              <w:top w:w="50" w:type="dxa"/>
              <w:bottom w:w="50" w:type="dxa"/>
              <w:left w:w="70" w:type="dxa"/>
              <w:right w:w="70" w:type="dxa"/>
            </w:tcMar>
          </w:tcPr>
          <w:p>
            <w:pPr>
              <w:spacing w:after="0" w:line="252" w:lineRule="auto"/>
            </w:pPr>
            <w:r>
              <w:rPr>
                <w:rFonts w:ascii="Calibri" w:hAnsi="Calibri"/>
                <w:sz w:val="16"/>
              </w:rPr>
              <w:t>2015–2021 (T=7)</w:t>
            </w:r>
          </w:p>
        </w:tc>
        <w:tc>
          <w:tcPr>
            <w:tcW w:type="dxa" w:w="720"/>
            <w:shd w:fill="FFFFFF"/>
            <w:tcMar>
              <w:top w:w="50" w:type="dxa"/>
              <w:bottom w:w="50" w:type="dxa"/>
              <w:left w:w="70" w:type="dxa"/>
              <w:right w:w="70" w:type="dxa"/>
            </w:tcMar>
          </w:tcPr>
          <w:p>
            <w:pPr>
              <w:spacing w:after="0" w:line="252" w:lineRule="auto"/>
            </w:pPr>
            <w:r>
              <w:rPr>
                <w:rFonts w:ascii="Calibri" w:hAnsi="Calibri"/>
                <w:sz w:val="16"/>
              </w:rPr>
              <w:t>108</w:t>
            </w:r>
          </w:p>
        </w:tc>
        <w:tc>
          <w:tcPr>
            <w:tcW w:type="dxa" w:w="1152"/>
            <w:shd w:fill="FFFFFF"/>
            <w:tcMar>
              <w:top w:w="50" w:type="dxa"/>
              <w:bottom w:w="50" w:type="dxa"/>
              <w:left w:w="70" w:type="dxa"/>
              <w:right w:w="70" w:type="dxa"/>
            </w:tcMar>
          </w:tcPr>
          <w:p>
            <w:pPr>
              <w:spacing w:after="0" w:line="252" w:lineRule="auto"/>
            </w:pPr>
            <w:r>
              <w:rPr>
                <w:rFonts w:ascii="Calibri" w:hAnsi="Calibri"/>
                <w:sz w:val="16"/>
              </w:rPr>
              <w:t>17 sentra</w:t>
            </w:r>
          </w:p>
        </w:tc>
        <w:tc>
          <w:tcPr>
            <w:tcW w:type="dxa" w:w="1008"/>
            <w:shd w:fill="FFFFFF"/>
            <w:tcMar>
              <w:top w:w="50" w:type="dxa"/>
              <w:bottom w:w="50" w:type="dxa"/>
              <w:left w:w="70" w:type="dxa"/>
              <w:right w:w="70" w:type="dxa"/>
            </w:tcMar>
          </w:tcPr>
          <w:p>
            <w:pPr>
              <w:spacing w:after="0" w:line="252" w:lineRule="auto"/>
            </w:pPr>
            <w:r>
              <w:rPr>
                <w:rFonts w:ascii="Calibri" w:hAnsi="Calibri"/>
                <w:sz w:val="16"/>
              </w:rPr>
              <w:t>4.82%</w:t>
            </w:r>
          </w:p>
        </w:tc>
        <w:tc>
          <w:tcPr>
            <w:tcW w:type="dxa" w:w="1008"/>
            <w:shd w:fill="FFFFFF"/>
            <w:tcMar>
              <w:top w:w="50" w:type="dxa"/>
              <w:bottom w:w="50" w:type="dxa"/>
              <w:left w:w="70" w:type="dxa"/>
              <w:right w:w="70" w:type="dxa"/>
            </w:tcMar>
          </w:tcPr>
          <w:p>
            <w:pPr>
              <w:spacing w:after="0" w:line="252" w:lineRule="auto"/>
            </w:pPr>
            <w:r>
              <w:rPr>
                <w:rFonts w:ascii="Calibri" w:hAnsi="Calibri"/>
                <w:sz w:val="16"/>
              </w:rPr>
              <w:t>0.0446</w:t>
            </w:r>
          </w:p>
        </w:tc>
        <w:tc>
          <w:tcPr>
            <w:tcW w:type="dxa" w:w="1152"/>
            <w:shd w:fill="FFFFFF"/>
            <w:tcMar>
              <w:top w:w="50" w:type="dxa"/>
              <w:bottom w:w="50" w:type="dxa"/>
              <w:left w:w="70" w:type="dxa"/>
              <w:right w:w="70" w:type="dxa"/>
            </w:tcMar>
          </w:tcPr>
          <w:p>
            <w:pPr>
              <w:spacing w:after="0" w:line="252" w:lineRule="auto"/>
            </w:pPr>
            <w:r>
              <w:rPr>
                <w:rFonts w:ascii="Calibri" w:hAnsi="Calibri"/>
                <w:sz w:val="16"/>
              </w:rPr>
              <w:t>±0.1250</w:t>
            </w:r>
          </w:p>
        </w:tc>
        <w:tc>
          <w:tcPr>
            <w:tcW w:type="dxa" w:w="1296"/>
            <w:shd w:fill="FFFFFF"/>
            <w:tcMar>
              <w:top w:w="50" w:type="dxa"/>
              <w:bottom w:w="50" w:type="dxa"/>
              <w:left w:w="70" w:type="dxa"/>
              <w:right w:w="70" w:type="dxa"/>
            </w:tcMar>
          </w:tcPr>
          <w:p>
            <w:pPr>
              <w:spacing w:after="0" w:line="252" w:lineRule="auto"/>
            </w:pPr>
            <w:r>
              <w:rPr>
                <w:rFonts w:ascii="Calibri" w:hAnsi="Calibri"/>
                <w:sz w:val="16"/>
              </w:rPr>
              <w:t>±0.0650 (Suhu)</w:t>
            </w:r>
          </w:p>
        </w:tc>
        <w:tc>
          <w:tcPr>
            <w:tcW w:type="dxa" w:w="1584"/>
            <w:shd w:fill="FFFFFF"/>
            <w:tcMar>
              <w:top w:w="50" w:type="dxa"/>
              <w:bottom w:w="50" w:type="dxa"/>
              <w:left w:w="70" w:type="dxa"/>
              <w:right w:w="70" w:type="dxa"/>
            </w:tcMar>
          </w:tcPr>
          <w:p>
            <w:pPr>
              <w:spacing w:after="0" w:line="252" w:lineRule="auto"/>
            </w:pPr>
            <w:r>
              <w:rPr>
                <w:rFonts w:ascii="Calibri" w:hAnsi="Calibri"/>
                <w:sz w:val="16"/>
              </w:rPr>
              <w:t>Daya Rendah (MDE &gt; Efek)</w:t>
            </w:r>
          </w:p>
        </w:tc>
      </w:tr>
      <w:tr>
        <w:trPr>
          <w:cantSplit/>
        </w:trPr>
        <w:tc>
          <w:tcPr>
            <w:tcW w:type="dxa" w:w="1728"/>
            <w:shd w:fill="F9FBE7"/>
            <w:tcMar>
              <w:top w:w="50" w:type="dxa"/>
              <w:bottom w:w="50" w:type="dxa"/>
              <w:left w:w="70" w:type="dxa"/>
              <w:right w:w="70" w:type="dxa"/>
            </w:tcMar>
          </w:tcPr>
          <w:p>
            <w:pPr>
              <w:spacing w:after="0" w:line="252" w:lineRule="auto"/>
            </w:pPr>
            <w:r>
              <w:rPr>
                <w:rFonts w:ascii="Calibri" w:hAnsi="Calibri"/>
                <w:b/>
                <w:sz w:val="16"/>
              </w:rPr>
              <w:t>Padi Sawah (DS03)</w:t>
            </w:r>
          </w:p>
        </w:tc>
        <w:tc>
          <w:tcPr>
            <w:tcW w:type="dxa" w:w="1296"/>
            <w:shd w:fill="F9FBE7"/>
            <w:tcMar>
              <w:top w:w="50" w:type="dxa"/>
              <w:bottom w:w="50" w:type="dxa"/>
              <w:left w:w="70" w:type="dxa"/>
              <w:right w:w="70" w:type="dxa"/>
            </w:tcMar>
          </w:tcPr>
          <w:p>
            <w:pPr>
              <w:spacing w:after="0" w:line="252" w:lineRule="auto"/>
            </w:pPr>
            <w:r>
              <w:rPr>
                <w:rFonts w:ascii="Calibri" w:hAnsi="Calibri"/>
                <w:sz w:val="16"/>
              </w:rPr>
              <w:t>2015–2017 (T=3)</w:t>
            </w:r>
          </w:p>
        </w:tc>
        <w:tc>
          <w:tcPr>
            <w:tcW w:type="dxa" w:w="720"/>
            <w:shd w:fill="F9FBE7"/>
            <w:tcMar>
              <w:top w:w="50" w:type="dxa"/>
              <w:bottom w:w="50" w:type="dxa"/>
              <w:left w:w="70" w:type="dxa"/>
              <w:right w:w="70" w:type="dxa"/>
            </w:tcMar>
          </w:tcPr>
          <w:p>
            <w:pPr>
              <w:spacing w:after="0" w:line="252" w:lineRule="auto"/>
            </w:pPr>
            <w:r>
              <w:rPr>
                <w:rFonts w:ascii="Calibri" w:hAnsi="Calibri"/>
                <w:sz w:val="16"/>
              </w:rPr>
              <w:t>54</w:t>
            </w:r>
          </w:p>
        </w:tc>
        <w:tc>
          <w:tcPr>
            <w:tcW w:type="dxa" w:w="1152"/>
            <w:shd w:fill="F9FBE7"/>
            <w:tcMar>
              <w:top w:w="50" w:type="dxa"/>
              <w:bottom w:w="50" w:type="dxa"/>
              <w:left w:w="70" w:type="dxa"/>
              <w:right w:w="70" w:type="dxa"/>
            </w:tcMar>
          </w:tcPr>
          <w:p>
            <w:pPr>
              <w:spacing w:after="0" w:line="252" w:lineRule="auto"/>
            </w:pPr>
            <w:r>
              <w:rPr>
                <w:rFonts w:ascii="Calibri" w:hAnsi="Calibri"/>
                <w:sz w:val="16"/>
              </w:rPr>
              <w:t>18 sentra</w:t>
            </w:r>
          </w:p>
        </w:tc>
        <w:tc>
          <w:tcPr>
            <w:tcW w:type="dxa" w:w="1008"/>
            <w:shd w:fill="F9FBE7"/>
            <w:tcMar>
              <w:top w:w="50" w:type="dxa"/>
              <w:bottom w:w="50" w:type="dxa"/>
              <w:left w:w="70" w:type="dxa"/>
              <w:right w:w="70" w:type="dxa"/>
            </w:tcMar>
          </w:tcPr>
          <w:p>
            <w:pPr>
              <w:spacing w:after="0" w:line="252" w:lineRule="auto"/>
            </w:pPr>
            <w:r>
              <w:rPr>
                <w:rFonts w:ascii="Calibri" w:hAnsi="Calibri"/>
                <w:sz w:val="16"/>
              </w:rPr>
              <w:t>2.14%</w:t>
            </w:r>
          </w:p>
        </w:tc>
        <w:tc>
          <w:tcPr>
            <w:tcW w:type="dxa" w:w="1008"/>
            <w:shd w:fill="F9FBE7"/>
            <w:tcMar>
              <w:top w:w="50" w:type="dxa"/>
              <w:bottom w:w="50" w:type="dxa"/>
              <w:left w:w="70" w:type="dxa"/>
              <w:right w:w="70" w:type="dxa"/>
            </w:tcMar>
          </w:tcPr>
          <w:p>
            <w:pPr>
              <w:spacing w:after="0" w:line="252" w:lineRule="auto"/>
            </w:pPr>
            <w:r>
              <w:rPr>
                <w:rFonts w:ascii="Calibri" w:hAnsi="Calibri"/>
                <w:sz w:val="16"/>
              </w:rPr>
              <w:t>0.0091</w:t>
            </w:r>
          </w:p>
        </w:tc>
        <w:tc>
          <w:tcPr>
            <w:tcW w:type="dxa" w:w="1152"/>
            <w:shd w:fill="F9FBE7"/>
            <w:tcMar>
              <w:top w:w="50" w:type="dxa"/>
              <w:bottom w:w="50" w:type="dxa"/>
              <w:left w:w="70" w:type="dxa"/>
              <w:right w:w="70" w:type="dxa"/>
            </w:tcMar>
          </w:tcPr>
          <w:p>
            <w:pPr>
              <w:spacing w:after="0" w:line="252" w:lineRule="auto"/>
            </w:pPr>
            <w:r>
              <w:rPr>
                <w:rFonts w:ascii="Calibri" w:hAnsi="Calibri"/>
                <w:sz w:val="16"/>
              </w:rPr>
              <w:t>±0.0255</w:t>
            </w:r>
          </w:p>
        </w:tc>
        <w:tc>
          <w:tcPr>
            <w:tcW w:type="dxa" w:w="1296"/>
            <w:shd w:fill="F9FBE7"/>
            <w:tcMar>
              <w:top w:w="50" w:type="dxa"/>
              <w:bottom w:w="50" w:type="dxa"/>
              <w:left w:w="70" w:type="dxa"/>
              <w:right w:w="70" w:type="dxa"/>
            </w:tcMar>
          </w:tcPr>
          <w:p>
            <w:pPr>
              <w:spacing w:after="0" w:line="252" w:lineRule="auto"/>
            </w:pPr>
            <w:r>
              <w:rPr>
                <w:rFonts w:ascii="Calibri" w:hAnsi="Calibri"/>
                <w:sz w:val="16"/>
              </w:rPr>
              <w:t>±0.0650 (Suhu)</w:t>
            </w:r>
          </w:p>
        </w:tc>
        <w:tc>
          <w:tcPr>
            <w:tcW w:type="dxa" w:w="1584"/>
            <w:shd w:fill="F9FBE7"/>
            <w:tcMar>
              <w:top w:w="50" w:type="dxa"/>
              <w:bottom w:w="50" w:type="dxa"/>
              <w:left w:w="70" w:type="dxa"/>
              <w:right w:w="70" w:type="dxa"/>
            </w:tcMar>
          </w:tcPr>
          <w:p>
            <w:pPr>
              <w:spacing w:after="0" w:line="252" w:lineRule="auto"/>
            </w:pPr>
            <w:r>
              <w:rPr>
                <w:rFonts w:ascii="Calibri" w:hAnsi="Calibri"/>
                <w:sz w:val="16"/>
              </w:rPr>
              <w:t>df Depleted (df=33 semu)</w:t>
            </w:r>
          </w:p>
        </w:tc>
      </w:tr>
    </w:tbl>
    <w:p>
      <w:pPr>
        <w:spacing w:after="120"/>
      </w:pPr>
    </w:p>
    <w:p>
      <w:r>
        <w:t>Dekomposisi Varians Two-Way FE Lintas Komoditas:</w:t>
        <w:br/>
        <w:t>• Jagung (DS05): FE Kabupaten = 45.2%, FE Tahun = 12.8%, Residu setelah FE = 42.0%.</w:t>
        <w:br/>
        <w:t>• Kedelai (DS07): FE Kabupaten = 58.4%, FE Tahun = 8.2%, Residu setelah FE = 33.4%.</w:t>
        <w:br/>
        <w:t>Komponen residu setelah FE diberi label jujur sebagai gabungan cuaca lokal, noise acak, dan variasi non-iklim.</w:t>
      </w:r>
    </w:p>
    <w:p>
      <w:pPr>
        <w:spacing w:after="40"/>
      </w:pPr>
    </w:p>
    <w:p>
      <w:r>
        <w:drawing>
          <wp:inline xmlns:a="http://schemas.openxmlformats.org/drawingml/2006/main" xmlns:pic="http://schemas.openxmlformats.org/drawingml/2006/picture">
            <wp:extent cx="5303520" cy="2692996"/>
            <wp:docPr id="19" name="Picture 19"/>
            <wp:cNvGraphicFramePr>
              <a:graphicFrameLocks noChangeAspect="1"/>
            </wp:cNvGraphicFramePr>
            <a:graphic>
              <a:graphicData uri="http://schemas.openxmlformats.org/drawingml/2006/picture">
                <pic:pic>
                  <pic:nvPicPr>
                    <pic:cNvPr id="0" name="fig11_mde_per_panel_final_formula_sigma.png"/>
                    <pic:cNvPicPr/>
                  </pic:nvPicPr>
                  <pic:blipFill>
                    <a:blip r:embed="rId27"/>
                    <a:stretch>
                      <a:fillRect/>
                    </a:stretch>
                  </pic:blipFill>
                  <pic:spPr>
                    <a:xfrm>
                      <a:off x="0" y="0"/>
                      <a:ext cx="5303520" cy="2692996"/>
                    </a:xfrm>
                    <a:prstGeom prst="rect"/>
                  </pic:spPr>
                </pic:pic>
              </a:graphicData>
            </a:graphic>
          </wp:inline>
        </w:drawing>
      </w:r>
    </w:p>
    <w:p>
      <w:pPr>
        <w:spacing w:after="160"/>
      </w:pPr>
      <w:r>
        <w:t>Gambar 5.8: Perbandingan Analytical Minimum Detectable Effect (MDE = 2.8 x SE_boot) Lintas Panel Komoditas Berdasarkan Varians Residual Two-Way FE.</w:t>
      </w:r>
    </w:p>
    <w:p>
      <w:pPr>
        <w:spacing w:after="40"/>
      </w:pPr>
    </w:p>
    <w:p>
      <w:r>
        <w:drawing>
          <wp:inline xmlns:a="http://schemas.openxmlformats.org/drawingml/2006/main" xmlns:pic="http://schemas.openxmlformats.org/drawingml/2006/picture">
            <wp:extent cx="5303520" cy="2162652"/>
            <wp:docPr id="20" name="Picture 20"/>
            <wp:cNvGraphicFramePr>
              <a:graphicFrameLocks noChangeAspect="1"/>
            </wp:cNvGraphicFramePr>
            <a:graphic>
              <a:graphicData uri="http://schemas.openxmlformats.org/drawingml/2006/picture">
                <pic:pic>
                  <pic:nvPicPr>
                    <pic:cNvPr id="0" name="fig12_dekomposisi_varians_per_komoditas.png"/>
                    <pic:cNvPicPr/>
                  </pic:nvPicPr>
                  <pic:blipFill>
                    <a:blip r:embed="rId28"/>
                    <a:stretch>
                      <a:fillRect/>
                    </a:stretch>
                  </pic:blipFill>
                  <pic:spPr>
                    <a:xfrm>
                      <a:off x="0" y="0"/>
                      <a:ext cx="5303520" cy="2162652"/>
                    </a:xfrm>
                    <a:prstGeom prst="rect"/>
                  </pic:spPr>
                </pic:pic>
              </a:graphicData>
            </a:graphic>
          </wp:inline>
        </w:drawing>
      </w:r>
    </w:p>
    <w:p>
      <w:pPr>
        <w:spacing w:after="160"/>
      </w:pPr>
      <w:r>
        <w:t>Gambar 5.9: Dekomposisi Variansi Two-Way Fixed Effects Log Yield Jagung dan Kedelai Jawa Barat.</w:t>
      </w:r>
    </w:p>
    <w:p>
      <w:pPr>
        <w:pStyle w:val="Heading1"/>
        <w:spacing w:before="280" w:after="120"/>
      </w:pPr>
      <w:r>
        <w:t>6. Keputusan Resmi Arsitektur Komoditas (Phase 5)</w:t>
      </w:r>
    </w:p>
    <w:p>
      <w:r>
        <w:t>Berdasarkan 7 kriteria kuantitatif objektif (N valid, panjang deret T, unit spasial Seff, integritas data, MDE analitis, literatur biofisik, dan relevansi ekonomi petani), keputusan resmi klasifikasi arsitektur ditetapkan sebagai berikut: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B5E20"/>
            <w:tcMar>
              <w:top w:w="70" w:type="dxa"/>
              <w:bottom w:w="70" w:type="dxa"/>
              <w:left w:w="90" w:type="dxa"/>
              <w:right w:w="90" w:type="dxa"/>
            </w:tcMar>
          </w:tcPr>
          <w:p>
            <w:pPr>
              <w:spacing w:after="0"/>
            </w:pPr>
            <w:r>
              <w:rPr>
                <w:b/>
                <w:color w:val="FFFFFF"/>
                <w:sz w:val="17"/>
              </w:rPr>
              <w:t>Komoditas</w:t>
            </w:r>
          </w:p>
        </w:tc>
        <w:tc>
          <w:tcPr>
            <w:tcW w:type="dxa" w:w="2160"/>
            <w:shd w:fill="1B5E20"/>
            <w:tcMar>
              <w:top w:w="70" w:type="dxa"/>
              <w:bottom w:w="70" w:type="dxa"/>
              <w:left w:w="90" w:type="dxa"/>
              <w:right w:w="90" w:type="dxa"/>
            </w:tcMar>
          </w:tcPr>
          <w:p>
            <w:pPr>
              <w:spacing w:after="0"/>
            </w:pPr>
            <w:r>
              <w:rPr>
                <w:b/>
                <w:color w:val="FFFFFF"/>
                <w:sz w:val="17"/>
              </w:rPr>
              <w:t>Arsitektur Tier</w:t>
            </w:r>
          </w:p>
        </w:tc>
        <w:tc>
          <w:tcPr>
            <w:tcW w:type="dxa" w:w="2016"/>
            <w:shd w:fill="1B5E20"/>
            <w:tcMar>
              <w:top w:w="70" w:type="dxa"/>
              <w:bottom w:w="70" w:type="dxa"/>
              <w:left w:w="90" w:type="dxa"/>
              <w:right w:w="90" w:type="dxa"/>
            </w:tcMar>
          </w:tcPr>
          <w:p>
            <w:pPr>
              <w:spacing w:after="0"/>
            </w:pPr>
            <w:r>
              <w:rPr>
                <w:b/>
                <w:color w:val="FFFFFF"/>
                <w:sz w:val="17"/>
              </w:rPr>
              <w:t>Periode &amp; Sampel</w:t>
            </w:r>
          </w:p>
        </w:tc>
        <w:tc>
          <w:tcPr>
            <w:tcW w:type="dxa" w:w="3600"/>
            <w:shd w:fill="1B5E20"/>
            <w:tcMar>
              <w:top w:w="70" w:type="dxa"/>
              <w:bottom w:w="70" w:type="dxa"/>
              <w:left w:w="90" w:type="dxa"/>
              <w:right w:w="90" w:type="dxa"/>
            </w:tcMar>
          </w:tcPr>
          <w:p>
            <w:pPr>
              <w:spacing w:after="0"/>
            </w:pPr>
            <w:r>
              <w:rPr>
                <w:b/>
                <w:color w:val="FFFFFF"/>
                <w:sz w:val="17"/>
              </w:rPr>
              <w:t>Rasionalisasi Metodologis &amp; Keputusan Model</w:t>
            </w:r>
          </w:p>
        </w:tc>
      </w:tr>
      <w:tr>
        <w:tc>
          <w:tcPr>
            <w:tcW w:type="dxa" w:w="1728"/>
            <w:shd w:fill="F1F8E9"/>
            <w:tcMar>
              <w:top w:w="50" w:type="dxa"/>
              <w:bottom w:w="50" w:type="dxa"/>
              <w:left w:w="70" w:type="dxa"/>
              <w:right w:w="70" w:type="dxa"/>
            </w:tcMar>
          </w:tcPr>
          <w:p>
            <w:pPr>
              <w:spacing w:after="0"/>
            </w:pPr>
            <w:r>
              <w:rPr>
                <w:b/>
                <w:sz w:val="16"/>
              </w:rPr>
              <w:t>Padi Sawah (DS03)</w:t>
            </w:r>
          </w:p>
        </w:tc>
        <w:tc>
          <w:tcPr>
            <w:tcW w:type="dxa" w:w="2160"/>
            <w:shd w:fill="F1F8E9"/>
            <w:tcMar>
              <w:top w:w="50" w:type="dxa"/>
              <w:bottom w:w="50" w:type="dxa"/>
              <w:left w:w="70" w:type="dxa"/>
              <w:right w:w="70" w:type="dxa"/>
            </w:tcMar>
          </w:tcPr>
          <w:p>
            <w:pPr>
              <w:spacing w:after="0"/>
            </w:pPr>
            <w:r>
              <w:rPr>
                <w:b/>
                <w:color w:val="2E7D32"/>
                <w:sz w:val="16"/>
              </w:rPr>
              <w:t>TIER A — MEKANISTIK SAJA (No Panel Regression)</w:t>
            </w:r>
          </w:p>
        </w:tc>
        <w:tc>
          <w:tcPr>
            <w:tcW w:type="dxa" w:w="2016"/>
            <w:shd w:fill="F1F8E9"/>
            <w:tcMar>
              <w:top w:w="50" w:type="dxa"/>
              <w:bottom w:w="50" w:type="dxa"/>
              <w:left w:w="70" w:type="dxa"/>
              <w:right w:w="70" w:type="dxa"/>
            </w:tcMar>
          </w:tcPr>
          <w:p>
            <w:pPr>
              <w:spacing w:after="0"/>
            </w:pPr>
            <w:r>
              <w:rPr>
                <w:sz w:val="16"/>
              </w:rPr>
              <w:t>T=3 (2015–2017)</w:t>
              <w:br/>
              <w:t>N=54 observasi</w:t>
            </w:r>
          </w:p>
        </w:tc>
        <w:tc>
          <w:tcPr>
            <w:tcW w:type="dxa" w:w="3600"/>
            <w:shd w:fill="F1F8E9"/>
            <w:tcMar>
              <w:top w:w="50" w:type="dxa"/>
              <w:bottom w:w="50" w:type="dxa"/>
              <w:left w:w="70" w:type="dxa"/>
              <w:right w:w="70" w:type="dxa"/>
            </w:tcMar>
          </w:tcPr>
          <w:p>
            <w:pPr>
              <w:spacing w:after="0"/>
            </w:pPr>
            <w:r>
              <w:rPr>
                <w:sz w:val="16"/>
              </w:rPr>
              <w:t>Periode 2018-2020 UNVERIFIED; 2019 terdistorsi artefak administratif serentak (sawah +23%, ladang +55%), penyebab belum diketahui. Panel T=3 menyerap variasi dalam-kabupaten (Within-CV=2.14%). df=33 sempit. Advisory dibangun murni di atas Model Mekanistik Biofisik (Crop Calendar + GDD + Evapotranspirasi ET0).</w:t>
            </w:r>
          </w:p>
        </w:tc>
      </w:tr>
      <w:tr>
        <w:tc>
          <w:tcPr>
            <w:tcW w:type="dxa" w:w="1728"/>
            <w:shd w:fill="FFFFFF"/>
            <w:tcMar>
              <w:top w:w="50" w:type="dxa"/>
              <w:bottom w:w="50" w:type="dxa"/>
              <w:left w:w="70" w:type="dxa"/>
              <w:right w:w="70" w:type="dxa"/>
            </w:tcMar>
          </w:tcPr>
          <w:p>
            <w:pPr>
              <w:spacing w:after="0"/>
            </w:pPr>
            <w:r>
              <w:rPr>
                <w:b/>
                <w:sz w:val="16"/>
              </w:rPr>
              <w:t>Jagung (DS05)</w:t>
            </w:r>
          </w:p>
        </w:tc>
        <w:tc>
          <w:tcPr>
            <w:tcW w:type="dxa" w:w="2160"/>
            <w:shd w:fill="FFFFFF"/>
            <w:tcMar>
              <w:top w:w="50" w:type="dxa"/>
              <w:bottom w:w="50" w:type="dxa"/>
              <w:left w:w="70" w:type="dxa"/>
              <w:right w:w="70" w:type="dxa"/>
            </w:tcMar>
          </w:tcPr>
          <w:p>
            <w:pPr>
              <w:spacing w:after="0"/>
            </w:pPr>
            <w:r>
              <w:rPr>
                <w:b/>
                <w:color w:val="2E7D32"/>
                <w:sz w:val="16"/>
              </w:rPr>
              <w:t>TIER A — EMPIRICAL PANEL (Sensitivity) + MEKANISTIK</w:t>
            </w:r>
          </w:p>
        </w:tc>
        <w:tc>
          <w:tcPr>
            <w:tcW w:type="dxa" w:w="2016"/>
            <w:shd w:fill="FFFFFF"/>
            <w:tcMar>
              <w:top w:w="50" w:type="dxa"/>
              <w:bottom w:w="50" w:type="dxa"/>
              <w:left w:w="70" w:type="dxa"/>
              <w:right w:w="70" w:type="dxa"/>
            </w:tcMar>
          </w:tcPr>
          <w:p>
            <w:pPr>
              <w:spacing w:after="0"/>
            </w:pPr>
            <w:r>
              <w:rPr>
                <w:sz w:val="16"/>
              </w:rPr>
              <w:t>T=7 (2015–2021)</w:t>
              <w:br/>
              <w:t>18 Sentra, N=124 obs</w:t>
            </w:r>
          </w:p>
        </w:tc>
        <w:tc>
          <w:tcPr>
            <w:tcW w:type="dxa" w:w="3600"/>
            <w:shd w:fill="FFFFFF"/>
            <w:tcMar>
              <w:top w:w="50" w:type="dxa"/>
              <w:bottom w:w="50" w:type="dxa"/>
              <w:left w:w="70" w:type="dxa"/>
              <w:right w:w="70" w:type="dxa"/>
            </w:tcMar>
          </w:tcPr>
          <w:p>
            <w:pPr>
              <w:spacing w:after="0"/>
            </w:pPr>
            <w:r>
              <w:rPr>
                <w:sz w:val="16"/>
              </w:rPr>
              <w:t>Tahun 2022 dieksklusikan (imputasi seragam 75.70 ku/ha). Panel 2015-2021 terdaftar ex-ante (dengan pengujian outlier eksplisit). MDE (2.8 x SE) = +-0.1444. Status: Evidence Insufficient (Webb CI melintasi nol). Digunakan untuk uji sensitivitas iklim makro dan kalender tanam.</w:t>
            </w:r>
          </w:p>
        </w:tc>
      </w:tr>
      <w:tr>
        <w:tc>
          <w:tcPr>
            <w:tcW w:type="dxa" w:w="1728"/>
            <w:shd w:fill="F1F8E9"/>
            <w:tcMar>
              <w:top w:w="50" w:type="dxa"/>
              <w:bottom w:w="50" w:type="dxa"/>
              <w:left w:w="70" w:type="dxa"/>
              <w:right w:w="70" w:type="dxa"/>
            </w:tcMar>
          </w:tcPr>
          <w:p>
            <w:pPr>
              <w:spacing w:after="0"/>
            </w:pPr>
            <w:r>
              <w:rPr>
                <w:b/>
                <w:sz w:val="16"/>
              </w:rPr>
              <w:t>Kedelai (DS07)</w:t>
            </w:r>
          </w:p>
        </w:tc>
        <w:tc>
          <w:tcPr>
            <w:tcW w:type="dxa" w:w="2160"/>
            <w:shd w:fill="F1F8E9"/>
            <w:tcMar>
              <w:top w:w="50" w:type="dxa"/>
              <w:bottom w:w="50" w:type="dxa"/>
              <w:left w:w="70" w:type="dxa"/>
              <w:right w:w="70" w:type="dxa"/>
            </w:tcMar>
          </w:tcPr>
          <w:p>
            <w:pPr>
              <w:spacing w:after="0"/>
            </w:pPr>
            <w:r>
              <w:rPr>
                <w:b/>
                <w:color w:val="2E7D32"/>
                <w:sz w:val="16"/>
              </w:rPr>
              <w:t>TIER A — PANEL SECONDARY BENCHMARK + MEKANISTIK</w:t>
            </w:r>
          </w:p>
        </w:tc>
        <w:tc>
          <w:tcPr>
            <w:tcW w:type="dxa" w:w="2016"/>
            <w:shd w:fill="F1F8E9"/>
            <w:tcMar>
              <w:top w:w="50" w:type="dxa"/>
              <w:bottom w:w="50" w:type="dxa"/>
              <w:left w:w="70" w:type="dxa"/>
              <w:right w:w="70" w:type="dxa"/>
            </w:tcMar>
          </w:tcPr>
          <w:p>
            <w:pPr>
              <w:spacing w:after="0"/>
            </w:pPr>
            <w:r>
              <w:rPr>
                <w:sz w:val="16"/>
              </w:rPr>
              <w:t>T=7 (2015–2021)</w:t>
              <w:br/>
              <w:t>17 Sentra, N=108 obs</w:t>
            </w:r>
          </w:p>
        </w:tc>
        <w:tc>
          <w:tcPr>
            <w:tcW w:type="dxa" w:w="3600"/>
            <w:shd w:fill="F1F8E9"/>
            <w:tcMar>
              <w:top w:w="50" w:type="dxa"/>
              <w:bottom w:w="50" w:type="dxa"/>
              <w:left w:w="70" w:type="dxa"/>
              <w:right w:w="70" w:type="dxa"/>
            </w:tcMar>
          </w:tcPr>
          <w:p>
            <w:pPr>
              <w:spacing w:after="0"/>
            </w:pPr>
            <w:r>
              <w:rPr>
                <w:sz w:val="16"/>
              </w:rPr>
              <w:t>Kriteria ex-ante N&gt;=6 tahun menyaring 17 sentra aktif. Tahun 2022 dieksklusikan (SD runtuh ke 0.19 ku/ha). MDE (2.8 x SE) = +-0.1250. Berfungsi sebagai pembanding sekunder legum.</w:t>
            </w:r>
          </w:p>
        </w:tc>
      </w:tr>
      <w:tr>
        <w:tc>
          <w:tcPr>
            <w:tcW w:type="dxa" w:w="1728"/>
            <w:shd w:fill="FFFFFF"/>
            <w:tcMar>
              <w:top w:w="50" w:type="dxa"/>
              <w:bottom w:w="50" w:type="dxa"/>
              <w:left w:w="70" w:type="dxa"/>
              <w:right w:w="70" w:type="dxa"/>
            </w:tcMar>
          </w:tcPr>
          <w:p>
            <w:pPr>
              <w:spacing w:after="0"/>
            </w:pPr>
            <w:r>
              <w:rPr>
                <w:b/>
                <w:sz w:val="16"/>
              </w:rPr>
              <w:t>Cabai &amp; Sayuran (DS06)</w:t>
            </w:r>
          </w:p>
        </w:tc>
        <w:tc>
          <w:tcPr>
            <w:tcW w:type="dxa" w:w="2160"/>
            <w:shd w:fill="FFFFFF"/>
            <w:tcMar>
              <w:top w:w="50" w:type="dxa"/>
              <w:bottom w:w="50" w:type="dxa"/>
              <w:left w:w="70" w:type="dxa"/>
              <w:right w:w="70" w:type="dxa"/>
            </w:tcMar>
          </w:tcPr>
          <w:p>
            <w:pPr>
              <w:spacing w:after="0"/>
            </w:pPr>
            <w:r>
              <w:rPr>
                <w:b/>
                <w:color w:val="2E7D32"/>
                <w:sz w:val="16"/>
              </w:rPr>
              <w:t>TIER B — RULE-BASED ADVISORY ONLY (No Yield Reg)</w:t>
            </w:r>
          </w:p>
        </w:tc>
        <w:tc>
          <w:tcPr>
            <w:tcW w:type="dxa" w:w="2016"/>
            <w:shd w:fill="FFFFFF"/>
            <w:tcMar>
              <w:top w:w="50" w:type="dxa"/>
              <w:bottom w:w="50" w:type="dxa"/>
              <w:left w:w="70" w:type="dxa"/>
              <w:right w:w="70" w:type="dxa"/>
            </w:tcMar>
          </w:tcPr>
          <w:p>
            <w:pPr>
              <w:spacing w:after="0"/>
            </w:pPr>
            <w:r>
              <w:rPr>
                <w:sz w:val="16"/>
              </w:rPr>
              <w:t>Provinsi (2017–2024)</w:t>
              <w:br/>
              <w:t>N=16 observasi</w:t>
            </w:r>
          </w:p>
        </w:tc>
        <w:tc>
          <w:tcPr>
            <w:tcW w:type="dxa" w:w="3600"/>
            <w:shd w:fill="FFFFFF"/>
            <w:tcMar>
              <w:top w:w="50" w:type="dxa"/>
              <w:bottom w:w="50" w:type="dxa"/>
              <w:left w:w="70" w:type="dxa"/>
              <w:right w:w="70" w:type="dxa"/>
            </w:tcMar>
          </w:tcPr>
          <w:p>
            <w:pPr>
              <w:spacing w:after="0"/>
            </w:pPr>
            <w:r>
              <w:rPr>
                <w:sz w:val="16"/>
              </w:rPr>
              <w:t>Zero temporal overlap kabupaten vs cuaca. Bebas label OPT. CV provinsi datar (~4-6%). Monitoring difokuskan pada mikroklimat kebasahan daun malam (persentil P10 depresiasi embun &amp; proksi fajar RH 06h) untuk sistem peringatan dini jamur (IFWC).</w:t>
            </w:r>
          </w:p>
        </w:tc>
      </w:tr>
    </w:tbl>
    <w:p>
      <w:pPr>
        <w:spacing w:after="160"/>
      </w:pPr>
    </w:p>
    <w:p>
      <w:pPr>
        <w:pStyle w:val="Heading1"/>
        <w:spacing w:before="280" w:after="120"/>
      </w:pPr>
      <w:r>
        <w:t>7. Batas Eksternal Data &amp; Unresolved Blockers Log</w:t>
      </w:r>
    </w:p>
    <w:p>
      <w:r>
        <w:t>Sesuai standar kejujuran ilmiah, batasan eksternal data dicatat sebagai batas institusional yang tidak dapat dikarang:</w:t>
        <w:br/>
        <w:t>1. Ketiadaan Data BPS KSA Padi Kabupaten/Kota 2018–2020: BPS hanya merilis publikasi agregat provinsi secara terbuka. Rincian tabel per kabupaten/kota tidak dipublikasikan secara terbuka. Data tetap berstatus UNVERIFIED dan tidak diinterpolasi.</w:t>
        <w:br/>
        <w:t>2. Ketiadaan Data ERDDAP CHIRPS Non-Benchmark: Server NOAA ERDDAP mengembalikan 0 baris data untuk tahun 2015, 2017–2019, dan 2021–2023. Data tidak dikarang dan dilaporkan BLOCKED secara transparan.</w:t>
        <w:br/>
        <w:t>3. Ketiadaan Data Spasial Sayuran Pasca-2014: Portal satu data tidak mempublikasikan rincian kabupaten pasca-2014, sehingga hortikultura secara sah dikunci di Tier B.</w:t>
      </w:r>
    </w:p>
    <w:p>
      <w:pPr>
        <w:pStyle w:val="Heading1"/>
        <w:spacing w:before="280" w:after="120"/>
      </w:pPr>
      <w:r>
        <w:t>8. Katalog &amp; Manifest Berkas Repositori</w:t>
      </w:r>
    </w:p>
    <w:p>
      <w:r>
        <w:t>Seluruh berkas riset, metadata, figur, dan notebook tersimpan secara terstruktur di dalam repositori:</w:t>
        <w:br/>
        <w:t>• Laporan Penutupan Audit: reports/audit_closure_report.md</w:t>
        <w:br/>
        <w:t>• Dokumen Keputusan Komoditas: docs/crop_outcome_decision.md</w:t>
        <w:br/>
        <w:t>• Log Git &amp; Hash Provenance: reports/logs/git_history.md</w:t>
        <w:br/>
        <w:t>• Tabel Lookup Spasial: data/processed/lookup_kab_cell_elev.csv</w:t>
        <w:br/>
        <w:t>• Katalog Figur: reports/figures/INDEX.md dan reports/figures/figure_manifest.csv (51 file PNG 200 DPI)</w:t>
        <w:br/>
        <w:t>• Ringkasan Hasil JSON: direktori reports/results/ (10 berkas JSON hasil olah kode)</w:t>
        <w:br/>
        <w:t>• 10 Notebook Modular: direktori notebook/ (01_AgERA5.ipynb s.d. 10_phase6_exploratory_data_analysis.ipynb)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i/>
      <w:color w:val="464646"/>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