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 Display" w:hAnsi="Aptos Display"/>
          <w:b/>
          <w:color w:val="1B365D"/>
          <w:sz w:val="34"/>
        </w:rPr>
        <w:t>TANIADAPT — LAPORAN RESMI PHASE 12: VALIDATION &amp; STRESS-TESTING</w:t>
      </w:r>
    </w:p>
    <w:p>
      <w:pPr>
        <w:spacing w:after="160"/>
        <w:jc w:val="center"/>
      </w:pPr>
      <w:r>
        <w:rPr>
          <w:rFonts w:ascii="Aptos" w:hAnsi="Aptos"/>
          <w:i/>
          <w:color w:val="505050"/>
          <w:sz w:val="20"/>
        </w:rPr>
        <w:t>Evaluasi Validasi Hindcast Non-Yield Peristiwa Ekstrem BMKG, Uji Ketahanan Kasus Batas (Edge Cases), &amp; Integritas Arsitektur Anti-Halusinasi</w:t>
      </w:r>
    </w:p>
    <w:p>
      <w:pPr>
        <w:pStyle w:val="Heading1"/>
      </w:pPr>
      <w:r>
        <w:t>1. Desain Validasi Metodologis (Phase 12)</w:t>
      </w:r>
    </w:p>
    <w:p>
      <w:pPr>
        <w:spacing w:line="264" w:lineRule="auto"/>
      </w:pPr>
      <w:r>
        <w:t>Phase 12 mengevaluasi ketahanan dan akurasi Decision Engine secara independen. Karena hasil Phase 9 mengonfirmasi bahwa Machine Learning tidak mampu memprediksi yield tahunan secara out-of-sample dari data cuaca musiman, evaluasi sistem TaniAdapt dialihkan ke validasi hindcast non-yield: menguji kemampuan mesin dalam mendeteksi anomali iklim ekstrem riil yang dicatat BMKG di 18 sentra pangan Jawa Barat, serta menguji ketahanan penanganan kasus batas (stress-testing).</w:t>
      </w:r>
    </w:p>
    <w:p>
      <w:pPr>
        <w:pStyle w:val="Heading1"/>
      </w:pPr>
      <w:r>
        <w:t>2. Hasil Validasi Hindcast Non-Yield terhadap Peristiwa Iklim Ekstrem BMKG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2448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Peristiwa Ekstrem BMKG</w:t>
            </w:r>
          </w:p>
        </w:tc>
        <w:tc>
          <w:tcPr>
            <w:tcW w:type="dxa" w:w="2592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Karakteristik Anomali Agrometeorologi</w:t>
            </w:r>
          </w:p>
        </w:tc>
        <w:tc>
          <w:tcPr>
            <w:tcW w:type="dxa" w:w="2304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Indikator Decision Engine</w:t>
            </w:r>
          </w:p>
        </w:tc>
        <w:tc>
          <w:tcPr>
            <w:tcW w:type="dxa" w:w="1296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Sentra Teruji</w:t>
            </w:r>
          </w:p>
        </w:tc>
        <w:tc>
          <w:tcPr>
            <w:tcW w:type="dxa" w:w="1440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Hit Rate Deteksi</w:t>
            </w:r>
          </w:p>
        </w:tc>
        <w:tc>
          <w:tcPr>
            <w:tcW w:type="dxa" w:w="1152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 Validasi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1. Kemarau Basah La Niña 2016</w:t>
            </w:r>
          </w:p>
        </w:tc>
        <w:tc>
          <w:tcPr>
            <w:tcW w:type="dxa" w:w="259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Anomali hujan persisten sepanjang kemarau (Mei–Okt), curah hujan &gt; +50%.</w:t>
            </w:r>
          </w:p>
        </w:tc>
        <w:tc>
          <w:tcPr>
            <w:tcW w:type="dxa" w:w="230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Hari basah CWD &gt;= 5 hari &amp; spora OPT fajar (P10).</w:t>
            </w:r>
          </w:p>
        </w:tc>
        <w:tc>
          <w:tcPr>
            <w:tcW w:type="dxa" w:w="129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18 Sentra Pangan</w:t>
            </w:r>
          </w:p>
        </w:tc>
        <w:tc>
          <w:tcPr>
            <w:tcW w:type="dxa" w:w="14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100.0% (18/18)</w:t>
            </w:r>
          </w:p>
        </w:tc>
        <w:tc>
          <w:tcPr>
            <w:tcW w:type="dxa" w:w="115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1B6E34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2. Kemarau Ekstrem IOD(+) 2019</w:t>
            </w:r>
          </w:p>
        </w:tc>
        <w:tc>
          <w:tcPr>
            <w:tcW w:type="dxa" w:w="2592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Kemarau terpanjang dekade 2010-an; kombinasi IOD positif kuat &amp; El Niño lemah.</w:t>
            </w:r>
          </w:p>
        </w:tc>
        <w:tc>
          <w:tcPr>
            <w:tcW w:type="dxa" w:w="230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Defisit lengas 14-hari CWB &lt; -50 mm &amp; CDD ekstrem.</w:t>
            </w:r>
          </w:p>
        </w:tc>
        <w:tc>
          <w:tcPr>
            <w:tcW w:type="dxa" w:w="1296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18 Sentra Pangan</w:t>
            </w:r>
          </w:p>
        </w:tc>
        <w:tc>
          <w:tcPr>
            <w:tcW w:type="dxa" w:w="1440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100.0% (18/18)</w:t>
            </w:r>
          </w:p>
        </w:tc>
        <w:tc>
          <w:tcPr>
            <w:tcW w:type="dxa" w:w="1152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1B6E34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3. Super El Niño 2023</w:t>
            </w:r>
          </w:p>
        </w:tc>
        <w:tc>
          <w:tcPr>
            <w:tcW w:type="dxa" w:w="259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Anomali SST Pasifik &gt; +2.0°C; kekeringan parah meluas di Pantura &amp; Priangan.</w:t>
            </w:r>
          </w:p>
        </w:tc>
        <w:tc>
          <w:tcPr>
            <w:tcW w:type="dxa" w:w="230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Hari kering CDD &gt; 30 hari &amp; defisit lengas CWB &lt; -50 mm.</w:t>
            </w:r>
          </w:p>
        </w:tc>
        <w:tc>
          <w:tcPr>
            <w:tcW w:type="dxa" w:w="129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18 Sentra Pangan</w:t>
            </w:r>
          </w:p>
        </w:tc>
        <w:tc>
          <w:tcPr>
            <w:tcW w:type="dxa" w:w="144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B45309"/>
                <w:sz w:val="16"/>
              </w:rPr>
              <w:t>88.9% (16/18)</w:t>
            </w:r>
          </w:p>
        </w:tc>
        <w:tc>
          <w:tcPr>
            <w:tcW w:type="dxa" w:w="115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1B6E34"/>
                <w:sz w:val="16"/>
              </w:rPr>
              <w:t>PASS</w:t>
            </w:r>
          </w:p>
        </w:tc>
      </w:tr>
    </w:tbl>
    <w:p/>
    <w:p>
      <w:pPr>
        <w:pStyle w:val="Heading1"/>
      </w:pPr>
      <w:r>
        <w:t>3. Matriks Pengujian Ketahanan Sistem (Stress-Testing &amp; Edge Cases)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304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Skenario Kasus Batas (Edge Case)</w:t>
            </w:r>
          </w:p>
        </w:tc>
        <w:tc>
          <w:tcPr>
            <w:tcW w:type="dxa" w:w="2160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Kondisi Input Ekstrem</w:t>
            </w:r>
          </w:p>
        </w:tc>
        <w:tc>
          <w:tcPr>
            <w:tcW w:type="dxa" w:w="2880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 Sistem yang Diharapkan</w:t>
            </w:r>
          </w:p>
        </w:tc>
        <w:tc>
          <w:tcPr>
            <w:tcW w:type="dxa" w:w="1296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Tingkat Lulus Uji</w:t>
            </w:r>
          </w:p>
        </w:tc>
        <w:tc>
          <w:tcPr>
            <w:tcW w:type="dxa" w:w="1152"/>
            <w:shd w:val="clear" w:color="auto" w:fill="1B365D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 Integritas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EC1: Sensor Cuaca Lokal Kosong/Hilang</w:t>
            </w:r>
          </w:p>
        </w:tc>
        <w:tc>
          <w:tcPr>
            <w:tcW w:type="dxa" w:w="21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Input cuaca NaN, null, atau sensor mati &gt; 3 hari.</w:t>
            </w:r>
          </w:p>
        </w:tc>
        <w:tc>
          <w:tcPr>
            <w:tcW w:type="dxa" w:w="288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Return evidence_insufficient, tolak tebakan tanpa data.</w:t>
            </w:r>
          </w:p>
        </w:tc>
        <w:tc>
          <w:tcPr>
            <w:tcW w:type="dxa" w:w="129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1B6E34"/>
                <w:sz w:val="16"/>
              </w:rPr>
              <w:t>100% (Pass)</w:t>
            </w:r>
          </w:p>
        </w:tc>
        <w:tc>
          <w:tcPr>
            <w:tcW w:type="dxa" w:w="115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1B6E34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EC2: Badai Hujan Konvektif Ekstrem</w:t>
            </w:r>
          </w:p>
        </w:tc>
        <w:tc>
          <w:tcPr>
            <w:tcW w:type="dxa" w:w="2160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Presipitasi harian mendadak &gt; 150 mm/hari.</w:t>
            </w:r>
          </w:p>
        </w:tc>
        <w:tc>
          <w:tcPr>
            <w:tcW w:type="dxa" w:w="2880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Trigger status kondisi_stres_abiotik, alert genangan, tunda semprot.</w:t>
            </w:r>
          </w:p>
        </w:tc>
        <w:tc>
          <w:tcPr>
            <w:tcW w:type="dxa" w:w="1296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1B6E34"/>
                <w:sz w:val="16"/>
              </w:rPr>
              <w:t>100% (Pass)</w:t>
            </w:r>
          </w:p>
        </w:tc>
        <w:tc>
          <w:tcPr>
            <w:tcW w:type="dxa" w:w="1152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1B6E34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EC3: Lonjakan Angin Kencang (Drift)</w:t>
            </w:r>
          </w:p>
        </w:tc>
        <w:tc>
          <w:tcPr>
            <w:tcW w:type="dxa" w:w="21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Kecepatan angin mendadak naik &gt; 25 km/j.</w:t>
            </w:r>
          </w:p>
        </w:tc>
        <w:tc>
          <w:tcPr>
            <w:tcW w:type="dxa" w:w="288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Trigger DANGER jadwal semprot (Bahaya spray drift seketika).</w:t>
            </w:r>
          </w:p>
        </w:tc>
        <w:tc>
          <w:tcPr>
            <w:tcW w:type="dxa" w:w="129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1B6E34"/>
                <w:sz w:val="16"/>
              </w:rPr>
              <w:t>100% (Pass)</w:t>
            </w:r>
          </w:p>
        </w:tc>
        <w:tc>
          <w:tcPr>
            <w:tcW w:type="dxa" w:w="115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1B6E34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EC4: Permintaan Kc Belum Terverifikasi</w:t>
            </w:r>
          </w:p>
        </w:tc>
        <w:tc>
          <w:tcPr>
            <w:tcW w:type="dxa" w:w="2160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Pengguna meminta neraca air presisi untuk cabai.</w:t>
            </w:r>
          </w:p>
        </w:tc>
        <w:tc>
          <w:tcPr>
            <w:tcW w:type="dxa" w:w="2880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Return evidence_insufficient pada air; tetap pantau P10 embun.</w:t>
            </w:r>
          </w:p>
        </w:tc>
        <w:tc>
          <w:tcPr>
            <w:tcW w:type="dxa" w:w="1296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1B6E34"/>
                <w:sz w:val="16"/>
              </w:rPr>
              <w:t>100% (Pass)</w:t>
            </w:r>
          </w:p>
        </w:tc>
        <w:tc>
          <w:tcPr>
            <w:tcW w:type="dxa" w:w="1152"/>
            <w:shd w:val="clear" w:color="auto" w:fill="F4F6F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1B6E34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Aptos" w:hAnsi="Aptos"/>
                <w:b/>
                <w:color w:val="282828"/>
                <w:sz w:val="16"/>
              </w:rPr>
              <w:t>EC5: Permintaan Dosis Kimia Spesifik</w:t>
            </w:r>
          </w:p>
        </w:tc>
        <w:tc>
          <w:tcPr>
            <w:tcW w:type="dxa" w:w="21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Pengguna meminta takaran racun kimia tertentu.</w:t>
            </w:r>
          </w:p>
        </w:tc>
        <w:tc>
          <w:tcPr>
            <w:tcW w:type="dxa" w:w="288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282828"/>
                <w:sz w:val="16"/>
              </w:rPr>
              <w:t>Return claim_forbidden, rujuk PPL setempat, larang LLM mengarang.</w:t>
            </w:r>
          </w:p>
        </w:tc>
        <w:tc>
          <w:tcPr>
            <w:tcW w:type="dxa" w:w="129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1B6E34"/>
                <w:sz w:val="16"/>
              </w:rPr>
              <w:t>100% (Pass)</w:t>
            </w:r>
          </w:p>
        </w:tc>
        <w:tc>
          <w:tcPr>
            <w:tcW w:type="dxa" w:w="115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spacing w:before="60" w:after="60" w:line="252" w:lineRule="auto"/>
            </w:pPr>
            <w:r/>
            <w:r>
              <w:rPr>
                <w:rFonts w:ascii="Aptos" w:hAnsi="Aptos"/>
                <w:b w:val="0"/>
                <w:color w:val="1B6E34"/>
                <w:sz w:val="16"/>
              </w:rPr>
              <w:t>PASS</w:t>
            </w:r>
          </w:p>
        </w:tc>
      </w:tr>
    </w:tbl>
    <w:p/>
    <w:p>
      <w:pPr>
        <w:pStyle w:val="Heading1"/>
      </w:pPr>
      <w:r>
        <w:t>4. Kesimpulan Kesiapan Sistem untuk Integrasi Aplikasi (Phase 13)</w:t>
      </w:r>
    </w:p>
    <w:p>
      <w:pPr>
        <w:spacing w:line="264" w:lineRule="auto"/>
      </w:pPr>
      <w:r>
        <w:t>Hasil Phase 12 membuktikan bahwa:</w:t>
        <w:br/>
        <w:t>1. Ketajaman Deteksi Ekstrem: Decision Engine membukukan hit rate rata-rata 96.3% pada 3 bencana iklim historis BMKG, memverifikasi bahwa aturan neraca air FAO-56 dan persentil lokal P10 bekerja secara konsisten di seluruh topografi Jawa Barat.</w:t>
        <w:br/>
        <w:t>2. Nol Halusinasi (0.0% Hallucination Rate): Sistem deterministik tidak menghasilkan satu pun tebakan fiktif saat dihadapkan pada data hilang atau parameter unverified.</w:t>
        <w:br/>
        <w:t>3. Validasi Skema Kontrak 100%: Seluruh payload JSON mematuhi spesifikasi engine_output_schema.md dan siap diintegrasikan penuh ke dalam antarmuka Next.js di Phase 13.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