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Display" w:hAnsi="Aptos Display"/>
          <w:b/>
          <w:color w:val="1B365D"/>
          <w:sz w:val="34"/>
        </w:rPr>
        <w:t>TANIADAPT — RESEARCH PROGRESS &amp; AUDIT REPORT</w:t>
      </w:r>
    </w:p>
    <w:p>
      <w:pPr>
        <w:spacing w:before="0" w:after="160"/>
        <w:jc w:val="center"/>
      </w:pPr>
      <w:r>
        <w:rPr>
          <w:rFonts w:ascii="Aptos" w:hAnsi="Aptos"/>
          <w:i/>
          <w:color w:val="505050"/>
          <w:sz w:val="20"/>
        </w:rPr>
        <w:t>Evidence-Based Agricultural Decision Support System for West Java Smallholders</w:t>
        <w:br/>
        <w:t>Comprehensive Research Progress Dossier &amp; Claude Instruction Audit Response</w:t>
      </w:r>
    </w:p>
    <w:tbl>
      <w:tblPr>
        <w:tblW w:type="auto" w:w="0"/>
        <w:jc w:val="center"/>
        <w:tblLook w:firstColumn="1" w:firstRow="1" w:lastColumn="0" w:lastRow="0" w:noHBand="0" w:noVBand="1" w:val="04A0"/>
      </w:tblPr>
      <w:tblGrid>
        <w:gridCol w:w="10224"/>
      </w:tblGrid>
      <w:tr>
        <w:tc>
          <w:tcPr>
            <w:tcW w:type="dxa" w:w="10080"/>
            <w:shd w:val="clear" w:color="auto" w:fill="F4F6F9"/>
            <w:tcBorders>
              <w:left w:val="single" w:sz="24" w:space="0" w:color="1B365D"/>
              <w:top w:val="none"/>
              <w:bottom w:val="none"/>
              <w:right w:val="none"/>
              <w:insideH w:val="none"/>
              <w:insideV w:val="none"/>
            </w:tcBorders>
          </w:tcPr>
          <w:p>
            <w:pPr>
              <w:spacing w:before="80" w:after="40"/>
            </w:pPr>
            <w:r>
              <w:rPr>
                <w:rFonts w:ascii="Aptos" w:hAnsi="Aptos"/>
                <w:b/>
                <w:color w:val="1B365D"/>
                <w:sz w:val="19"/>
              </w:rPr>
              <w:t>📌 CORE ARCHITECTURAL PRINCIPLE &amp; METHODOLOGICAL CONTRACT</w:t>
              <w:br/>
            </w:r>
            <w:r>
              <w:rPr>
                <w:rFonts w:ascii="Aptos" w:hAnsi="Aptos"/>
                <w:color w:val="323232"/>
                <w:sz w:val="17"/>
              </w:rPr>
              <w:t>Pipeline: Evidence → Finding → Agronomic Interpretation → Model → Decision Logic → Action → LLM Explanation.</w:t>
              <w:br/>
              <w:t>Strict Safeguards: Dilarang membuat ambang/threshold sendiri; dilarang menggunakan kata 'membuktikan'; Decision Engine didecoupling dari LLM; sistem wajib mengembalikan status 'evidence_insufficient' saat parameter tidak didukung data terverifikasi.</w:t>
            </w:r>
          </w:p>
        </w:tc>
      </w:tr>
    </w:tbl>
    <w:p/>
    <w:p>
      <w:pPr>
        <w:pStyle w:val="Heading1"/>
        <w:spacing w:before="160" w:after="60"/>
      </w:pPr>
      <w:r>
        <w:rPr>
          <w:rFonts w:ascii="Aptos Display" w:hAnsi="Aptos Display"/>
          <w:color w:val="1B365D"/>
        </w:rPr>
        <w:t>1. Executive Research Overview &amp; Positioning</w:t>
      </w:r>
    </w:p>
    <w:p>
      <w:pPr>
        <w:spacing w:after="80" w:line="264" w:lineRule="auto"/>
      </w:pPr>
      <w:r>
        <w:t>TaniAdapt adalah platform Precision Agro-Advisory dan Agricultural Decision Support System (DSS) untuk petani Jawa Barat. Berbeda dengan aplikasi generik yang hanya menyajikan prakiraan cuaca atau chatbot LLM yang menebak diagnosis secara arbitrer, TaniAdapt memisahkan secara tegas antara:</w:t>
        <w:br/>
        <w:t>1. Decision Engine Numerik/Mekanistik: Otak ilmiah deterministik berbasis neraca air FAO-56 Penman-Monteith, koefisien tanaman Kc per fase, dan proksi mikroklimat persentil lokal historis.</w:t>
        <w:br/>
        <w:t>2. LLM + RAG Layer: Lapisan komunikasi bahasa alami yang menerjemahkan output terstruktur engine ke bahasa petani dan menjelaskan alasan agronomi (decision trace) tanpa menciptakan ambang sendiri.</w:t>
      </w:r>
    </w:p>
    <w:tbl>
      <w:tblPr>
        <w:tblW w:type="auto" w:w="0"/>
        <w:jc w:val="center"/>
        <w:tblLook w:firstColumn="1" w:firstRow="1" w:lastColumn="0" w:lastRow="0" w:noHBand="0" w:noVBand="1" w:val="04A0"/>
      </w:tblPr>
      <w:tblGrid>
        <w:gridCol w:w="2556"/>
        <w:gridCol w:w="2556"/>
        <w:gridCol w:w="2556"/>
        <w:gridCol w:w="2556"/>
      </w:tblGrid>
      <w:tr>
        <w:trPr>
          <w:tblHeader/>
        </w:trPr>
        <w:tc>
          <w:tcPr>
            <w:tcW w:type="dxa" w:w="115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Phase</w:t>
            </w:r>
          </w:p>
        </w:tc>
        <w:tc>
          <w:tcPr>
            <w:tcW w:type="dxa" w:w="273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Deskripsi Fase Riset</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Saat Ini</w:t>
            </w:r>
          </w:p>
        </w:tc>
        <w:tc>
          <w:tcPr>
            <w:tcW w:type="dxa" w:w="417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Capaian &amp; Output Utama</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0</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Definisi Masalah Pertanian Jabar</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Celah keputusan petani: air, pupuk, kalender tanam, risiko OPT.</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Research Questions &amp; Hypotheses</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Pra-registrasi hipotesis fenologi &amp; ekonometrika di docs/hypotheses.md.</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2</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Deep Literature Review</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Ekstraksi 16 poin dari 16 paper internasional/nasional di context/.</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3</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Dataset Discovery &amp; Fusion</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Akuisisi 9 dataset (DS01–DS09): AgERA5, CHIRPS, BPS, Distanhor.</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4</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Dataset Quality Audit</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CLOSED (Candidate)</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Resolusi 11 blocker A1–A11, eliminasi artefak data, audit 22 sel AgERA5.</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5</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Crop &amp; Outcome Selection</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DRAFT (Pending)</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Portfolio 5 tanaman: Padi, Jagung, Kedelai, Cabai, Tomat di crop_outcome_decision.md.</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6</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Exploratory Data Analysis (EDA)</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10 Jupyter Notebooks terverifikasi (0 errors) + figur sintesis cross-dataset.</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7</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Statistical Analysis &amp; Panel FE</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READY TO ENGAGE</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Wild cluster bootstrap Webb (B=999), MDE analitis, Two-Way FE.</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8</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Temporal Feature Engineering</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READY TO ENGAGE</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Rolling 14-day precip, CDD, water balance (P - ET0), P10 dew depression.</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9</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ML Baseline &amp; Sensitivity</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READY TO ENGAGE</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Uji sensitivitas WLS, Huber RLM, MAD-z (bukan penaksir kausal semu).</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10</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Evidence → Risk Model</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IN PROGRESS</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Penyusunan evidence registry resmi (FAO-56 ET0, Kc Table 12, P10 IFWC).</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11</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Risk → Decision Engine</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IN PROGRESS</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Validasi modul mekanistik FAO-56 Penman-Monteith &amp; skema output JSON.</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12</w:t>
            </w:r>
          </w:p>
        </w:tc>
        <w:tc>
          <w:tcPr>
            <w:tcW w:type="dxa" w:w="273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Non-Yield Validation</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VALIDATED</w:t>
            </w:r>
          </w:p>
        </w:tc>
        <w:tc>
          <w:tcPr>
            <w:tcW w:type="dxa" w:w="41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Hindcast 2016 basah, 2019 kering, 2023 kering (Hit rate: 88.9%–100%).</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Phase 13</w:t>
            </w:r>
          </w:p>
        </w:tc>
        <w:tc>
          <w:tcPr>
            <w:tcW w:type="dxa" w:w="273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TaniAdapt Web Application</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NEXT MILESTONE</w:t>
            </w:r>
          </w:p>
        </w:tc>
        <w:tc>
          <w:tcPr>
            <w:tcW w:type="dxa" w:w="41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Integrasi antarmuka pengguna, visualisasi cuaca, &amp; lapisan eksplanasi LLM.</w:t>
            </w:r>
          </w:p>
        </w:tc>
      </w:tr>
    </w:tbl>
    <w:p/>
    <w:p>
      <w:pPr>
        <w:pStyle w:val="Heading1"/>
        <w:spacing w:before="160" w:after="60"/>
      </w:pPr>
      <w:r>
        <w:rPr>
          <w:rFonts w:ascii="Aptos Display" w:hAnsi="Aptos Display"/>
          <w:color w:val="1B365D"/>
        </w:rPr>
        <w:t>2. Response &amp; Audit Resolution for Claude's Prompt A (Tasks 1–7)</w:t>
      </w:r>
    </w:p>
    <w:tbl>
      <w:tblPr>
        <w:tblW w:type="auto" w:w="0"/>
        <w:jc w:val="center"/>
        <w:tblLook w:firstColumn="1" w:firstRow="1" w:lastColumn="0" w:lastRow="0" w:noHBand="0" w:noVBand="1" w:val="04A0"/>
      </w:tblPr>
      <w:tblGrid>
        <w:gridCol w:w="2556"/>
        <w:gridCol w:w="2556"/>
        <w:gridCol w:w="2556"/>
        <w:gridCol w:w="2556"/>
      </w:tblGrid>
      <w:tr>
        <w:trPr>
          <w:tblHeader/>
        </w:trPr>
        <w:tc>
          <w:tcPr>
            <w:tcW w:type="dxa" w:w="57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No</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Tugas Claude (Prompt A)</w:t>
            </w:r>
          </w:p>
        </w:tc>
        <w:tc>
          <w:tcPr>
            <w:tcW w:type="dxa" w:w="1728"/>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w:t>
            </w:r>
          </w:p>
        </w:tc>
        <w:tc>
          <w:tcPr>
            <w:tcW w:type="dxa" w:w="518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Rincian Implementasi &amp; Hasil Bukti Empiris</w:t>
            </w:r>
          </w:p>
        </w:tc>
      </w:tr>
      <w:tr>
        <w:trPr>
          <w:cantSplit/>
        </w:trPr>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1</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REPRODUKSI Pipeline Phase 4</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 (Local Rerun)</w:t>
            </w:r>
          </w:p>
        </w:tc>
        <w:tc>
          <w:tcPr>
            <w:tcW w:type="dxa" w:w="51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scripts/run_phase4_pipeline.py dijalankan dan seluruh tahapan A2, A3, A4, serta refresh hasil kanonik lolos 100%. Perbedaan lingkungan bersih (venv gagal pasang numpy) vs Python 3.11 lokal dicatat jujur di reports/logs/rerun_diff.md.</w:t>
            </w:r>
          </w:p>
        </w:tc>
      </w:tr>
      <w:tr>
        <w:trPr>
          <w:cantSplit/>
        </w:trPr>
        <w:tc>
          <w:tcPr>
            <w:tcW w:type="dxa" w:w="5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2</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Koreksi CHIRPS N &amp; Polygon Claim</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51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N unit-bulan diperbaiki menjadi 936 (312 per tahun untuk 2016, 2020, 2024; Indramayu 24, Depok 12). Korelasi pooled r=0.7102 (N=936), median per-unit r=0.7569 (26 unit). Kata 'membuktikan' pada sampling poligon dihapus dan status diturunkan ke PENDING karena data poligon area mentah belum diekstraksi.</w:t>
            </w:r>
          </w:p>
        </w:tc>
      </w:tr>
      <w:tr>
        <w:trPr>
          <w:cantSplit/>
        </w:trPr>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3</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SE Robust Jagung &amp; Bounds</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51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Model sensitivitas H_CORN_01 (WLS, Huber, MAD-z) dihitung ulang menggunakan Wild Cluster Bootstrap Webb (cluster=kabupaten, B=999). MDE dihitung baku dari 2.8 x SE bootstrap: Main MDE=0.1444, WLS MDE=0.0859, Huber MDE=0.0725, MAD-z MDE=0.1298. Frasa 'arah bervariasi' dihapus, seluruh CI mencakup nol dilaporkan apa adanya di reports/results/10_cross_dataset_synthesis.json.</w:t>
            </w:r>
          </w:p>
        </w:tc>
      </w:tr>
      <w:tr>
        <w:trPr>
          <w:cantSplit/>
        </w:trPr>
        <w:tc>
          <w:tcPr>
            <w:tcW w:type="dxa" w:w="5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4</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BPS Manual Input &amp; Registry Flag</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51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reports/dataset_audit/bps_manual_input.csv diisi dengan diisi_oleh='BELUM DIVERIFIKASI MANUSIA' dan sumber_halaman_verified=false. Baseline padi 2015-2017 resmi dikunci berstatus PENDING_MANUAL_VERIFICATION di docs/phase4_final_dataset_evidence_registry.md.</w:t>
            </w:r>
          </w:p>
        </w:tc>
      </w:tr>
      <w:tr>
        <w:trPr>
          <w:cantSplit/>
        </w:trPr>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5</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Penyempurnaan docs/crop_outcome_decision.md</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51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Status diubah ke DRAFT pending ratifikasi. MDE padi konsisten +/-0.0255 log points. Sel grid unik dinyatakan 18 sentra (provinsi cabai/tomat tanpa sel terdefinisi). Klaim ingatan Garut &gt;60% dihapus. Registry classes diselaraskan. Skor 0-100 diganti jumlah hari kondusif. Filter N_valid memakai robust outlier flag.</w:t>
            </w:r>
          </w:p>
        </w:tc>
      </w:tr>
      <w:tr>
        <w:trPr>
          <w:cantSplit/>
        </w:trPr>
        <w:tc>
          <w:tcPr>
            <w:tcW w:type="dxa" w:w="57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6</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Pembersihan docs/engine_output_schema.md</w:t>
            </w:r>
          </w:p>
        </w:tc>
        <w:tc>
          <w:tcPr>
            <w:tcW w:type="dxa" w:w="1728"/>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518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Seluruh angka estimasi palsu pada contoh diganti '&lt;dari hasil engine&gt;' atau null. Padi berstatus published_model (2015-2017). Jagung dilarang mengklaim status 'stres' saat CI mencakup nol. Cabai/tomat berstatus ambang: PENDING_LITERATURE. Action IDs disinkronkan identik dengan tabel aksi; aksi fungisida diberi status PENDING_EXTENSION_SOURCE. Aturan persentil didefinisikan.</w:t>
            </w:r>
          </w:p>
        </w:tc>
      </w:tr>
      <w:tr>
        <w:trPr>
          <w:cantSplit/>
        </w:trPr>
        <w:tc>
          <w:tcPr>
            <w:tcW w:type="dxa" w:w="57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7</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Pembaruan Git History &amp; Tagging</w:t>
            </w:r>
          </w:p>
        </w:tc>
        <w:tc>
          <w:tcPr>
            <w:tcW w:type="dxa" w:w="1728"/>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518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reports/logs/git_history.md diperbarui. Tag git baru 'phase4-close-candidate' telah dibuat di commit 365214cb2394f9f1ec4340be5bdf665c8a702227 tanpa memindahkan tag git lama. Commit lanjutan perbaikan disimpan di 0a54f50.</w:t>
            </w:r>
          </w:p>
        </w:tc>
      </w:tr>
    </w:tbl>
    <w:p/>
    <w:p>
      <w:pPr>
        <w:pStyle w:val="Heading1"/>
        <w:spacing w:before="160" w:after="60"/>
      </w:pPr>
      <w:r>
        <w:rPr>
          <w:rFonts w:ascii="Aptos Display" w:hAnsi="Aptos Display"/>
          <w:color w:val="1B365D"/>
        </w:rPr>
        <w:t>3. Response &amp; Implementation for Claude's Prompt B (Tasks 1–5)</w:t>
      </w:r>
    </w:p>
    <w:tbl>
      <w:tblPr>
        <w:tblW w:type="auto" w:w="0"/>
        <w:jc w:val="center"/>
        <w:tblLook w:firstColumn="1" w:firstRow="1" w:lastColumn="0" w:lastRow="0" w:noHBand="0" w:noVBand="1" w:val="04A0"/>
      </w:tblPr>
      <w:tblGrid>
        <w:gridCol w:w="2556"/>
        <w:gridCol w:w="2556"/>
        <w:gridCol w:w="2556"/>
        <w:gridCol w:w="2556"/>
      </w:tblGrid>
      <w:tr>
        <w:trPr>
          <w:tblHeader/>
        </w:trPr>
        <w:tc>
          <w:tcPr>
            <w:tcW w:type="dxa" w:w="115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Tugas</w:t>
            </w:r>
          </w:p>
        </w:tc>
        <w:tc>
          <w:tcPr>
            <w:tcW w:type="dxa" w:w="259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Komponen (Prompt B)</w:t>
            </w:r>
          </w:p>
        </w:tc>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w:t>
            </w:r>
          </w:p>
        </w:tc>
        <w:tc>
          <w:tcPr>
            <w:tcW w:type="dxa" w:w="446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Temuan &amp; Realisasi Teknis</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Tugas 1</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Klimatologi Baseline AgERA5 1991–2020</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45309"/>
                <w:sz w:val="16"/>
              </w:rPr>
              <w:t>PARTIAL / DONE (Sel Tersedia)</w:t>
            </w:r>
          </w:p>
        </w:tc>
        <w:tc>
          <w:tcPr>
            <w:tcW w:type="dxa" w:w="44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175 file tahunan (untuk 6 sel unik) berhasil diunduh via CDS API ke data/raw/DS01_agera5_climatology_1991_2020/. Sisa 16 sel terkendala antrean CDS API (~4 jam waktu proses). Skrip scripts/compute_11_climatology_baseline.py telah menghitung persentil P10-P90 per jendela 14-hari &amp; musiman MH/MK. Uji konsistensi mencatat pergeseran suhu median 2015-2024 lebih hangat +0.2C s.d. +0.4C dibanding 1991-2020. Output: reports/results/11_climatology_baseline.json &amp; PNG.</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Tugas 2</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Evidence Registry Literasi Agronomi</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4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scripts/build_evidence_registry.py menghasilkan reports/dataset_audit/evidence_registry.csv dan docs/evidence_registry_literature.md. Entri VERIFIED resmi: FAO56_ET0_PM (Eq. 6), FAO56_KC_RICE, FAO56_KC_MAIZE, FAO56_KC_SOY, FAO56_KC_TOMATO (FAO-56 Table 12, p. 110). Entri UNVERIFIED/CANNOT_OPEN: Suhu kardinal per fase tanaman, air cabai tropis, cuaca kondusif antraknosa/hawar daun, serta SOP aksi penyuluhan.</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Tugas 3</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Parameter Mekanistik &amp; Validasi FAO-56</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4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KATAM berstatus CANNOT_ACCESS (dokumen konsep terbuka, API kalender per kecamatan tidak tersedia terbuka). Implementasi Python mandiri FAO-56 Penman-Monteith di scripts/mechanistic/fao56.py divalidasi terhadap Contoh 18 Bab 4 FAO-56 (Ekspektasi: 3.88 mm/hari vs Dihitung: 3.877 mm/hari -&gt; PASS). Disimpan di reports/results/12_mechanistic_params.json.</w:t>
            </w:r>
          </w:p>
        </w:tc>
      </w:tr>
      <w:tr>
        <w:trPr>
          <w:cantSplit/>
        </w:trPr>
        <w:tc>
          <w:tcPr>
            <w:tcW w:type="dxa" w:w="115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Tugas 4</w:t>
            </w:r>
          </w:p>
        </w:tc>
        <w:tc>
          <w:tcPr>
            <w:tcW w:type="dxa" w:w="259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Hindcast Validasi Non-Yield (2016, 2019, 2023)</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VALIDATED</w:t>
            </w:r>
          </w:p>
        </w:tc>
        <w:tc>
          <w:tcPr>
            <w:tcW w:type="dxa" w:w="44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Pra-registrasi peristiwa ekstrem dikunci di docs/hindcast_plan.md pada commit c515e27 SEBELUM eksekusi. scripts/evaluate_hindcast.py mengevaluasi data harian AgERA5 2015-2024 di 18 sentra: HC_2016_WET (La Nina basah Okt-Des 2016) = 18/18 HIT (100.0%); HC_2019_DRY (Kemarau IOD Jun-Okt 2019) = 18/18 HIT (100.0%); HC_2023_DRY (El Nino Jun-Nov 2023) = 16/18 HIT, 2 MISS (88.9%). Output: reports/results/13_hindcast_validation.json.</w:t>
            </w:r>
          </w:p>
        </w:tc>
      </w:tr>
      <w:tr>
        <w:trPr>
          <w:cantSplit/>
        </w:trPr>
        <w:tc>
          <w:tcPr>
            <w:tcW w:type="dxa" w:w="115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Tugas 5</w:t>
            </w:r>
          </w:p>
        </w:tc>
        <w:tc>
          <w:tcPr>
            <w:tcW w:type="dxa" w:w="259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Penyelarasan Dokumen Seleksi &amp; Skema Output</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DONE</w:t>
            </w:r>
          </w:p>
        </w:tc>
        <w:tc>
          <w:tcPr>
            <w:tcW w:type="dxa" w:w="44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docs/crop_outcome_decision.md dan docs/engine_output_schema.md telah disinkronkan hanya mengutip ID bukti berstatus VERIFIED (FAO56_ET0_PM, FAO56_KC_RICE, FAO56_KC_MAIZE, FAO56_KC_SOY, FAO56_KC_TOMATO).</w:t>
            </w:r>
          </w:p>
        </w:tc>
      </w:tr>
    </w:tbl>
    <w:p/>
    <w:p>
      <w:pPr>
        <w:pStyle w:val="Heading1"/>
        <w:spacing w:before="160" w:after="60"/>
      </w:pPr>
      <w:r>
        <w:rPr>
          <w:rFonts w:ascii="Aptos Display" w:hAnsi="Aptos Display"/>
          <w:color w:val="1B365D"/>
        </w:rPr>
        <w:t>4. Evidence Registry Audit: Verified vs Unverified Citations</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trPr>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Evidence ID</w:t>
            </w:r>
          </w:p>
        </w:tc>
        <w:tc>
          <w:tcPr>
            <w:tcW w:type="dxa" w:w="864"/>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Komoditas</w:t>
            </w:r>
          </w:p>
        </w:tc>
        <w:tc>
          <w:tcPr>
            <w:tcW w:type="dxa" w:w="201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Variabel / Parameter</w:t>
            </w:r>
          </w:p>
        </w:tc>
        <w:tc>
          <w:tcPr>
            <w:tcW w:type="dxa" w:w="2160"/>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Nilai Terverifikasi</w:t>
            </w:r>
          </w:p>
        </w:tc>
        <w:tc>
          <w:tcPr>
            <w:tcW w:type="dxa" w:w="1296"/>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Status Verifikasi</w:t>
            </w:r>
          </w:p>
        </w:tc>
        <w:tc>
          <w:tcPr>
            <w:tcW w:type="dxa" w:w="1872"/>
            <w:shd w:val="clear" w:color="auto" w:fill="1B365D"/>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FFFFFF"/>
                <w:sz w:val="17"/>
              </w:rPr>
              <w:t>Sitasi &amp; Halaman Dokumen Sumber</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FAO56_ET0_PM</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Semua</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Reference Evapotranspiration (ET0)</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Persamaan Penman-Monteith (Eq. 6)</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VERIFIED</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Allen et al. (1998), FAO-56 Chapter 2/Eq. 6, p. 65.</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FAO56_KC_RICE</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Padi</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Koefisien Tanaman (Kc)</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Kc_ini=1.05, mid=1.20, end=0.90-0.60</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VERIFIED</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FAO-56 Table 12, p. 110 (Subhumid standard).</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FAO56_KC_MAIZE</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Jagung</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Koefisien Tanaman (Kc)</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Kc_ini=0.30, mid=1.20, end=0.60-0.35</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VERIFIED</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FAO-56 Table 12, p. 110 (Field corn).</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FAO56_KC_SOY</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Kedelai</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Koefisien Tanaman (Kc)</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Kc_ini=0.40, mid=1.15, end=0.50</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VERIFIED</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FAO-56 Table 12, p. 110 (Soybeans).</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FAO56_KC_TOMATO</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Tomat</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Koefisien Tanaman (Kc)</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Kc_ini=0.60, mid=1.15, end=0.70-0.90</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1B6E34"/>
                <w:sz w:val="16"/>
              </w:rPr>
              <w:t>VERIFIED</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FAO-56 Table 12, p. 110 (Tomato).</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RICE_TEMP_PHASES</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Padi</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Suhu Kardinal (Base/Opt/Max)</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 (Tidak disubstitusi)</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UNVERIFIED</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Tidak ada paper varietas lokal terbuka pada pass ini.</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MAIZE_TEMP_PHASES</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Jagung</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Suhu Kardinal (Base/Opt/Max)</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 (Tidak disubstitusi)</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UNVERIFIED</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Tidak ada paper varietas lokal terbuka pada pass ini.</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SOY_TEMP_PHASES</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Kedelai</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Suhu Kardinal (Base/Opt/Max)</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 (Tidak disubstitusi)</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UNVERIFIED</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Tidak ada paper varietas lokal terbuka pada pass ini.</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CHILI_WATER</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Cabai</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Koefisien Tanaman (Kc)</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 (Sweet pepper tidak diinterpolasi)</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UNVERIFIED</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FAO-56 Table 12 opened but not representative for cabai.</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CHILI_ANTHRACNOSE</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Cabai</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Proksi Cuaca Antraknosa</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 (Ambang literal dilarang)</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CANNOT_OPEN</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Belum ada paper formula proksi kebasahan operasional terverifikasi.</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TOMATO_LATE_BLIGHT</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Tomat</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Proksi Hawar Daun Phytophthora</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 (Ambang literal dilarang)</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CANNOT_OPEN</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Belum ada paper formula proksi kebasahan operasional terverifikasi.</w:t>
            </w:r>
          </w:p>
        </w:tc>
      </w:tr>
      <w:tr>
        <w:trPr>
          <w:cantSplit/>
        </w:trPr>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ACT_DRAINAGE_CHECK</w:t>
            </w:r>
          </w:p>
        </w:tc>
        <w:tc>
          <w:tcPr>
            <w:tcW w:type="dxa" w:w="864"/>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Semua</w:t>
            </w:r>
          </w:p>
        </w:tc>
        <w:tc>
          <w:tcPr>
            <w:tcW w:type="dxa" w:w="201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Aksi Teknis Drainase</w:t>
            </w:r>
          </w:p>
        </w:tc>
        <w:tc>
          <w:tcPr>
            <w:tcW w:type="dxa" w:w="2160"/>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PENDING_EXTENSION_SOURCE</w:t>
            </w:r>
          </w:p>
        </w:tc>
        <w:tc>
          <w:tcPr>
            <w:tcW w:type="dxa" w:w="1296"/>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CANNOT_OPEN</w:t>
            </w:r>
          </w:p>
        </w:tc>
        <w:tc>
          <w:tcPr>
            <w:tcW w:type="dxa" w:w="1872"/>
            <w:shd w:val="clear" w:color="auto" w:fill="F4F6F9"/>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Menunggu pembukaan dokumen SOP resmi BPTP/Balitsa.</w:t>
            </w:r>
          </w:p>
        </w:tc>
      </w:tr>
      <w:tr>
        <w:trPr>
          <w:cantSplit/>
        </w:trPr>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color w:val="282828"/>
                <w:sz w:val="16"/>
              </w:rPr>
              <w:t>ACT_FUNGICIDE_REV</w:t>
            </w:r>
          </w:p>
        </w:tc>
        <w:tc>
          <w:tcPr>
            <w:tcW w:type="dxa" w:w="864"/>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center"/>
            </w:pPr>
            <w:r/>
            <w:r>
              <w:rPr>
                <w:rFonts w:ascii="Aptos" w:hAnsi="Aptos"/>
                <w:b w:val="0"/>
                <w:color w:val="282828"/>
                <w:sz w:val="16"/>
              </w:rPr>
              <w:t>Horti</w:t>
            </w:r>
          </w:p>
        </w:tc>
        <w:tc>
          <w:tcPr>
            <w:tcW w:type="dxa" w:w="201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Aksi Evaluasi Fungisida</w:t>
            </w:r>
          </w:p>
        </w:tc>
        <w:tc>
          <w:tcPr>
            <w:tcW w:type="dxa" w:w="2160"/>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PENDING_EXTENSION_SOURCE</w:t>
            </w:r>
          </w:p>
        </w:tc>
        <w:tc>
          <w:tcPr>
            <w:tcW w:type="dxa" w:w="1296"/>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B91C1C"/>
                <w:sz w:val="16"/>
              </w:rPr>
              <w:t>CANNOT_OPEN</w:t>
            </w:r>
          </w:p>
        </w:tc>
        <w:tc>
          <w:tcPr>
            <w:tcW w:type="dxa" w:w="1872"/>
            <w:vAlign w:val="center"/>
            <w:tcBorders>
              <w:top w:val="single" w:sz="4" w:space="0" w:color="CCCCCC"/>
              <w:left w:val="single" w:sz="4" w:space="0" w:color="CCCCCC"/>
              <w:bottom w:val="single" w:sz="4" w:space="0" w:color="CCCCCC"/>
              <w:right w:val="single" w:sz="4" w:space="0" w:color="CCCCCC"/>
              <w:insideH w:val="single" w:sz="4" w:space="0" w:color="CCCCCC"/>
              <w:insideV w:val="single" w:sz="4" w:space="0" w:color="CCCCCC"/>
            </w:tcBorders>
          </w:tcPr>
          <w:p>
            <w:pPr>
              <w:spacing w:before="60" w:after="60" w:line="252" w:lineRule="auto"/>
              <w:jc w:val="left"/>
            </w:pPr>
            <w:r/>
            <w:r>
              <w:rPr>
                <w:rFonts w:ascii="Aptos" w:hAnsi="Aptos"/>
                <w:b w:val="0"/>
                <w:color w:val="282828"/>
                <w:sz w:val="16"/>
              </w:rPr>
              <w:t>Menunggu pembukaan dokumen SOP resmi Kementan/Balitsa.</w:t>
            </w:r>
          </w:p>
        </w:tc>
      </w:tr>
    </w:tbl>
    <w:p/>
    <w:p>
      <w:pPr>
        <w:pStyle w:val="Heading1"/>
        <w:spacing w:before="160" w:after="60"/>
      </w:pPr>
      <w:r>
        <w:rPr>
          <w:rFonts w:ascii="Aptos Display" w:hAnsi="Aptos Display"/>
          <w:color w:val="1B365D"/>
        </w:rPr>
        <w:t>5. Unresolved Data Limitations &amp; Next Steps (Phase 7–13)</w:t>
      </w:r>
    </w:p>
    <w:p>
      <w:pPr>
        <w:spacing w:line="264" w:lineRule="auto"/>
      </w:pPr>
      <w:r>
        <w:t>Batasan Data yang Tidak Dapat Diselesaikan (Unresolved Data Limitations):</w:t>
        <w:br/>
        <w:t>1. Ketiadaan Data BPS KSA Padi Level Kabupaten 2018–2020: Padi dibatasi pada baseline terverifikasi 2015–2017.</w:t>
        <w:br/>
        <w:t>2. Zero Temporal Overlap Sayuran Kabupaten: Hortikultura (Cabai &amp; Tomat) dikunci permanen di Tier B (Rule-based mikroklimat persentil P10), dilarang menggunakan regresi yield atau supervised ML penyakit.</w:t>
        <w:br/>
        <w:t>3. Ketiadaan Sensor Kebasahan Daun Fisik: Ambang depresiasi embun (Tmin - Td) fajar dikonvensikan sebagai proksi persentil relatif lokal P10, bukan bukti basah daun fisik.</w:t>
        <w:br/>
        <w:t>4. Unduh Penuh AgERA5 1991–2020: 175 file (6 sel) terunduh; 16 sel sisa tertunda oleh rate-limit antrean CDS API (~4 jam).</w:t>
        <w:br/>
        <w:br/>
        <w:t>Langkah Menuju Phase 7–13:</w:t>
        <w:br/>
        <w:t>• Phase 7 &amp; 9: Mengunci pemodelan panel ekonometrika pada batas MDE (bukan klaim elastisitas kausal).</w:t>
        <w:br/>
        <w:t>• Phase 10 &amp; 11: Membangun Decision Engine berbasis modul mekanistik terverifikasi (FAO-56 ET0 + Kc) dan aturan persentil relatif.</w:t>
        <w:br/>
        <w:t>• Phase 13: Menghubungkan output terstruktur engine ke antarmuka aplikasi TaniAdapt dan lapisan eksplanasi LLM/RAG.</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