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Display" w:hAnsi="Aptos Display"/>
          <w:b/>
          <w:color w:val="1B365D"/>
          <w:sz w:val="34"/>
        </w:rPr>
        <w:t>TANIADAPT — LAPORAN RESMI PHASE 10: EVIDENCE → RISK MODEL</w:t>
      </w:r>
    </w:p>
    <w:p>
      <w:pPr>
        <w:spacing w:after="160"/>
        <w:jc w:val="center"/>
      </w:pPr>
      <w:r>
        <w:rPr>
          <w:rFonts w:ascii="Aptos" w:hAnsi="Aptos"/>
          <w:i/>
          <w:color w:val="505050"/>
          <w:sz w:val="20"/>
        </w:rPr>
        <w:t>Penerjemahan Bukti Ilmiah Agronomi Terverifikasi Menjadi Model Risiko Terkalibrasi &amp; Safeguard Ketidakcukupan Bukti</w:t>
      </w:r>
    </w:p>
    <w:p>
      <w:pPr>
        <w:pStyle w:val="Heading1"/>
      </w:pPr>
      <w:r>
        <w:t>1. Prinsip Metodologis Pemodelan Risiko (Phase 10)</w:t>
      </w:r>
    </w:p>
    <w:p>
      <w:pPr>
        <w:spacing w:line="264" w:lineRule="auto"/>
      </w:pPr>
      <w:r>
        <w:t>Phase 10 bertanggung jawab menjembatani temuan analitik (Phase 7–9) menjadi model risiko fisis yang deterministik. Sesuai kontrak bukti TaniAdapt, sistem dilarang keras membuat ambang batas ad-hoc atau probabilitas numerik spekulatif. Status risiko hanya boleh dipicu oleh referensi berstatus VERIFIED pada evidence registry atau aturan transfer literatur berbasis persentil lokal historis. Apabila parameter belum terverifikasi atau data lokal tidak mencukupi, engine diwajibkan mengembalikan status evidence_insufficient.</w:t>
      </w:r>
    </w:p>
    <w:p>
      <w:pPr>
        <w:pStyle w:val="Heading1"/>
      </w:pPr>
      <w:r>
        <w:t>2. Matriks Model Risiko Agronomi Terkalibrasi (Tiga Domain Utama)</w:t>
      </w:r>
    </w:p>
    <w:tbl>
      <w:tblPr>
        <w:tblW w:type="auto" w:w="0"/>
        <w:jc w:val="center"/>
        <w:tblLook w:firstColumn="1" w:firstRow="1" w:lastColumn="0" w:lastRow="0" w:noHBand="0" w:noVBand="1" w:val="04A0"/>
      </w:tblPr>
      <w:tblGrid>
        <w:gridCol w:w="1704"/>
        <w:gridCol w:w="1704"/>
        <w:gridCol w:w="1704"/>
        <w:gridCol w:w="1704"/>
        <w:gridCol w:w="1704"/>
        <w:gridCol w:w="1704"/>
      </w:tblGrid>
      <w:tr>
        <w:trPr>
          <w:tblHeader/>
        </w:trPr>
        <w:tc>
          <w:tcPr>
            <w:tcW w:type="dxa" w:w="1872"/>
            <w:shd w:val="clear" w:color="auto" w:fill="1B365D"/>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FFFFFF"/>
                <w:sz w:val="17"/>
              </w:rPr>
              <w:t>Domain Risiko</w:t>
            </w:r>
          </w:p>
        </w:tc>
        <w:tc>
          <w:tcPr>
            <w:tcW w:type="dxa" w:w="2016"/>
            <w:shd w:val="clear" w:color="auto" w:fill="1B365D"/>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FFFFFF"/>
                <w:sz w:val="17"/>
              </w:rPr>
              <w:t>Indikator Fisis Kunci</w:t>
            </w:r>
          </w:p>
        </w:tc>
        <w:tc>
          <w:tcPr>
            <w:tcW w:type="dxa" w:w="2016"/>
            <w:shd w:val="clear" w:color="auto" w:fill="1B365D"/>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FFFFFF"/>
                <w:sz w:val="17"/>
              </w:rPr>
              <w:t>Formula &amp; Acuan</w:t>
            </w:r>
          </w:p>
        </w:tc>
        <w:tc>
          <w:tcPr>
            <w:tcW w:type="dxa" w:w="1872"/>
            <w:shd w:val="clear" w:color="auto" w:fill="1B365D"/>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FFFFFF"/>
                <w:sz w:val="17"/>
              </w:rPr>
              <w:t>Ambang Kalibrasi</w:t>
            </w:r>
          </w:p>
        </w:tc>
        <w:tc>
          <w:tcPr>
            <w:tcW w:type="dxa" w:w="1584"/>
            <w:shd w:val="clear" w:color="auto" w:fill="1B365D"/>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FFFFFF"/>
                <w:sz w:val="17"/>
              </w:rPr>
              <w:t>Status Risiko Output</w:t>
            </w:r>
          </w:p>
        </w:tc>
        <w:tc>
          <w:tcPr>
            <w:tcW w:type="dxa" w:w="2160"/>
            <w:shd w:val="clear" w:color="auto" w:fill="1B365D"/>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FFFFFF"/>
                <w:sz w:val="17"/>
              </w:rPr>
              <w:t>Dasar Bukti &amp; Sitasi</w:t>
            </w:r>
          </w:p>
        </w:tc>
      </w:tr>
      <w:tr>
        <w:trPr>
          <w:cantSplit/>
        </w:trPr>
        <w:tc>
          <w:tcPr>
            <w:tcW w:type="dxa" w:w="1872"/>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282828"/>
                <w:sz w:val="16"/>
              </w:rPr>
              <w:t>Cekaman Kekeringan Abiotik</w:t>
            </w:r>
          </w:p>
        </w:tc>
        <w:tc>
          <w:tcPr>
            <w:tcW w:type="dxa" w:w="2016"/>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Neraca Lengas 14-Hari (CWB_14d)</w:t>
            </w:r>
          </w:p>
        </w:tc>
        <w:tc>
          <w:tcPr>
            <w:tcW w:type="dxa" w:w="2016"/>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sum(P - ETc) jendela 14 hari</w:t>
            </w:r>
          </w:p>
        </w:tc>
        <w:tc>
          <w:tcPr>
            <w:tcW w:type="dxa" w:w="1872"/>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CWB_14d &lt; -50.0 mm</w:t>
            </w:r>
          </w:p>
        </w:tc>
        <w:tc>
          <w:tcPr>
            <w:tcW w:type="dxa" w:w="1584"/>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B91C1C"/>
                <w:sz w:val="16"/>
              </w:rPr>
              <w:t>kondisi_stres_abiotik</w:t>
            </w:r>
          </w:p>
        </w:tc>
        <w:tc>
          <w:tcPr>
            <w:tcW w:type="dxa" w:w="2160"/>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FAO56_ET0_PM &amp; FAO56_KC_* (VERIFIED, Tabel 12 p. 110).</w:t>
            </w:r>
          </w:p>
        </w:tc>
      </w:tr>
      <w:tr>
        <w:trPr>
          <w:cantSplit/>
        </w:trPr>
        <w:tc>
          <w:tcPr>
            <w:tcW w:type="dxa" w:w="1872"/>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282828"/>
                <w:sz w:val="16"/>
              </w:rPr>
              <w:t>Waspada Defisit Lengas</w:t>
            </w:r>
          </w:p>
        </w:tc>
        <w:tc>
          <w:tcPr>
            <w:tcW w:type="dxa" w:w="2016"/>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Neraca Lengas 14-Hari (CWB_14d)</w:t>
            </w:r>
          </w:p>
        </w:tc>
        <w:tc>
          <w:tcPr>
            <w:tcW w:type="dxa" w:w="2016"/>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sum(P - ETc) jendela 14 hari</w:t>
            </w:r>
          </w:p>
        </w:tc>
        <w:tc>
          <w:tcPr>
            <w:tcW w:type="dxa" w:w="1872"/>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-50.0 mm &lt;= CWB &lt; -25.0 mm</w:t>
            </w:r>
          </w:p>
        </w:tc>
        <w:tc>
          <w:tcPr>
            <w:tcW w:type="dxa" w:w="1584"/>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B45309"/>
                <w:sz w:val="16"/>
              </w:rPr>
              <w:t>waspada_defisit_ringan</w:t>
            </w:r>
          </w:p>
        </w:tc>
        <w:tc>
          <w:tcPr>
            <w:tcW w:type="dxa" w:w="2160"/>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FAO56_ET0_PM &amp; FAO56_KC_* (VERIFIED).</w:t>
            </w:r>
          </w:p>
        </w:tc>
      </w:tr>
      <w:tr>
        <w:trPr>
          <w:cantSplit/>
        </w:trPr>
        <w:tc>
          <w:tcPr>
            <w:tcW w:type="dxa" w:w="1872"/>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282828"/>
                <w:sz w:val="16"/>
              </w:rPr>
              <w:t>Kondisi Lengas Normal</w:t>
            </w:r>
          </w:p>
        </w:tc>
        <w:tc>
          <w:tcPr>
            <w:tcW w:type="dxa" w:w="2016"/>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Neraca Lengas 14-Hari (CWB_14d)</w:t>
            </w:r>
          </w:p>
        </w:tc>
        <w:tc>
          <w:tcPr>
            <w:tcW w:type="dxa" w:w="2016"/>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sum(P - ETc) jendela 14 hari</w:t>
            </w:r>
          </w:p>
        </w:tc>
        <w:tc>
          <w:tcPr>
            <w:tcW w:type="dxa" w:w="1872"/>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CWB_14d &gt;= -25.0 mm</w:t>
            </w:r>
          </w:p>
        </w:tc>
        <w:tc>
          <w:tcPr>
            <w:tcW w:type="dxa" w:w="1584"/>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1B6E34"/>
                <w:sz w:val="16"/>
              </w:rPr>
              <w:t>normal</w:t>
            </w:r>
          </w:p>
        </w:tc>
        <w:tc>
          <w:tcPr>
            <w:tcW w:type="dxa" w:w="2160"/>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FAO56_ET0_PM &amp; FAO56_KC_* (VERIFIED).</w:t>
            </w:r>
          </w:p>
        </w:tc>
      </w:tr>
      <w:tr>
        <w:trPr>
          <w:cantSplit/>
        </w:trPr>
        <w:tc>
          <w:tcPr>
            <w:tcW w:type="dxa" w:w="1872"/>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282828"/>
                <w:sz w:val="16"/>
              </w:rPr>
              <w:t>Cekaman Genangan Air</w:t>
            </w:r>
          </w:p>
        </w:tc>
        <w:tc>
          <w:tcPr>
            <w:tcW w:type="dxa" w:w="2016"/>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Hujan Badai 3-Hari / CWD Ekstrem</w:t>
            </w:r>
          </w:p>
        </w:tc>
        <w:tc>
          <w:tcPr>
            <w:tcW w:type="dxa" w:w="2016"/>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sum(P_3d) atau Consecutive Wet Days</w:t>
            </w:r>
          </w:p>
        </w:tc>
        <w:tc>
          <w:tcPr>
            <w:tcW w:type="dxa" w:w="1872"/>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sum(P_3d) &gt;= 100 mm atau CWD &gt;= 5 hari</w:t>
            </w:r>
          </w:p>
        </w:tc>
        <w:tc>
          <w:tcPr>
            <w:tcW w:type="dxa" w:w="1584"/>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B91C1C"/>
                <w:sz w:val="16"/>
              </w:rPr>
              <w:t>kondisi_stres_abiotik</w:t>
            </w:r>
          </w:p>
        </w:tc>
        <w:tc>
          <w:tcPr>
            <w:tcW w:type="dxa" w:w="2160"/>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AgERA5 Extreme Rainfall Threshold (Anoksia Akar).</w:t>
            </w:r>
          </w:p>
        </w:tc>
      </w:tr>
      <w:tr>
        <w:trPr>
          <w:cantSplit/>
        </w:trPr>
        <w:tc>
          <w:tcPr>
            <w:tcW w:type="dxa" w:w="1872"/>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B45309"/>
                <w:sz w:val="16"/>
              </w:rPr>
              <w:t>Risiko Cendawan Fajar (OPT)</w:t>
            </w:r>
          </w:p>
        </w:tc>
        <w:tc>
          <w:tcPr>
            <w:tcW w:type="dxa" w:w="2016"/>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Depresi Embun Fajar &amp; Hari Kondusif</w:t>
            </w:r>
          </w:p>
        </w:tc>
        <w:tc>
          <w:tcPr>
            <w:tcW w:type="dxa" w:w="2016"/>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Tmin - Td &lt;= P10 sel/bulan</w:t>
            </w:r>
          </w:p>
        </w:tc>
        <w:tc>
          <w:tcPr>
            <w:tcW w:type="dxa" w:w="1872"/>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Hari kondusif &gt;= 3 hari dalam 7 hari terakhir</w:t>
            </w:r>
          </w:p>
        </w:tc>
        <w:tc>
          <w:tcPr>
            <w:tcW w:type="dxa" w:w="1584"/>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B45309"/>
                <w:sz w:val="16"/>
              </w:rPr>
              <w:t>kondisi_mendukung_OPT</w:t>
            </w:r>
          </w:p>
        </w:tc>
        <w:tc>
          <w:tcPr>
            <w:tcW w:type="dxa" w:w="2160"/>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Tier B Agrometeorology P10 Rule (Sentelhas et al. 2008).</w:t>
            </w:r>
          </w:p>
        </w:tc>
      </w:tr>
      <w:tr>
        <w:trPr>
          <w:cantSplit/>
        </w:trPr>
        <w:tc>
          <w:tcPr>
            <w:tcW w:type="dxa" w:w="1872"/>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282828"/>
                <w:sz w:val="16"/>
              </w:rPr>
              <w:t>Cekaman Suhu Kardinal / GDD</w:t>
            </w:r>
          </w:p>
        </w:tc>
        <w:tc>
          <w:tcPr>
            <w:tcW w:type="dxa" w:w="2016"/>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Suhu Basis per Fase Tumbuh</w:t>
            </w:r>
          </w:p>
        </w:tc>
        <w:tc>
          <w:tcPr>
            <w:tcW w:type="dxa" w:w="2016"/>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Akumulasi GDD per fase fenologi</w:t>
            </w:r>
          </w:p>
        </w:tc>
        <w:tc>
          <w:tcPr>
            <w:tcW w:type="dxa" w:w="1872"/>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Ambang base/opt/max per fase</w:t>
            </w:r>
          </w:p>
        </w:tc>
        <w:tc>
          <w:tcPr>
            <w:tcW w:type="dxa" w:w="1584"/>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B91C1C"/>
                <w:sz w:val="16"/>
              </w:rPr>
              <w:t>evidence_insufficient</w:t>
            </w:r>
          </w:p>
        </w:tc>
        <w:tc>
          <w:tcPr>
            <w:tcW w:type="dxa" w:w="2160"/>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RICE/MAIZE/SOY_TEMP_PHASES (UNVERIFIED).</w:t>
            </w:r>
          </w:p>
        </w:tc>
      </w:tr>
      <w:tr>
        <w:trPr>
          <w:cantSplit/>
        </w:trPr>
        <w:tc>
          <w:tcPr>
            <w:tcW w:type="dxa" w:w="1872"/>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282828"/>
                <w:sz w:val="16"/>
              </w:rPr>
              <w:t>Kebutuhan Air Cabai Tropis</w:t>
            </w:r>
          </w:p>
        </w:tc>
        <w:tc>
          <w:tcPr>
            <w:tcW w:type="dxa" w:w="2016"/>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Koefisien Tanaman Cabai Rawit/Merah</w:t>
            </w:r>
          </w:p>
        </w:tc>
        <w:tc>
          <w:tcPr>
            <w:tcW w:type="dxa" w:w="2016"/>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ETc = Kc x ET0 cabai</w:t>
            </w:r>
          </w:p>
        </w:tc>
        <w:tc>
          <w:tcPr>
            <w:tcW w:type="dxa" w:w="1872"/>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Kc per fase cabai</w:t>
            </w:r>
          </w:p>
        </w:tc>
        <w:tc>
          <w:tcPr>
            <w:tcW w:type="dxa" w:w="1584"/>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B91C1C"/>
                <w:sz w:val="16"/>
              </w:rPr>
              <w:t>evidence_insufficient</w:t>
            </w:r>
          </w:p>
        </w:tc>
        <w:tc>
          <w:tcPr>
            <w:tcW w:type="dxa" w:w="2160"/>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CHILI_WATER (UNVERIFIED, sweet pepper tidak diekstrapolasi).</w:t>
            </w:r>
          </w:p>
        </w:tc>
      </w:tr>
    </w:tbl>
    <w:p/>
    <w:p>
      <w:pPr>
        <w:pStyle w:val="Heading1"/>
      </w:pPr>
      <w:r>
        <w:t>3. Profil Koefisien Tanaman (Kc) Terverifikasi FAO-56 Tabel 12</w:t>
      </w:r>
    </w:p>
    <w:tbl>
      <w:tblPr>
        <w:tblW w:type="auto" w:w="0"/>
        <w:jc w:val="center"/>
        <w:tblLook w:firstColumn="1" w:firstRow="1" w:lastColumn="0" w:lastRow="0" w:noHBand="0" w:noVBand="1" w:val="04A0"/>
      </w:tblPr>
      <w:tblGrid>
        <w:gridCol w:w="1704"/>
        <w:gridCol w:w="1704"/>
        <w:gridCol w:w="1704"/>
        <w:gridCol w:w="1704"/>
        <w:gridCol w:w="1704"/>
        <w:gridCol w:w="1704"/>
      </w:tblGrid>
      <w:tr>
        <w:trPr>
          <w:tblHeader/>
        </w:trPr>
        <w:tc>
          <w:tcPr>
            <w:tcW w:type="dxa" w:w="2016"/>
            <w:shd w:val="clear" w:color="auto" w:fill="1B365D"/>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FFFFFF"/>
                <w:sz w:val="17"/>
              </w:rPr>
              <w:t>Komoditas</w:t>
            </w:r>
          </w:p>
        </w:tc>
        <w:tc>
          <w:tcPr>
            <w:tcW w:type="dxa" w:w="1584"/>
            <w:shd w:val="clear" w:color="auto" w:fill="1B365D"/>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FFFFFF"/>
                <w:sz w:val="17"/>
              </w:rPr>
              <w:t>Fase Awal (Kc_ini)</w:t>
            </w:r>
          </w:p>
        </w:tc>
        <w:tc>
          <w:tcPr>
            <w:tcW w:type="dxa" w:w="1584"/>
            <w:shd w:val="clear" w:color="auto" w:fill="1B365D"/>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FFFFFF"/>
                <w:sz w:val="17"/>
              </w:rPr>
              <w:t>Fase Tengah (Kc_mid)</w:t>
            </w:r>
          </w:p>
        </w:tc>
        <w:tc>
          <w:tcPr>
            <w:tcW w:type="dxa" w:w="1584"/>
            <w:shd w:val="clear" w:color="auto" w:fill="1B365D"/>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FFFFFF"/>
                <w:sz w:val="17"/>
              </w:rPr>
              <w:t>Fase Akhir (Kc_end)</w:t>
            </w:r>
          </w:p>
        </w:tc>
        <w:tc>
          <w:tcPr>
            <w:tcW w:type="dxa" w:w="1584"/>
            <w:shd w:val="clear" w:color="auto" w:fill="1B365D"/>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FFFFFF"/>
                <w:sz w:val="17"/>
              </w:rPr>
              <w:t>Durasi Standar (HST)</w:t>
            </w:r>
          </w:p>
        </w:tc>
        <w:tc>
          <w:tcPr>
            <w:tcW w:type="dxa" w:w="3168"/>
            <w:shd w:val="clear" w:color="auto" w:fill="1B365D"/>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FFFFFF"/>
                <w:sz w:val="17"/>
              </w:rPr>
              <w:t>Status Verifikasi Evidence Registry</w:t>
            </w:r>
          </w:p>
        </w:tc>
      </w:tr>
      <w:tr>
        <w:trPr>
          <w:cantSplit/>
        </w:trPr>
        <w:tc>
          <w:tcPr>
            <w:tcW w:type="dxa" w:w="2016"/>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282828"/>
                <w:sz w:val="16"/>
              </w:rPr>
              <w:t>Padi Sawah</w:t>
            </w:r>
          </w:p>
        </w:tc>
        <w:tc>
          <w:tcPr>
            <w:tcW w:type="dxa" w:w="1584"/>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val="0"/>
                <w:color w:val="282828"/>
                <w:sz w:val="16"/>
              </w:rPr>
              <w:t>1.05</w:t>
            </w:r>
          </w:p>
        </w:tc>
        <w:tc>
          <w:tcPr>
            <w:tcW w:type="dxa" w:w="1584"/>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1.20</w:t>
            </w:r>
          </w:p>
        </w:tc>
        <w:tc>
          <w:tcPr>
            <w:tcW w:type="dxa" w:w="1584"/>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0.75 (0.90–0.60)</w:t>
            </w:r>
          </w:p>
        </w:tc>
        <w:tc>
          <w:tcPr>
            <w:tcW w:type="dxa" w:w="1584"/>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100–120 HST</w:t>
            </w:r>
          </w:p>
        </w:tc>
        <w:tc>
          <w:tcPr>
            <w:tcW w:type="dxa" w:w="3168"/>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1B6E34"/>
                <w:sz w:val="16"/>
              </w:rPr>
              <w:t>VERIFIED (FAO56_KC_RICE, Tabel 12 p. 110)</w:t>
            </w:r>
          </w:p>
        </w:tc>
      </w:tr>
      <w:tr>
        <w:trPr>
          <w:cantSplit/>
        </w:trPr>
        <w:tc>
          <w:tcPr>
            <w:tcW w:type="dxa" w:w="2016"/>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282828"/>
                <w:sz w:val="16"/>
              </w:rPr>
              <w:t>Jagung (Field Corn)</w:t>
            </w:r>
          </w:p>
        </w:tc>
        <w:tc>
          <w:tcPr>
            <w:tcW w:type="dxa" w:w="1584"/>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val="0"/>
                <w:color w:val="282828"/>
                <w:sz w:val="16"/>
              </w:rPr>
              <w:t>0.30</w:t>
            </w:r>
          </w:p>
        </w:tc>
        <w:tc>
          <w:tcPr>
            <w:tcW w:type="dxa" w:w="1584"/>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1.20</w:t>
            </w:r>
          </w:p>
        </w:tc>
        <w:tc>
          <w:tcPr>
            <w:tcW w:type="dxa" w:w="1584"/>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0.48 (0.60–0.35)</w:t>
            </w:r>
          </w:p>
        </w:tc>
        <w:tc>
          <w:tcPr>
            <w:tcW w:type="dxa" w:w="1584"/>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100 HST</w:t>
            </w:r>
          </w:p>
        </w:tc>
        <w:tc>
          <w:tcPr>
            <w:tcW w:type="dxa" w:w="3168"/>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1B6E34"/>
                <w:sz w:val="16"/>
              </w:rPr>
              <w:t>VERIFIED (FAO56_KC_MAIZE, Tabel 12 p. 110)</w:t>
            </w:r>
          </w:p>
        </w:tc>
      </w:tr>
      <w:tr>
        <w:trPr>
          <w:cantSplit/>
        </w:trPr>
        <w:tc>
          <w:tcPr>
            <w:tcW w:type="dxa" w:w="2016"/>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282828"/>
                <w:sz w:val="16"/>
              </w:rPr>
              <w:t>Kedelai</w:t>
            </w:r>
          </w:p>
        </w:tc>
        <w:tc>
          <w:tcPr>
            <w:tcW w:type="dxa" w:w="1584"/>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val="0"/>
                <w:color w:val="282828"/>
                <w:sz w:val="16"/>
              </w:rPr>
              <w:t>0.40</w:t>
            </w:r>
          </w:p>
        </w:tc>
        <w:tc>
          <w:tcPr>
            <w:tcW w:type="dxa" w:w="1584"/>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1.15</w:t>
            </w:r>
          </w:p>
        </w:tc>
        <w:tc>
          <w:tcPr>
            <w:tcW w:type="dxa" w:w="1584"/>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0.50</w:t>
            </w:r>
          </w:p>
        </w:tc>
        <w:tc>
          <w:tcPr>
            <w:tcW w:type="dxa" w:w="1584"/>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85 HST</w:t>
            </w:r>
          </w:p>
        </w:tc>
        <w:tc>
          <w:tcPr>
            <w:tcW w:type="dxa" w:w="3168"/>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1B6E34"/>
                <w:sz w:val="16"/>
              </w:rPr>
              <w:t>VERIFIED (FAO56_KC_SOY, Tabel 12 p. 110)</w:t>
            </w:r>
          </w:p>
        </w:tc>
      </w:tr>
      <w:tr>
        <w:trPr>
          <w:cantSplit/>
        </w:trPr>
        <w:tc>
          <w:tcPr>
            <w:tcW w:type="dxa" w:w="2016"/>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282828"/>
                <w:sz w:val="16"/>
              </w:rPr>
              <w:t>Tomat</w:t>
            </w:r>
          </w:p>
        </w:tc>
        <w:tc>
          <w:tcPr>
            <w:tcW w:type="dxa" w:w="1584"/>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val="0"/>
                <w:color w:val="282828"/>
                <w:sz w:val="16"/>
              </w:rPr>
              <w:t>0.60</w:t>
            </w:r>
          </w:p>
        </w:tc>
        <w:tc>
          <w:tcPr>
            <w:tcW w:type="dxa" w:w="1584"/>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1.15</w:t>
            </w:r>
          </w:p>
        </w:tc>
        <w:tc>
          <w:tcPr>
            <w:tcW w:type="dxa" w:w="1584"/>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0.80 (0.70–0.90)</w:t>
            </w:r>
          </w:p>
        </w:tc>
        <w:tc>
          <w:tcPr>
            <w:tcW w:type="dxa" w:w="1584"/>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100–120 HST</w:t>
            </w:r>
          </w:p>
        </w:tc>
        <w:tc>
          <w:tcPr>
            <w:tcW w:type="dxa" w:w="3168"/>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1B6E34"/>
                <w:sz w:val="16"/>
              </w:rPr>
              <w:t>VERIFIED (FAO56_KC_TOMATO, Tabel 12 p. 110)</w:t>
            </w:r>
          </w:p>
        </w:tc>
      </w:tr>
      <w:tr>
        <w:trPr>
          <w:cantSplit/>
        </w:trPr>
        <w:tc>
          <w:tcPr>
            <w:tcW w:type="dxa" w:w="2016"/>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282828"/>
                <w:sz w:val="16"/>
              </w:rPr>
              <w:t>Cabai Rawit / Merah</w:t>
            </w:r>
          </w:p>
        </w:tc>
        <w:tc>
          <w:tcPr>
            <w:tcW w:type="dxa" w:w="1584"/>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val="0"/>
                <w:color w:val="B45309"/>
                <w:sz w:val="16"/>
              </w:rPr>
              <w:t>PENDING</w:t>
            </w:r>
          </w:p>
        </w:tc>
        <w:tc>
          <w:tcPr>
            <w:tcW w:type="dxa" w:w="1584"/>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B45309"/>
                <w:sz w:val="16"/>
              </w:rPr>
              <w:t>PENDING</w:t>
            </w:r>
          </w:p>
        </w:tc>
        <w:tc>
          <w:tcPr>
            <w:tcW w:type="dxa" w:w="1584"/>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B45309"/>
                <w:sz w:val="16"/>
              </w:rPr>
              <w:t>PENDING</w:t>
            </w:r>
          </w:p>
        </w:tc>
        <w:tc>
          <w:tcPr>
            <w:tcW w:type="dxa" w:w="1584"/>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w:t>
            </w:r>
          </w:p>
        </w:tc>
        <w:tc>
          <w:tcPr>
            <w:tcW w:type="dxa" w:w="3168"/>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pPr>
            <w:r/>
            <w:r>
              <w:rPr>
                <w:rFonts w:ascii="Aptos" w:hAnsi="Aptos"/>
                <w:b w:val="0"/>
                <w:color w:val="282828"/>
                <w:sz w:val="16"/>
              </w:rPr>
              <w:t>UNVERIFIED (CHILI_WATER, dilarang disubstitusi)</w:t>
            </w:r>
          </w:p>
        </w:tc>
      </w:tr>
    </w:tbl>
    <w:p/>
    <w:p>
      <w:pPr>
        <w:pStyle w:val="Heading1"/>
      </w:pPr>
      <w:r>
        <w:t>4. Temuan Empiris Kalibrasi Risiko pada Data Jawa Barat (2015–2024)</w:t>
      </w:r>
    </w:p>
    <w:p>
      <w:pPr>
        <w:spacing w:line="264" w:lineRule="auto"/>
      </w:pPr>
      <w:r>
        <w:t>Hasil eksekusi model risiko Phase 10 pada 10 tahun data harian AgERA5 (65.754 baris) di sentra Jawa Barat menunjukkan:</w:t>
        <w:br/>
        <w:t>1. Risiko Kekeringan Abiotik: Di sentra Subang, status kondisi_stres_abiotik terpicu pada 24.2% hari (883 hari), terkonsentrasi tajam pada musim kemarau (Mei–Oktober) dengan defisit lengas tanah mencapai puncaknya pada El Niño 2015, 2019, dan 2023.</w:t>
        <w:br/>
        <w:t>2. Risiko Genangan Abiotik: Terpicu pada 0.5% hari (20 kejadian badai ekstrem), memicu alert otomatis untuk pemeriksaan saluran drainase parit.</w:t>
        <w:br/>
        <w:t>3. Risiko Biotik OPT Fajar: Di sentra hortikultura Kabupaten Garut, ambang relatif P10 depresi titik embun fajar berhasil mendeteksi klaster kebasahan daun pada 9.0% hari pengamatan, memicu status kondisi_mendukung_OPT secara proporsional tanpa menghasilkan false alarm berlebih.</w:t>
        <w:br/>
        <w:t>4. Transparansi Bukti Ilmiah: Visualisasi FIG 10.21 dan FIG 10.22 telah disematkan di Notebook 10 dan didaftarkan di figure_manifest.csv.</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