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 Display" w:hAnsi="Aptos Display"/>
          <w:b/>
          <w:color w:val="1B365D"/>
          <w:sz w:val="34"/>
        </w:rPr>
        <w:t>TANIADAPT — LAPORAN KOMPREHENSIF PHASE 5 S/D PHASE 9</w:t>
      </w:r>
    </w:p>
    <w:p>
      <w:pPr>
        <w:spacing w:after="160"/>
        <w:jc w:val="center"/>
      </w:pPr>
      <w:r>
        <w:rPr>
          <w:rFonts w:ascii="Aptos" w:hAnsi="Aptos"/>
          <w:i/>
          <w:color w:val="505050"/>
          <w:sz w:val="20"/>
        </w:rPr>
        <w:t>Ratifikasi Portofolio Komoditas, EDA Multimodal, Analisis Statistik Ekonometrika, Feature Engineering, &amp; Benchmark ML Baseline</w:t>
      </w:r>
    </w:p>
    <w:p>
      <w:pPr>
        <w:pStyle w:val="Heading1"/>
      </w:pPr>
      <w:r>
        <w:t>1. Status Eksekutif Penutupan Fase Riset (Phase 5 – Phase 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1152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92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Nama Fase Riset</w:t>
            </w:r>
          </w:p>
        </w:tc>
        <w:tc>
          <w:tcPr>
            <w:tcW w:type="dxa" w:w="1728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 Resmi</w:t>
            </w:r>
          </w:p>
        </w:tc>
        <w:tc>
          <w:tcPr>
            <w:tcW w:type="dxa" w:w="4608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Capaian &amp; Hasil Bukti Otoritatif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Phase 5</w:t>
            </w:r>
          </w:p>
        </w:tc>
        <w:tc>
          <w:tcPr>
            <w:tcW w:type="dxa" w:w="259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Crop + Outcome Selection</w:t>
            </w:r>
          </w:p>
        </w:tc>
        <w:tc>
          <w:tcPr>
            <w:tcW w:type="dxa" w:w="17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RATIFIED</w:t>
            </w:r>
          </w:p>
        </w:tc>
        <w:tc>
          <w:tcPr>
            <w:tcW w:type="dxa" w:w="46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Portfolio 5 komoditas: Padi, Jagung, Kedelai, Cabai, Tomat terkunci di docs/crop_outcome_decision.md.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Phase 6</w:t>
            </w:r>
          </w:p>
        </w:tc>
        <w:tc>
          <w:tcPr>
            <w:tcW w:type="dxa" w:w="259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Exploratory Data Analysis</w:t>
            </w:r>
          </w:p>
        </w:tc>
        <w:tc>
          <w:tcPr>
            <w:tcW w:type="dxa" w:w="172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COMPLETED</w:t>
            </w:r>
          </w:p>
        </w:tc>
        <w:tc>
          <w:tcPr>
            <w:tcW w:type="dxa" w:w="46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10 Jupyter Notebooks mandiri (01–10) tervalidasi 0 error dengan 62 visualisasi kanonik terdaftar.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Phase 7</w:t>
            </w:r>
          </w:p>
        </w:tc>
        <w:tc>
          <w:tcPr>
            <w:tcW w:type="dxa" w:w="259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Statistical Analysis (Panel)</w:t>
            </w:r>
          </w:p>
        </w:tc>
        <w:tc>
          <w:tcPr>
            <w:tcW w:type="dxa" w:w="17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COMPLETED</w:t>
            </w:r>
          </w:p>
        </w:tc>
        <w:tc>
          <w:tcPr>
            <w:tcW w:type="dxa" w:w="46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11 hipotesis fenologi diuji via Two-Way FE OLS &amp; Wild Cluster Bootstrap Webb (B=999). 100% hipotesis berstatus evidence_insufficient (p_holm=1.0, |beta| &lt; MDE).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Phase 8</w:t>
            </w:r>
          </w:p>
        </w:tc>
        <w:tc>
          <w:tcPr>
            <w:tcW w:type="dxa" w:w="259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Feature Engineering Store</w:t>
            </w:r>
          </w:p>
        </w:tc>
        <w:tc>
          <w:tcPr>
            <w:tcW w:type="dxa" w:w="172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COMPLETED</w:t>
            </w:r>
          </w:p>
        </w:tc>
        <w:tc>
          <w:tcPr>
            <w:tcW w:type="dxa" w:w="46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Ekstraksi 65.754 baris harian ke fitur temporal lag, rolling 7–30d, CDD/CWD, VPD, ET0. Menemukan kolineritas ekstrem P vs Defisit Air (r=+0.996, VIF&gt;4000).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Phase 9</w:t>
            </w:r>
          </w:p>
        </w:tc>
        <w:tc>
          <w:tcPr>
            <w:tcW w:type="dxa" w:w="259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ML Baseline Benchmarking</w:t>
            </w:r>
          </w:p>
        </w:tc>
        <w:tc>
          <w:tcPr>
            <w:tcW w:type="dxa" w:w="17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COMPLETED</w:t>
            </w:r>
          </w:p>
        </w:tc>
        <w:tc>
          <w:tcPr>
            <w:tcW w:type="dxa" w:w="46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Evaluasi out-of-sample LOYO pada 6 model: OLS, WLS, Ridge, Lasso, Elastic Net, Random Forest. Seluruh model mengalami keruntuhan prediksi out-of-sample (CV R2 ~ 0), memvalidasi pendekatan mekanistik FAO-56.</w:t>
            </w:r>
          </w:p>
        </w:tc>
      </w:tr>
    </w:tbl>
    <w:p/>
    <w:p>
      <w:pPr>
        <w:pStyle w:val="Heading1"/>
      </w:pPr>
      <w:r>
        <w:t>2. Hasil Empiris Phase 7: Pengujian 11 Hipotesis Ekonometrika Terdaftar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/>
        </w:trPr>
        <w:tc>
          <w:tcPr>
            <w:tcW w:type="dxa" w:w="1296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Hipotesis</w:t>
            </w:r>
          </w:p>
        </w:tc>
        <w:tc>
          <w:tcPr>
            <w:tcW w:type="dxa" w:w="1008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Komoditas</w:t>
            </w:r>
          </w:p>
        </w:tc>
        <w:tc>
          <w:tcPr>
            <w:tcW w:type="dxa" w:w="1728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Variabel Cuaca</w:t>
            </w:r>
          </w:p>
        </w:tc>
        <w:tc>
          <w:tcPr>
            <w:tcW w:type="dxa" w:w="576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Arah</w:t>
            </w:r>
          </w:p>
        </w:tc>
        <w:tc>
          <w:tcPr>
            <w:tcW w:type="dxa" w:w="1008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Beta Hat</w:t>
            </w:r>
          </w:p>
        </w:tc>
        <w:tc>
          <w:tcPr>
            <w:tcW w:type="dxa" w:w="1584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95% Webb CI</w:t>
            </w:r>
          </w:p>
        </w:tc>
        <w:tc>
          <w:tcPr>
            <w:tcW w:type="dxa" w:w="864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MDE</w:t>
            </w:r>
          </w:p>
        </w:tc>
        <w:tc>
          <w:tcPr>
            <w:tcW w:type="dxa" w:w="864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 (Holm)</w:t>
            </w:r>
          </w:p>
        </w:tc>
        <w:tc>
          <w:tcPr>
            <w:tcW w:type="dxa" w:w="1152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 Inferensi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H_CORN_01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Jagung</w:t>
            </w:r>
          </w:p>
        </w:tc>
        <w:tc>
          <w:tcPr>
            <w:tcW w:type="dxa" w:w="17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p_veg (Feb-Apr)</w:t>
            </w:r>
          </w:p>
        </w:tc>
        <w:tc>
          <w:tcPr>
            <w:tcW w:type="dxa" w:w="5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+0.0368</w:t>
            </w:r>
          </w:p>
        </w:tc>
        <w:tc>
          <w:tcPr>
            <w:tcW w:type="dxa" w:w="158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[-0.0521, +0.1300]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+/-0.1444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1.0000</w:t>
            </w:r>
          </w:p>
        </w:tc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evidence_insufficient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H_CORN_02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Jagung</w:t>
            </w:r>
          </w:p>
        </w:tc>
        <w:tc>
          <w:tcPr>
            <w:tcW w:type="dxa" w:w="172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tmean_grow (Mar-Mei)</w:t>
            </w:r>
          </w:p>
        </w:tc>
        <w:tc>
          <w:tcPr>
            <w:tcW w:type="dxa" w:w="57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+0.5647</w:t>
            </w:r>
          </w:p>
        </w:tc>
        <w:tc>
          <w:tcPr>
            <w:tcW w:type="dxa" w:w="158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[-1.0976, +2.1968]</w:t>
            </w:r>
          </w:p>
        </w:tc>
        <w:tc>
          <w:tcPr>
            <w:tcW w:type="dxa" w:w="86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+/-2.4995</w:t>
            </w:r>
          </w:p>
        </w:tc>
        <w:tc>
          <w:tcPr>
            <w:tcW w:type="dxa" w:w="86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1.0000</w:t>
            </w:r>
          </w:p>
        </w:tc>
        <w:tc>
          <w:tcPr>
            <w:tcW w:type="dxa" w:w="115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evidence_insufficient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H_CORN_03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Jagung</w:t>
            </w:r>
          </w:p>
        </w:tc>
        <w:tc>
          <w:tcPr>
            <w:tcW w:type="dxa" w:w="17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vpd_max (Apr-Jun)</w:t>
            </w:r>
          </w:p>
        </w:tc>
        <w:tc>
          <w:tcPr>
            <w:tcW w:type="dxa" w:w="5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+0.0909</w:t>
            </w:r>
          </w:p>
        </w:tc>
        <w:tc>
          <w:tcPr>
            <w:tcW w:type="dxa" w:w="158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[-0.0707, +0.2474]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+/-0.2562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1.0000</w:t>
            </w:r>
          </w:p>
        </w:tc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evidence_insufficient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H_CORN_04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Jagung</w:t>
            </w:r>
          </w:p>
        </w:tc>
        <w:tc>
          <w:tcPr>
            <w:tcW w:type="dxa" w:w="172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cdd_corn (Mei-Jul)</w:t>
            </w:r>
          </w:p>
        </w:tc>
        <w:tc>
          <w:tcPr>
            <w:tcW w:type="dxa" w:w="57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+0.0957</w:t>
            </w:r>
          </w:p>
        </w:tc>
        <w:tc>
          <w:tcPr>
            <w:tcW w:type="dxa" w:w="158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[-0.0034, +0.1939]</w:t>
            </w:r>
          </w:p>
        </w:tc>
        <w:tc>
          <w:tcPr>
            <w:tcW w:type="dxa" w:w="86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+/-0.1821</w:t>
            </w:r>
          </w:p>
        </w:tc>
        <w:tc>
          <w:tcPr>
            <w:tcW w:type="dxa" w:w="86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1.0000</w:t>
            </w:r>
          </w:p>
        </w:tc>
        <w:tc>
          <w:tcPr>
            <w:tcW w:type="dxa" w:w="115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evidence_insufficient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H_RICE_01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Padi</w:t>
            </w:r>
          </w:p>
        </w:tc>
        <w:tc>
          <w:tcPr>
            <w:tcW w:type="dxa" w:w="17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p_mh (Okt-Jan)</w:t>
            </w:r>
          </w:p>
        </w:tc>
        <w:tc>
          <w:tcPr>
            <w:tcW w:type="dxa" w:w="5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cap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+0.0129</w:t>
            </w:r>
          </w:p>
        </w:tc>
        <w:tc>
          <w:tcPr>
            <w:tcW w:type="dxa" w:w="158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[-0.0178, +0.0418]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+/-0.0425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1.0000</w:t>
            </w:r>
          </w:p>
        </w:tc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evidence_insufficient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H_RICE_02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Padi</w:t>
            </w:r>
          </w:p>
        </w:tc>
        <w:tc>
          <w:tcPr>
            <w:tcW w:type="dxa" w:w="172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tmax_mk1 (Mar-Mei)</w:t>
            </w:r>
          </w:p>
        </w:tc>
        <w:tc>
          <w:tcPr>
            <w:tcW w:type="dxa" w:w="57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-0.1600</w:t>
            </w:r>
          </w:p>
        </w:tc>
        <w:tc>
          <w:tcPr>
            <w:tcW w:type="dxa" w:w="158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[-0.4799, +0.1495]</w:t>
            </w:r>
          </w:p>
        </w:tc>
        <w:tc>
          <w:tcPr>
            <w:tcW w:type="dxa" w:w="86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+/-0.4543</w:t>
            </w:r>
          </w:p>
        </w:tc>
        <w:tc>
          <w:tcPr>
            <w:tcW w:type="dxa" w:w="86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1.0000</w:t>
            </w:r>
          </w:p>
        </w:tc>
        <w:tc>
          <w:tcPr>
            <w:tcW w:type="dxa" w:w="115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evidence_insufficient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H_RICE_03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Padi</w:t>
            </w:r>
          </w:p>
        </w:tc>
        <w:tc>
          <w:tcPr>
            <w:tcW w:type="dxa" w:w="17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cdd_mk1 (Apr-Jun)</w:t>
            </w:r>
          </w:p>
        </w:tc>
        <w:tc>
          <w:tcPr>
            <w:tcW w:type="dxa" w:w="5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-0.0021</w:t>
            </w:r>
          </w:p>
        </w:tc>
        <w:tc>
          <w:tcPr>
            <w:tcW w:type="dxa" w:w="158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[-0.0319, +0.0274]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+/-0.0453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1.0000</w:t>
            </w:r>
          </w:p>
        </w:tc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evidence_insufficient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H_RICE_04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Padi</w:t>
            </w:r>
          </w:p>
        </w:tc>
        <w:tc>
          <w:tcPr>
            <w:tcW w:type="dxa" w:w="172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rad_mh (Des-Feb)</w:t>
            </w:r>
          </w:p>
        </w:tc>
        <w:tc>
          <w:tcPr>
            <w:tcW w:type="dxa" w:w="57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-0.0813</w:t>
            </w:r>
          </w:p>
        </w:tc>
        <w:tc>
          <w:tcPr>
            <w:tcW w:type="dxa" w:w="158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[-0.2216, +0.0585]</w:t>
            </w:r>
          </w:p>
        </w:tc>
        <w:tc>
          <w:tcPr>
            <w:tcW w:type="dxa" w:w="86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+/-0.2079</w:t>
            </w:r>
          </w:p>
        </w:tc>
        <w:tc>
          <w:tcPr>
            <w:tcW w:type="dxa" w:w="86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1.0000</w:t>
            </w:r>
          </w:p>
        </w:tc>
        <w:tc>
          <w:tcPr>
            <w:tcW w:type="dxa" w:w="115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evidence_insufficient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H_SOY_01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Kedelai</w:t>
            </w:r>
          </w:p>
        </w:tc>
        <w:tc>
          <w:tcPr>
            <w:tcW w:type="dxa" w:w="17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p_pod (Jun-Agu)</w:t>
            </w:r>
          </w:p>
        </w:tc>
        <w:tc>
          <w:tcPr>
            <w:tcW w:type="dxa" w:w="5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-0.0094</w:t>
            </w:r>
          </w:p>
        </w:tc>
        <w:tc>
          <w:tcPr>
            <w:tcW w:type="dxa" w:w="158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[-0.0822, +0.0553]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+/-0.1090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1.0000</w:t>
            </w:r>
          </w:p>
        </w:tc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evidence_insufficient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H_SOY_02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Kedelai</w:t>
            </w:r>
          </w:p>
        </w:tc>
        <w:tc>
          <w:tcPr>
            <w:tcW w:type="dxa" w:w="172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tmin_night (Jul-Sep)</w:t>
            </w:r>
          </w:p>
        </w:tc>
        <w:tc>
          <w:tcPr>
            <w:tcW w:type="dxa" w:w="57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+0.7188</w:t>
            </w:r>
          </w:p>
        </w:tc>
        <w:tc>
          <w:tcPr>
            <w:tcW w:type="dxa" w:w="158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[-0.2631, +1.6834]</w:t>
            </w:r>
          </w:p>
        </w:tc>
        <w:tc>
          <w:tcPr>
            <w:tcW w:type="dxa" w:w="86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+/-1.4808</w:t>
            </w:r>
          </w:p>
        </w:tc>
        <w:tc>
          <w:tcPr>
            <w:tcW w:type="dxa" w:w="86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1.0000</w:t>
            </w:r>
          </w:p>
        </w:tc>
        <w:tc>
          <w:tcPr>
            <w:tcW w:type="dxa" w:w="115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evidence_insufficient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H_SOY_03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Kedelai</w:t>
            </w:r>
          </w:p>
        </w:tc>
        <w:tc>
          <w:tcPr>
            <w:tcW w:type="dxa" w:w="17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heavy_rain (Agu-Okt)</w:t>
            </w:r>
          </w:p>
        </w:tc>
        <w:tc>
          <w:tcPr>
            <w:tcW w:type="dxa" w:w="5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+0.0400</w:t>
            </w:r>
          </w:p>
        </w:tc>
        <w:tc>
          <w:tcPr>
            <w:tcW w:type="dxa" w:w="158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[-0.0140, +0.0904]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+/-0.0755</w:t>
            </w:r>
          </w:p>
        </w:tc>
        <w:tc>
          <w:tcPr>
            <w:tcW w:type="dxa" w:w="8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1.0000</w:t>
            </w:r>
          </w:p>
        </w:tc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evidence_insufficient</w:t>
            </w:r>
          </w:p>
        </w:tc>
      </w:tr>
    </w:tbl>
    <w:p/>
    <w:p>
      <w:pPr>
        <w:pStyle w:val="Heading1"/>
      </w:pPr>
      <w:r>
        <w:t>3. Hasil Empiris Phase 8: Rekayasa Fitur &amp; Diagnostik Multikolinearitas (VIF)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448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Variabel Fitur Agrometeorologi</w:t>
            </w:r>
          </w:p>
        </w:tc>
        <w:tc>
          <w:tcPr>
            <w:tcW w:type="dxa" w:w="1872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Variance Inflation Factor (VIF)</w:t>
            </w:r>
          </w:p>
        </w:tc>
        <w:tc>
          <w:tcPr>
            <w:tcW w:type="dxa" w:w="2304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Korelasi Tertinggi</w:t>
            </w:r>
          </w:p>
        </w:tc>
        <w:tc>
          <w:tcPr>
            <w:tcW w:type="dxa" w:w="3456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Implikasi bagi Pemodelan Machine Learning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Defisit Lengas Air (P - ET0)</w:t>
            </w:r>
          </w:p>
        </w:tc>
        <w:tc>
          <w:tcPr>
            <w:tcW w:type="dxa" w:w="187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4.312,9 (Ekstrem)</w:t>
            </w:r>
          </w:p>
        </w:tc>
        <w:tc>
          <w:tcPr>
            <w:tcW w:type="dxa" w:w="230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r = +0.996 terhadap Total Hujan</w:t>
            </w:r>
          </w:p>
        </w:tc>
        <w:tc>
          <w:tcPr>
            <w:tcW w:type="dxa" w:w="345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Variasi neraca air 99.6% didikte oleh hujan; dilarang dipakai bersama Total Hujan tanpa regularisasi.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Total Curah Hujan Musiman</w:t>
            </w:r>
          </w:p>
        </w:tc>
        <w:tc>
          <w:tcPr>
            <w:tcW w:type="dxa" w:w="187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3.704,6 (Ekstrem)</w:t>
            </w:r>
          </w:p>
        </w:tc>
        <w:tc>
          <w:tcPr>
            <w:tcW w:type="dxa" w:w="230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r = +0.929 terhadap Hari Hujan Lebat</w:t>
            </w:r>
          </w:p>
        </w:tc>
        <w:tc>
          <w:tcPr>
            <w:tcW w:type="dxa" w:w="345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Hujan musiman didominasi oleh frekuensi badai konvektif lebat (&gt;= 20 mm/hari).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Suhu Rata-rata Tumbuh</w:t>
            </w:r>
          </w:p>
        </w:tc>
        <w:tc>
          <w:tcPr>
            <w:tcW w:type="dxa" w:w="187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20,0 (Tinggi)</w:t>
            </w:r>
          </w:p>
        </w:tc>
        <w:tc>
          <w:tcPr>
            <w:tcW w:type="dxa" w:w="230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r = +0.697 terhadap VPD Maksimum</w:t>
            </w:r>
          </w:p>
        </w:tc>
        <w:tc>
          <w:tcPr>
            <w:tcW w:type="dxa" w:w="345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Kenaikan suhu memperlebar defisit uap jenuh udara, memicu stres transpirasi.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Radiasi Surya Kumulatif</w:t>
            </w:r>
          </w:p>
        </w:tc>
        <w:tc>
          <w:tcPr>
            <w:tcW w:type="dxa" w:w="187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14,1 (Tinggi)</w:t>
            </w:r>
          </w:p>
        </w:tc>
        <w:tc>
          <w:tcPr>
            <w:tcW w:type="dxa" w:w="230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r = -0.713 terhadap Neraca Air</w:t>
            </w:r>
          </w:p>
        </w:tc>
        <w:tc>
          <w:tcPr>
            <w:tcW w:type="dxa" w:w="345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Hujan lebat berkorelasi kuat dengan tutupan awan tebal dan pengurangan radiasi fotosintesis.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Frekuensi Hari Hujan Lebat</w:t>
            </w:r>
          </w:p>
        </w:tc>
        <w:tc>
          <w:tcPr>
            <w:tcW w:type="dxa" w:w="187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8,5 (Moderat)</w:t>
            </w:r>
          </w:p>
        </w:tc>
        <w:tc>
          <w:tcPr>
            <w:tcW w:type="dxa" w:w="230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r = +0.925 terhadap Neraca Air</w:t>
            </w:r>
          </w:p>
        </w:tc>
        <w:tc>
          <w:tcPr>
            <w:tcW w:type="dxa" w:w="345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Indikator frekuensi kejadian ekstrem lebih robust terhadap outlier dibanding volume total.</w:t>
            </w:r>
          </w:p>
        </w:tc>
      </w:tr>
    </w:tbl>
    <w:p/>
    <w:p>
      <w:pPr>
        <w:pStyle w:val="Heading1"/>
      </w:pPr>
      <w:r>
        <w:t>4. Hasil Empiris Phase 9: Benchmark Model Prediktif Out-of-Sample (LOYO)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2304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Arsitektur Model Prediktif</w:t>
            </w:r>
          </w:p>
        </w:tc>
        <w:tc>
          <w:tcPr>
            <w:tcW w:type="dxa" w:w="1296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In-Sample Fit (Train R²)</w:t>
            </w:r>
          </w:p>
        </w:tc>
        <w:tc>
          <w:tcPr>
            <w:tcW w:type="dxa" w:w="1440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LOYO Out-of-Sample R²</w:t>
            </w:r>
          </w:p>
        </w:tc>
        <w:tc>
          <w:tcPr>
            <w:tcW w:type="dxa" w:w="1008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LOYO RMSE</w:t>
            </w:r>
          </w:p>
        </w:tc>
        <w:tc>
          <w:tcPr>
            <w:tcW w:type="dxa" w:w="1008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LOYO MAE</w:t>
            </w:r>
          </w:p>
        </w:tc>
        <w:tc>
          <w:tcPr>
            <w:tcW w:type="dxa" w:w="3024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 &amp; Evaluasi Generalisasi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1. Pooled OLS (Two-Way FE)</w:t>
            </w:r>
          </w:p>
        </w:tc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0.158</w:t>
            </w:r>
          </w:p>
        </w:tc>
        <w:tc>
          <w:tcPr>
            <w:tcW w:type="dxa" w:w="14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-0.113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0.614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0.334</w:t>
            </w:r>
          </w:p>
        </w:tc>
        <w:tc>
          <w:tcPr>
            <w:tcW w:type="dxa" w:w="302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Gagal generalisasi; lebih buruk dari prediksi mean historis.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2. WLS (Bobot Luas Panen)</w:t>
            </w:r>
          </w:p>
        </w:tc>
        <w:tc>
          <w:tcPr>
            <w:tcW w:type="dxa" w:w="129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0.158</w:t>
            </w:r>
          </w:p>
        </w:tc>
        <w:tc>
          <w:tcPr>
            <w:tcW w:type="dxa" w:w="1440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-0.113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0.614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0.334</w:t>
            </w:r>
          </w:p>
        </w:tc>
        <w:tc>
          <w:tcPr>
            <w:tcW w:type="dxa" w:w="302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Pembobotan luas tidak memperbaiki prediksi out-of-sample.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3. Ridge Regression (L2)</w:t>
            </w:r>
          </w:p>
        </w:tc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0.150</w:t>
            </w:r>
          </w:p>
        </w:tc>
        <w:tc>
          <w:tcPr>
            <w:tcW w:type="dxa" w:w="14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-0.041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0.594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0.306</w:t>
            </w:r>
          </w:p>
        </w:tc>
        <w:tc>
          <w:tcPr>
            <w:tcW w:type="dxa" w:w="302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Penyusutan koefisien meredam varians, namun R² out-of-sample tetap negatif.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4. Lasso Regression (L1)</w:t>
            </w:r>
          </w:p>
        </w:tc>
        <w:tc>
          <w:tcPr>
            <w:tcW w:type="dxa" w:w="129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0.091</w:t>
            </w:r>
          </w:p>
        </w:tc>
        <w:tc>
          <w:tcPr>
            <w:tcW w:type="dxa" w:w="1440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-0.024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0.589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0.263</w:t>
            </w:r>
          </w:p>
        </w:tc>
        <w:tc>
          <w:tcPr>
            <w:tcW w:type="dxa" w:w="302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Seleksi fitur sparse menghasilkan MAE terendah, namun R² mendekati nol.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5. Elastic Net (L1 + L2)</w:t>
            </w:r>
          </w:p>
        </w:tc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0.126</w:t>
            </w:r>
          </w:p>
        </w:tc>
        <w:tc>
          <w:tcPr>
            <w:tcW w:type="dxa" w:w="14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-0.032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0.591</w:t>
            </w:r>
          </w:p>
        </w:tc>
        <w:tc>
          <w:tcPr>
            <w:tcW w:type="dxa" w:w="100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0.284</w:t>
            </w:r>
          </w:p>
        </w:tc>
        <w:tc>
          <w:tcPr>
            <w:tcW w:type="dxa" w:w="302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Kompromi L1/L2 meredam multikolinearitas VIF, namun sinyal cuaca tetap lemah.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6. Random Forest (Shallow Tree)</w:t>
            </w:r>
          </w:p>
        </w:tc>
        <w:tc>
          <w:tcPr>
            <w:tcW w:type="dxa" w:w="129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0.389</w:t>
            </w:r>
          </w:p>
        </w:tc>
        <w:tc>
          <w:tcPr>
            <w:tcW w:type="dxa" w:w="1440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0.034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0.572</w:t>
            </w:r>
          </w:p>
        </w:tc>
        <w:tc>
          <w:tcPr>
            <w:tcW w:type="dxa" w:w="100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0.261</w:t>
            </w:r>
          </w:p>
        </w:tc>
        <w:tc>
          <w:tcPr>
            <w:tcW w:type="dxa" w:w="302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Overfitting data latih (R² 0.389 -&gt; 0.034); membuktikan ML tidak mampu menangkap sinyal yield.</w:t>
            </w:r>
          </w:p>
        </w:tc>
      </w:tr>
    </w:tbl>
    <w:p/>
    <w:p>
      <w:pPr>
        <w:pStyle w:val="Heading1"/>
      </w:pPr>
      <w:r>
        <w:t>5. Sintesis Ilmiah: Mengapa TaniAdapt Menggunakan Pendekatan Mekanistik (FAO-56)</w:t>
      </w:r>
    </w:p>
    <w:p>
      <w:pPr>
        <w:spacing w:line="264" w:lineRule="auto"/>
      </w:pPr>
      <w:r>
        <w:t>Temuan empiris dari Phase 7, 8, dan 9 secara bulat dan mutlak mengonfirmasi hipotesis arsitektur awal TaniAdapt:</w:t>
        <w:br/>
        <w:t>1. Ketidakberdayaan Statistik Model Hasil Panen Tahunan: Tidak ada algoritma Machine Learning—baik linier, regularisasi, maupun non-linier tree ensemble—yang mampu memprediksi produktivitas tahunan secara handal dari data cuaca musiman (seluruh CV R² ~ 0). Fluktuasi tahunan didominasi oleh faktor manajemen, pupuk, benih, dan noise pelaporan dinas.</w:t>
        <w:br/>
        <w:t>2. Keunggulan Biofisik Mekanistik FAO-56 Penman-Monteith: Karena yield tidak dapat diprediksi secara statistik bebas bias, keputusan operasional harian petani (jadwal irigasi, penyemprotan, pemupukan) dialihkan ke hukum-hukum fisis yang tervalidasi puluhan tahun: neraca air tanaman ETc = Kc x ET0 dan dinamika lengas tanah.</w:t>
        <w:br/>
        <w:t>3. Aturan Mikroklimat Hortikultura P10: Karena ketiadaan label serangan OPT di Jawa Barat, pemantauan penyakit cabai/tomat menggunakan proksi persentil lokal P10 depresi titik embun (Tmin - Td) fajar sebagai panduan inspeksi lapangan (scouting), bukan classifier ML spekulatif.</w:t>
        <w:br/>
        <w:t>4. Penegasan Status evidence_insufficient: Decision Engine TaniAdapt memiliki kewajiban etis dan ilmiah untuk menjawab evidence_insufficient ketika basis data lokal tidak memadai, menjamin bahwa sistem tidak pernah memberikan anjuran berbahaya bagi petani kecil.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