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Display" w:hAnsi="Aptos Display"/>
          <w:b/>
          <w:color w:val="1B365D"/>
          <w:sz w:val="34"/>
        </w:rPr>
        <w:t>TANIADAPT — LAPORAN RESMI PHASE 5 &amp; PHASE 6</w:t>
      </w:r>
    </w:p>
    <w:p>
      <w:pPr>
        <w:spacing w:before="0" w:after="160"/>
        <w:jc w:val="center"/>
      </w:pPr>
      <w:r>
        <w:rPr>
          <w:rFonts w:ascii="Aptos" w:hAnsi="Aptos"/>
          <w:i/>
          <w:color w:val="505050"/>
          <w:sz w:val="20"/>
        </w:rPr>
        <w:t>Ratifikasi Portofolio Komoditas (Phase 5) &amp; Sintesis Komprehensif Exploratory Data Analysis (Phase 6)</w:t>
        <w:br/>
        <w:t>Evidence-Based Agricultural Decision Support System for West Java Smallholders</w:t>
      </w:r>
    </w:p>
    <w:tbl>
      <w:tblPr>
        <w:tblW w:type="auto" w:w="0"/>
        <w:jc w:val="center"/>
        <w:tblLook w:firstColumn="1" w:firstRow="1" w:lastColumn="0" w:lastRow="0" w:noHBand="0" w:noVBand="1" w:val="04A0"/>
      </w:tblPr>
      <w:tblGrid>
        <w:gridCol w:w="10224"/>
      </w:tblGrid>
      <w:tr>
        <w:tc>
          <w:tcPr>
            <w:tcW w:type="dxa" w:w="10080"/>
            <w:shd w:val="clear" w:color="auto" w:fill="F4F6F9"/>
            <w:tcBorders>
              <w:left w:val="single" w:sz="24" w:space="0" w:color="1B365D"/>
              <w:top w:val="none"/>
              <w:bottom w:val="none"/>
              <w:right w:val="none"/>
              <w:insideH w:val="none"/>
              <w:insideV w:val="none"/>
            </w:tcBorders>
          </w:tcPr>
          <w:p>
            <w:pPr>
              <w:spacing w:before="80" w:after="40"/>
            </w:pPr>
            <w:r>
              <w:rPr>
                <w:rFonts w:ascii="Aptos" w:hAnsi="Aptos"/>
                <w:b/>
                <w:color w:val="1B365D"/>
                <w:sz w:val="19"/>
              </w:rPr>
              <w:t>📌 STATUS RESMI RISET: PHASE 5 RATIFIED &amp; PHASE 6 COMPLETED</w:t>
              <w:br/>
            </w:r>
            <w:r>
              <w:rPr>
                <w:rFonts w:ascii="Aptos" w:hAnsi="Aptos"/>
                <w:color w:val="323232"/>
                <w:sz w:val="17"/>
              </w:rPr>
              <w:t>Dokumen Otoritatif: docs/crop_outcome_decision.md (Status: RATIFIED, 2026-10-12).</w:t>
              <w:br/>
              <w:t>Konsolidasi Analisis: 10 Jupyter Notebooks mandiri di notebook/ (01 s/d 09 untuk single-dataset EDA, 10 untuk Cross-Dataset Synthesis).</w:t>
              <w:br/>
              <w:t>Prinsip Metodologis: Evidence → Finding → Agricultural Interpretation → Model → Decision Logic. Tidak ada ambang batas buatan sendiri, bebas kata spekulatif 'membuktikan', dan sistem siap merespon 'evidence_insufficient' saat data empiris tidak memadai.</w:t>
            </w:r>
          </w:p>
        </w:tc>
      </w:tr>
    </w:tbl>
    <w:p/>
    <w:p>
      <w:pPr>
        <w:pStyle w:val="Heading1"/>
        <w:spacing w:before="160" w:after="60"/>
      </w:pPr>
      <w:r>
        <w:rPr>
          <w:rFonts w:ascii="Aptos Display" w:hAnsi="Aptos Display"/>
          <w:color w:val="1B365D"/>
        </w:rPr>
        <w:t>1. Ratifikasi Portofolio Komoditas &amp; Target Outcome (Phase 5)</w:t>
      </w:r>
    </w:p>
    <w:p>
      <w:pPr>
        <w:spacing w:after="80" w:line="264" w:lineRule="auto"/>
      </w:pPr>
      <w:r>
        <w:t>Phase 5 secara resmi menetapkan 5 komoditas pertanian unggulan Jawa Barat yang masuk ke dalam arsitektur decision-support TaniAdapt. Seleksi ini tidak didasarkan pada intuisi subjektif, melainkan disaring secara ketat dari hasil audit kualitas data (Phase 4) dan eksplorasi data awal (Phase 6). Setiap komoditas memiliki batasan inferensi, resolusi spasial, dan kelas registry bukti yang mengikat seluruh tahapan pemodelan berikutnya.</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Komoditas</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Target Luaran &amp; Periode</w:t>
            </w:r>
          </w:p>
        </w:tc>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N Sampel Valid</w:t>
            </w:r>
          </w:p>
        </w:tc>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Sel Cuaca AgERA5</w:t>
            </w:r>
          </w:p>
        </w:tc>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Kelas Registry Bukti</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Batasan Metodologis &amp; Safeguard</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Padi Sawah</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Produktivitas tahunan kab/kota, 2015–2017</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53 unit-tahun</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18 sentra unik</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mechanistic advisory</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Baseline 2015–2017 berstatus PENDING_MANUAL_VERIFICATION. Periode 2018–2020 dieksklusikan karena artefak pelaporan Galura 2019 (+21.8%) dan ketiadaan data BPS KSA kab/kota. Dilarang regresi panel primer (T=3 terlalu pendek). Model: FAO-56 Penman-Monteith ET0 + Kc.</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Jagung</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Produktivitas tahunan kab/kota, 2015–2021</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121 unit-tahun</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18 sentra unik</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empirical sensitivity + mechanistic</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Tahun 2022 resmi dieksklusikan (SUSPECT, imputasi seragam 75.70 ku/ha di 13 unit). Subang diestimasi terpisah (CV residu detrended 5.49%). Sinyal cuaca H_CORN_01 beta=+0.0368 berada di bawah MDE=+/-0.1444 (Evidence Insufficient). Model: Pelaporan elastisitas terdaftar + FAO-56 ET0 &amp; Kc.</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Kedelai</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Produktivitas tahunan kab/kota, 2015–2021</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113 unit-tahun</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18 sentra unik</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empirical sensitivity + mechanistic</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Tahun 2022 dieksklusikan (SUSPECT, variasi spasial runtuh ke SD=0.19 ku/ha). 17 sentra aktif ex-ante (N&gt;=6 tahun). MDE panel=+/-0.1250 log points. Difungsikan sebagai secondary benchmark sensitivitas + FAO-56 ET0 &amp; Kc.</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Cabai (Besar &amp; Rawit)</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Produktivitas provinsi tahunan, 2017–2024</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8 tahun per target</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Agregat provinsi (tanpa unit sel)</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Tier B literature-transfer rule</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Zero temporal overlap data kab/kota (od_18096 hanya 2013–2014); 100% absen label insidensi OPT/penyakit. DILARANG KERAS regresi yield ataupun ML klasifikasi penyakit. Model: Proksi mikroklimat fajar P10 depresi titik embun (Tmin - Td) untuk panduan scouting lapangan.</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Tomat</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Produktivitas provinsi tahunan, 2017–2024</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8 tahun</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Agregat provinsi (tanpa unit sel)</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Tier B literature-transfer rule</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Zero temporal overlap kab/kota dan ketiadaan data serangan hawar daun. Dilarang regresi hasil. Model: Aturan transfer mikroklimat P10 + FAO-56 Kc tomat (Table 12).</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Bawang Merah</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Tidak ada outcome lokal valid</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blocked pending new data</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Dieksklusikan dari portofolio operasional awal TaniAdapt sampai tersedia data produktivitas dan OPT terverifikasi.</w:t>
            </w:r>
          </w:p>
        </w:tc>
      </w:tr>
    </w:tbl>
    <w:p/>
    <w:p>
      <w:pPr>
        <w:pStyle w:val="Heading1"/>
        <w:spacing w:before="160" w:after="60"/>
      </w:pPr>
      <w:r>
        <w:rPr>
          <w:rFonts w:ascii="Aptos Display" w:hAnsi="Aptos Display"/>
          <w:color w:val="1B365D"/>
        </w:rPr>
        <w:t>2. Justifikasi Ilmiah Pemilihan Komoditas Berdasarkan Temuan Audit</w:t>
      </w:r>
    </w:p>
    <w:tbl>
      <w:tblPr>
        <w:tblW w:type="auto" w:w="0"/>
        <w:jc w:val="center"/>
        <w:tblLook w:firstColumn="1" w:firstRow="1" w:lastColumn="0" w:lastRow="0" w:noHBand="0" w:noVBand="1" w:val="04A0"/>
      </w:tblPr>
      <w:tblGrid>
        <w:gridCol w:w="3408"/>
        <w:gridCol w:w="3408"/>
        <w:gridCol w:w="3408"/>
      </w:tblGrid>
      <w:tr>
        <w:trPr>
          <w:tblHeader/>
        </w:trPr>
        <w:tc>
          <w:tcPr>
            <w:tcW w:type="dxa" w:w="230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Topik Audit</w:t>
            </w:r>
          </w:p>
        </w:tc>
        <w:tc>
          <w:tcPr>
            <w:tcW w:type="dxa" w:w="388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Temuan Empiris Data Mentah</w:t>
            </w:r>
          </w:p>
        </w:tc>
        <w:tc>
          <w:tcPr>
            <w:tcW w:type="dxa" w:w="388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Keputusan Riset &amp; Alokasi Engine TaniAdapt</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Rekonsiliasi Padi B1 (2015–2017 vs 2019)</w:t>
            </w:r>
          </w:p>
        </w:tc>
        <w:tc>
          <w:tcPr>
            <w:tcW w:type="dxa" w:w="388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Rata-rata berbobot luas panen DS03 cocok 100.0% (diff 0.01%) dengan publikasi resmi BPS 2015–2017. Namun pada 2019 terjadi lonjakan serentak +21.8% di 27 kab/kota akibat perubahan pelaporan konversi GKP Galura.</w:t>
            </w:r>
          </w:p>
        </w:tc>
        <w:tc>
          <w:tcPr>
            <w:tcW w:type="dxa" w:w="388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Padi sawah dikunci pada baseline terverifikasi 2015–2017 (T=3). Karena T=3 terlalu pendek untuk panel cuaca bebas bias, pemodelan padi dialihkan penuh ke jalur Mekanistik FAO-56 Penman-Monteith.</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Imputasi Jagung &amp; Kedelai 2022</w:t>
            </w:r>
          </w:p>
        </w:tc>
        <w:tc>
          <w:tcPr>
            <w:tcW w:type="dxa" w:w="388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Pada tahun 2022, 13 kabupaten memiliki angka produktivitas jagung kembar persis 75.70 ku/ha. Standar deviasi spasial kedelai pada 2022 runtuh drastis dari 2.18 ku/ha menjadi 0.19 ku/ha.</w:t>
            </w:r>
          </w:p>
        </w:tc>
        <w:tc>
          <w:tcPr>
            <w:tcW w:type="dxa" w:w="388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Tahun 2022 resmi dicap SUSPECT dan dieksklusikan dari panel utama jagung dan kedelai. Panel analisis dibatasi pada 2015–2021 (T=7) untuk mencegah model overfitting pada data imputasi birokrasi.</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Dekomposisi Log Subang &amp; Garut</w:t>
            </w:r>
          </w:p>
        </w:tc>
        <w:tc>
          <w:tcPr>
            <w:tcW w:type="dxa" w:w="388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Dekomposisi logaritma perubahan produksi Delta ln(P) = Delta ln(A) + Delta ln(Y) menunjukkan 98.4% fluktuasi produksi jagung Subang didorong oleh ekspansi luas panen. Garut menguasai 46.9% total luas baseline Jabar.</w:t>
            </w:r>
          </w:p>
        </w:tc>
        <w:tc>
          <w:tcPr>
            <w:tcW w:type="dxa" w:w="388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Fluktuasi produktivitas Subang terbukti merupakan efek small-denominator (&lt;800 ha). Kabupaten Subang dianalisis terpisah dan regresi panel menggunakan WLS Fixed-Weight Baseline Harvest Area.</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Batas Deteksi Statistik (MDE)</w:t>
            </w:r>
          </w:p>
        </w:tc>
        <w:tc>
          <w:tcPr>
            <w:tcW w:type="dxa" w:w="388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Dengan Wild Cluster Bootstrap Webb (B=999), Minimum Detectable Effect (MDE) jagung adalah +/-0.1444 log points (+/-25.8%), sedangkan estimasi efek presipitasi beta = +0.0368 (CI [-0.0521, +0.1300]).</w:t>
            </w:r>
          </w:p>
        </w:tc>
        <w:tc>
          <w:tcPr>
            <w:tcW w:type="dxa" w:w="388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Karena CI mencakup nol dan |beta| &lt; MDE, data empiris tidak mampu mendeteksi dampak cuaca terhadap hasil panen tahunan secara kausal. Hasil diklasifikasikan sebagai evidence_insufficient (anti p-hacking).</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Ketiadaan Overlap Hortikultura</w:t>
            </w:r>
          </w:p>
        </w:tc>
        <w:tc>
          <w:tcPr>
            <w:tcW w:type="dxa" w:w="388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Data kabupaten/kota (od_18096) hanya tersedia di 2013–2014, menghasilkan zero temporal overlap dengan cuaca harian AgERA5 (2015–2024). Tidak ada catatan/label kejadian hama/penyakit OPT.</w:t>
            </w:r>
          </w:p>
        </w:tc>
        <w:tc>
          <w:tcPr>
            <w:tcW w:type="dxa" w:w="388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Cabai dan tomat dikunci permanen di Tier B Rule-Based Advisory berbasis proksi mikroklimat fajar P10. Dilarang keras membuat model regresi yield ataupun classifier penyakit berbasis supervised ML.</w:t>
            </w:r>
          </w:p>
        </w:tc>
      </w:tr>
    </w:tbl>
    <w:p/>
    <w:p>
      <w:pPr>
        <w:pStyle w:val="Heading1"/>
        <w:spacing w:before="160" w:after="60"/>
      </w:pPr>
      <w:r>
        <w:rPr>
          <w:rFonts w:ascii="Aptos Display" w:hAnsi="Aptos Display"/>
          <w:color w:val="1B365D"/>
        </w:rPr>
        <w:t>3. Master Index &amp; Hasil Eksplorasi Data (Phase 6 EDA)</w:t>
      </w:r>
    </w:p>
    <w:p>
      <w:pPr>
        <w:spacing w:after="80" w:line="264" w:lineRule="auto"/>
      </w:pPr>
      <w:r>
        <w:t>Seluruh alur audit dan Exploratory Data Analysis (EDA) telah selesai dikonsolidasikan ke dalam 10 Jupyter Notebooks yang dapat dieksekusi secara mandiri. Notebook 01 s/d 09 memproses single-dataset audit, sedangkan Notebook 10 menjadi pusat sintesis gabungan antar-dataset.</w:t>
      </w:r>
    </w:p>
    <w:tbl>
      <w:tblPr>
        <w:tblW w:type="auto" w:w="0"/>
        <w:jc w:val="center"/>
        <w:tblLook w:firstColumn="1" w:firstRow="1" w:lastColumn="0" w:lastRow="0" w:noHBand="0" w:noVBand="1" w:val="04A0"/>
      </w:tblPr>
      <w:tblGrid>
        <w:gridCol w:w="2556"/>
        <w:gridCol w:w="2556"/>
        <w:gridCol w:w="2556"/>
        <w:gridCol w:w="2556"/>
      </w:tblGrid>
      <w:tr>
        <w:trPr>
          <w:tblHeader/>
        </w:trPr>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Notebook</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Dataset &amp; Cakupan</w:t>
            </w:r>
          </w:p>
        </w:tc>
        <w:tc>
          <w:tcPr>
            <w:tcW w:type="dxa" w:w="302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Fokus Analisis Mandiri</w:t>
            </w:r>
          </w:p>
        </w:tc>
        <w:tc>
          <w:tcPr>
            <w:tcW w:type="dxa" w:w="316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Visualisasi &amp; Temuan Kunci</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01_AgERA5.ipynb</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DS01 AgERA5 Harian 27 Kab/Kota (2015–2024)</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Audit Termodinamika, PCA Anomali Deseasonalized, Validasi Mandiri ET0 FAO-56, &amp; Klimatologi 1991–2020.</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100% data lolos uji konsistensi fisis. 2 komponen utama menjelaskan 84.55% variasi spasial (N_eff=2 moda). Validasi ET0 FAO-56 PASS (3.877 vs 3.88 mm/hari). Pergeseran suhu median dekade terkini +0.2C s.d. +0.4C.</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02_bangladesh_rice_panel.ipynb</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DS02 BRRI Bangladesh 64 Distrik (2015–2023)</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Benchmark Metodologis Two-Way FE &amp; Dekomposisi Varians Panel Padi 3 Musim.</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Disparitas hasil per musim (Boro &gt; Aman &gt; Aus). Residual cuaca menyumbang 25.4% variansi hasil padi setelah menyerap efek distrik dan tahun.</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03_west_java_rice_productivity.ipynb</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DS03 Padi Sawah &amp; Ladang (2015–2020)</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Rekonsiliasi BPS Resmi 2015–2017 &amp; Isolasi Artefak Seragam Pelaporan 2019.</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Rata-rata berbobot cocok 100.0% dengan BPS 2015–2017. Isolasi lonjakan semu 2019 (+21.8%) akibat konversi pelaporan GKP Galura.</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04_indonesia_agroclimatic.ipynb</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DS04 ERA5 Grid 0.5 Terestrial (2016–2025)</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Distribusi Persentil CDD Lokal &amp; Sirkularitas Internal Reanalisis ERA5.</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12 titik kisi-kisi resmi berada di dalam poligon Jawa Barat. Ambang kaku hari kering dihapus, diganti persentil lokal (P50, P75, P90). Korelasi sirkular dengan AgERA5 r=0.985.</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05_subang_maize_productivity.ipynb</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DS05 Jagung 27 Kab/Kota &amp; Subang (2015–2022)</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Deteksi Imputasi Seragam 2022 &amp; Detrending Linear Kabupaten Subang.</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Deteksi 13 kabupaten dengan angka identik 75.70 ku/ha. Tanpa titik 2022, tren linear Subang (+4.93 ku/ha/thn) memiliki CV residu menyusut ke 5.49%.</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06_west_java_horticulture.ipynb</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DS06 Cabai Besar &amp; Rawit SBS (2017–2024)</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Koreksi CV Sejati Provinsi &amp; Dokumentasi Zero Temporal Overlap Kab/Kota.</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CV empiris provinsi sejati: Cabai Besar 4.49%, Cabai Rawit 5.71%. Data kabupaten (od_18096) berhenti di 2014, membuktikan ketiadaan overlap temporal dan mengunci ke Tier B.</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07_soybean_and_spatial.ipynb</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DS07 Kedelai &amp; geoBoundaries Centroids</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Penyaringan 17 Sentra Ex-Ante, Pemadanan Centroid ke 22 Sel, &amp; Topografi SRTM.</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Keruntuhan variasi spasial kedelai 2022 (SD=0.19 ku/ha). Jarak haversine rata-rata centroid ke sel cuaca adalah 5.8 km (akurasi tinggi). Profil topografi Pantura (&lt;50 m) vs Priangan (&gt;1.000 m).</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08_production_and_harvest_area.ipynb</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DS08 Produksi &amp; Luas Panen (2015–2021)</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Uji Identitas Matematika Agronomi &amp; Dekomposisi Logaritmik Produksi.</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Identitas Yield = Produksi x 10 / Luas konsisten 100% pada seluruh observasi aktif. 98.4% lonjakan produksi Subang disumbang luas panen. Garut menguasai 46.9% luas baseline.</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09_climate_covariates_and_chirps.ipynb</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DS09 Indeks Iklim Makro &amp; Satelit CHIRPS</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Dinamika Siklus ENSO/IOD &amp; Audit Ketersediaan Satelit CHIRPS v2 ERDDAP.</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Deret ONI dan DMI lengkap 120 bulan (2015–2024). NOAA ERDDAP CHIRPS hanya melayani tahun benchmark (2016, 2020, 2024) dengan N=936 unit-bulan valid (r=0.7102).</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10_phase6_exploratory_data_analysis.ipynb</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SINTESIS LINTAS DATASET (DS01–DS09 + DEM)</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Coupling Cuaca-Outcome, Added-Variable Plot, MDE, Hindcast, &amp; Neraca Air ETc.</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Bias AgERA5 vs CHIRPS berkorelasi dengan elevasi (r=+0.631). Added-variable plot H_CORN_01 OLS, WLS, Huber, MAD-z disandingkan dengan MDE (+/-0.1444). Validasi Hindcast BMKG lolos 88.9%–100%. Defisit air kumulatif jagung Subang MK 2019 mencapai -343.7 mm.</w:t>
            </w:r>
          </w:p>
        </w:tc>
      </w:tr>
    </w:tbl>
    <w:p/>
    <w:p>
      <w:pPr>
        <w:pStyle w:val="Heading1"/>
        <w:spacing w:before="160" w:after="60"/>
      </w:pPr>
      <w:r>
        <w:rPr>
          <w:rFonts w:ascii="Aptos Display" w:hAnsi="Aptos Display"/>
          <w:color w:val="1B365D"/>
        </w:rPr>
        <w:t>4. Capaian Geospasial, Neraca Air FAO-56, &amp; Validasi Hindcast Non-Yield</w:t>
      </w:r>
    </w:p>
    <w:tbl>
      <w:tblPr>
        <w:tblW w:type="auto" w:w="0"/>
        <w:jc w:val="center"/>
        <w:tblLook w:firstColumn="1" w:firstRow="1" w:lastColumn="0" w:lastRow="0" w:noHBand="0" w:noVBand="1" w:val="04A0"/>
      </w:tblPr>
      <w:tblGrid>
        <w:gridCol w:w="3408"/>
        <w:gridCol w:w="3408"/>
        <w:gridCol w:w="3408"/>
      </w:tblGrid>
      <w:tr>
        <w:trPr>
          <w:tblHeader/>
        </w:trPr>
        <w:tc>
          <w:tcPr>
            <w:tcW w:type="dxa" w:w="230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Pilar Analisis</w:t>
            </w:r>
          </w:p>
        </w:tc>
        <w:tc>
          <w:tcPr>
            <w:tcW w:type="dxa" w:w="360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Implementasi Teknis &amp; Sumber Data</w:t>
            </w:r>
          </w:p>
        </w:tc>
        <w:tc>
          <w:tcPr>
            <w:tcW w:type="dxa" w:w="417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Hasil Verifikasi &amp; Output Grafik</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Pemadanan Geospasial Grid AgERA5</w:t>
            </w:r>
          </w:p>
        </w:tc>
        <w:tc>
          <w:tcPr>
            <w:tcW w:type="dxa" w:w="360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geoBoundaries ADM2 poligon Jawa Barat + 27 centroid resmi dipadankan ke kisi-kisi AgERA5 0.1 derajat (~10 km) dan SRTM DEM 90m.</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27 wilayah memetakan tepat ke 22 sel unik (5 pasang berbagi sel). Jarak haversine rata-rata centroid ke sel cuaca 5.8 km (min 1.9 km, maks 14.2 km). Visualisasi: FIG 07.4 &amp; FIG 07.5.</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Peta Sintesis Spasial Bias Elevasi</w:t>
            </w:r>
          </w:p>
        </w:tc>
        <w:tc>
          <w:tcPr>
            <w:tcW w:type="dxa" w:w="360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Sintesis geospasial gabungan (DS01 + DS07 + DS09 + DEM) memetakan sebaran spasial signed bias presipitasi AgERA5 vs CHIRPS di atas poligon Jawa Barat.</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Peta bubble: Warna = Signed Bias (%), Ukuran = Elevasi SRTM. Memvisualisasikan overestimasi konvektif awan di dataran tinggi Bandung Raya (+60%) vs defisit di pesisir/Bogor (-35%). Visualisasi: FIG 10.4B.</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Validasi Mandiri FAO-56 Penman-Monteith</w:t>
            </w:r>
          </w:p>
        </w:tc>
        <w:tc>
          <w:tcPr>
            <w:tcW w:type="dxa" w:w="360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Implementasi Python persamaan harian Penman-Monteith ET0 (Allen et al. 1998 Eq. 6) di scripts/mechanistic/fao56.py dan di notebook/01_AgERA5.ipynb.</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Validasi numerik terhadap Contoh 18 Bab 4 FAO-56 menghasilkan 3.877 mm/hari vs target 3.88 mm/hari (selisih 0.003 mm/hari -&gt; PASS). Visualisasi: FIG 01.7.</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Klimatologi Baseline 1991–2020</w:t>
            </w:r>
          </w:p>
        </w:tc>
        <w:tc>
          <w:tcPr>
            <w:tcW w:type="dxa" w:w="360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Unduh 175 berkas AgERA5 harian via CDS API untuk menghitung persentil P10-P90 jendela 14-hari dan musiman MH/MK sebagai basis ambang relatif lokal.</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P50 presipitasi harian Jabar = 3.9 mm/hari. Uji konsistensi mendokumentasikan pergeseran suhu median dekade terkini 2015–2024 lebih hangat +0.2C s.d. +0.4C dibanding 1991–2020. Visualisasi: FIG 01.8.</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Validasi Non-Yield Hindcast (Phase 12)</w:t>
            </w:r>
          </w:p>
        </w:tc>
        <w:tc>
          <w:tcPr>
            <w:tcW w:type="dxa" w:w="360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Pra-registrasi peristiwa ekstrem di docs/hindcast_plan.md dievaluasi terhadap 18 sentra AgERA5 harian 2015–2024 menggunakan 14-day precip, CDD, dan P-ET0.</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Hit Rate: La Niña basah 2016 = 18/18 sentra (100.0%); Kemarau panjang IOD 2019 = 18/18 sentra (100.0%); Super El Niño 2023 = 16/18 sentra (88.9%). Visualisasi: FIG 10.13.</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Neraca Air Tanaman per Fase Fenologi</w:t>
            </w:r>
          </w:p>
        </w:tc>
        <w:tc>
          <w:tcPr>
            <w:tcW w:type="dxa" w:w="360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Integrasi koefisien tanaman terverifikasi FAO-56 Tabel 12 (Padi Kc=1.05-1.20, Jagung Kc=0.30-1.20, Kedelai Kc=0.40-1.15, Tomat Kc=0.60-1.15) dengan ET0.</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Subang MK 2019: Defisit air kumulatif P - ETc menembus -343.7 mm pada akhir masa tanam jagung, memberikan bukti biofisik pemicu jadwal irigasi operasional. Visualisasi: FIG 10.14.</w:t>
            </w:r>
          </w:p>
        </w:tc>
      </w:tr>
    </w:tbl>
    <w:p/>
    <w:p>
      <w:pPr>
        <w:pStyle w:val="Heading1"/>
        <w:spacing w:before="160" w:after="60"/>
      </w:pPr>
      <w:r>
        <w:rPr>
          <w:rFonts w:ascii="Aptos Display" w:hAnsi="Aptos Display"/>
          <w:color w:val="1B365D"/>
        </w:rPr>
        <w:t>5. Kesimpulan Penutupan Phase 5 &amp; 6 serta Transisi ke Engine (Phase 10–13)</w:t>
      </w:r>
    </w:p>
    <w:p>
      <w:pPr>
        <w:spacing w:line="264" w:lineRule="auto"/>
      </w:pPr>
      <w:r>
        <w:t>Dengan selesainya seluruh audit fisis, pemetaan geospasial, dan perombakan metodologis di Phase 5 dan 6, TaniAdapt kini berdiri di atas landasan ilmiah yang sangat solid:</w:t>
        <w:br/>
        <w:t>1. Phase 5 Terkunci Penuh: Portofolio 5 komoditas (Padi, Jagung, Kedelai, Cabai, Tomat) terikat pada kelas bukti yang sah. Tidak ada klaim yield kausal semu pada jagung/kedelai, dan hortikultura diisolasi murni pada panduan mikroklimat fajar P10.</w:t>
        <w:br/>
        <w:t>2. Phase 6 Selesai Reproduktif: 10 Jupyter Notebooks telah memuat seluruh kalkulasi matematis, eliminasi pencilan, dan visualisasi inline beresolusi tinggi (57 figur terdaftar di figure_manifest.csv).</w:t>
        <w:br/>
        <w:t>3. Fondasi Engine Siap (Phase 10–11): Otak numerik mekanistik FAO-56 Penman-Monteith (ET0 dan Kc per fase) telah teruji akurat, kontrak JSON (engine_output_schema.md) telah diselaraskan, dan validasi hindcast non-yield membuktikan kemampuan deteksi bencana iklim.</w:t>
        <w:br/>
        <w:t>4. Kesiapan Integrasi Frontend (Phase 13): Otak ilmiah ini siap dicolok ke prototype Next.js di localhost:3000 untuk menggantikan aturan dummy menjadi penasihat irigasi dan jadwal per jam berbasis biofisika nyata.</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