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PBI Uji Coba Knowledge Ingestion</w:t>
      </w:r>
    </w:p>
    <w:p>
      <w:r>
        <w:t>Peraturan ini mengatur kewajiban penerapan prinsip kehati-hatian, pengawasan, pelaporan transaksi, dan dokumentasi kepatuhan oleh penyelenggara jasa pembayaran.</w:t>
      </w:r>
    </w:p>
    <w:p>
      <w:r>
        <w:t>Berdasarkan Pasal 42 ayat (1), penyelenggara wajib melakukan identifikasi, verifikasi, dan pemantauan transaksi untuk memastikan kesesuaian dengan ketentuan Bank Indonesia.</w:t>
      </w:r>
    </w:p>
    <w:p>
      <w:r>
        <w:t>Dokumen ini dibuat sebagai data uji untuk memastikan sistem SAKSI dapat mengekstrak Word native-text, melakukan chunking, dan menjadikannya konteks yang siap dibaca oleh Gemini maupun fallback RAG lokal.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