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val="clear" w:fill="002855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BANK INDONESIA</w:t>
            </w:r>
          </w:p>
          <w:p>
            <w:pPr>
              <w:jc w:val="center"/>
            </w:pPr>
            <w:r>
              <w:rPr>
                <w:color w:val="C8A951"/>
                <w:sz w:val="18"/>
              </w:rPr>
              <w:t>BANK SENTRAL REPUBLIK INDONESIA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68"/>
        <w:gridCol w:w="5184"/>
        <w:gridCol w:w="3168"/>
      </w:tblGrid>
      <w:tr>
        <w:tc>
          <w:tcPr>
            <w:tcW w:type="dxa" w:w="3408"/>
          </w:tcPr>
          <w:p>
            <w:pPr>
              <w:jc w:val="left"/>
            </w:pPr>
            <w:r>
              <w:rPr>
                <w:b w:val="0"/>
                <w:sz w:val="18"/>
              </w:rPr>
              <w:t>KPwDN Provinsi DKI Jakarta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20"/>
              </w:rPr>
              <w:t>Laporan Monitoring Harian Transaksi KUPVA</w:t>
            </w:r>
          </w:p>
        </w:tc>
        <w:tc>
          <w:tcPr>
            <w:tcW w:type="dxa" w:w="3408"/>
          </w:tcPr>
          <w:p>
            <w:pPr>
              <w:jc w:val="right"/>
            </w:pPr>
            <w:r>
              <w:rPr>
                <w:b w:val="0"/>
                <w:sz w:val="18"/>
              </w:rPr>
              <w:t>Periode : 8 Jun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val="clear" w:fill="1F4E79"/>
          </w:tcPr>
          <w:p>
            <w:r>
              <w:rPr>
                <w:b/>
                <w:color w:val="FFFFFF"/>
                <w:sz w:val="22"/>
              </w:rPr>
              <w:t>I.  OBJEK MONITORING DAN ABSENSI LAPORAN</w:t>
            </w:r>
          </w:p>
        </w:tc>
      </w:tr>
    </w:tbl>
    <w:p>
      <w:pPr>
        <w:pStyle w:val="ListBullet"/>
      </w:pPr>
      <w:r>
        <w:rPr>
          <w:b w:val="0"/>
          <w:sz w:val="21"/>
        </w:rPr>
        <w:t xml:space="preserve">Informasi terhadap jumlah KUPVA BB yang dilakukan monitoring telah mencerminkan mayoritas transaksi KUPVA BB di KPwDN Provinsi DKI Jakarta. Objek monitoring mencerminkan minimum 50% dari total transaksi jual dan beli KUPVA BB di KPwDN. </w:t>
      </w:r>
      <w:r>
        <w:rPr>
          <w:b/>
          <w:sz w:val="21"/>
        </w:rPr>
        <w:t>Pada periode 8 Jun 2026, sebanyak 9 dari 11 KUPVA BB terpilih menyampaikan data.</w:t>
      </w:r>
    </w:p>
    <w:p>
      <w:pPr>
        <w:pStyle w:val="ListBullet"/>
      </w:pPr>
      <w:r>
        <w:rPr>
          <w:b w:val="0"/>
          <w:sz w:val="21"/>
        </w:rPr>
        <w:t>Absensi terhadap ketepatan waktu penyampaian laporan yaitu H+1 maksimal pukul 12.00 waktu setempat (dinilai manual oleh KPwDN).</w:t>
      </w:r>
    </w:p>
    <w:p>
      <w:pPr>
        <w:pStyle w:val="ListBullet"/>
      </w:pPr>
      <w:r>
        <w:rPr>
          <w:b w:val="0"/>
          <w:sz w:val="21"/>
        </w:rPr>
        <w:t xml:space="preserve">Absensi terhadap kelengkapan penyampaian laporan: </w:t>
      </w:r>
      <w:r>
        <w:rPr>
          <w:b/>
          <w:sz w:val="21"/>
        </w:rPr>
        <w:t>2 KUPVA BB belum/tidak menyampaikan data — PT Binavalasindo Dolarasia Sejahtera Utama, PT Tri Tunggal Devalas.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val="clear" w:fill="1F4E79"/>
          </w:tcPr>
          <w:p>
            <w:r>
              <w:rPr>
                <w:b/>
                <w:color w:val="FFFFFF"/>
                <w:sz w:val="22"/>
              </w:rPr>
              <w:t>II.  SUPERVISORY ACTION</w:t>
            </w:r>
          </w:p>
        </w:tc>
      </w:tr>
    </w:tbl>
    <w:p>
      <w:pPr>
        <w:pStyle w:val="ListBullet"/>
      </w:pPr>
      <w:r>
        <w:rPr>
          <w:b w:val="0"/>
          <w:sz w:val="21"/>
        </w:rPr>
        <w:t>Berdasarkan analisis yang telah dilakukan, KPwDN akan melakukan rekomendasi tindakan pengawasan kepada KUPVA BB di KPwDN.</w:t>
      </w:r>
    </w:p>
    <w:p>
      <w:pPr>
        <w:pStyle w:val="ListBullet"/>
      </w:pPr>
      <w:r>
        <w:rPr>
          <w:b w:val="0"/>
          <w:sz w:val="21"/>
        </w:rPr>
        <w:t>Apabila transaksi “Kategori Normal”, maka supervisory action berupa pengawasan offsite melalui pemantauan transaksi harian terhadap KUPVA BB selama adanya gejolak nilai tukar.</w:t>
      </w:r>
    </w:p>
    <w:p>
      <w:pPr>
        <w:pStyle w:val="ListBullet"/>
      </w:pPr>
      <w:r>
        <w:rPr>
          <w:b w:val="0"/>
          <w:sz w:val="21"/>
        </w:rPr>
        <w:t xml:space="preserve">Hasil monitoring periode ini: </w:t>
      </w:r>
      <w:r>
        <w:rPr>
          <w:b/>
          <w:sz w:val="21"/>
        </w:rPr>
        <w:t>0 KUPVA BB Waspada kurs; 5 KUPVA BB Waspada volume (PT Cahaya Adi Sukses Hutama, PT Dolarindo Intervalasprimatama, PT Dolarindo Intravalas Primatama, PT Peniti Valasindo, PT Solusi Mega Artha). Terhadap KUPVA BB Waspada dilakukan pendalaman penyebab.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val="clear" w:fill="1F4E79"/>
          </w:tcPr>
          <w:p>
            <w:r>
              <w:rPr>
                <w:b/>
                <w:color w:val="FFFFFF"/>
                <w:sz w:val="22"/>
              </w:rPr>
              <w:t>III.  ANALISIS MONITORING TRANSAKSI HARIAN – KURS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50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5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 w:val="0"/>
          <w:sz w:val="21"/>
        </w:rPr>
        <w:t>Grafik di atas menggambarkan tren kurs jual, kurs tengah, dan kurs beli USD (rata-rata KUPVA BB) dibandingkan acuan Bank Indonesia sepanjang periode.</w:t>
      </w:r>
    </w:p>
    <w:p>
      <w:pPr>
        <w:pStyle w:val="ListBullet"/>
      </w:pPr>
      <w:r>
        <w:rPr>
          <w:b w:val="0"/>
          <w:sz w:val="21"/>
        </w:rPr>
        <w:t xml:space="preserve">Rasio perbandingan kurs USD terhadap acuan BI pada 8 Jun 2026: </w:t>
      </w:r>
      <w:r>
        <w:rPr>
          <w:b/>
          <w:sz w:val="21"/>
        </w:rPr>
        <w:t>kurs jual 100,36% (Normal), kurs tengah 99,54% (Normal), kurs beli 99,28% (Normal).</w:t>
      </w:r>
    </w:p>
    <w:p>
      <w:pPr>
        <w:pStyle w:val="ListBullet"/>
      </w:pPr>
      <w:r>
        <w:rPr>
          <w:b w:val="0"/>
          <w:sz w:val="21"/>
        </w:rPr>
        <w:t>Rasio di atas 100% menjadi concern pengawasan, terutama untuk perhitungan rasio yang lebih besar sama dengan 105% (Kategori Waspada).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val="clear" w:fill="1F4E79"/>
          </w:tcPr>
          <w:p>
            <w:r>
              <w:rPr>
                <w:b/>
                <w:color w:val="FFFFFF"/>
                <w:sz w:val="22"/>
              </w:rPr>
              <w:t>IV.  ANALISIS MONITORING TRANSAKSI HARIAN – JUMLAH TRANSAKSI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67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67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 w:val="0"/>
          <w:sz w:val="21"/>
        </w:rPr>
        <w:t xml:space="preserve">Grafik di atas menggambarkan tren jumlah transaksi harian untuk valuta USD. Total volume periode 8 Jun 2026: </w:t>
      </w:r>
      <w:r>
        <w:rPr>
          <w:b/>
          <w:sz w:val="21"/>
        </w:rPr>
        <w:t>Rp 1,38 T.</w:t>
      </w:r>
    </w:p>
    <w:p>
      <w:pPr>
        <w:pStyle w:val="ListBullet"/>
      </w:pPr>
      <w:r>
        <w:rPr>
          <w:b w:val="0"/>
          <w:sz w:val="21"/>
        </w:rPr>
        <w:t xml:space="preserve">Analisis monitoring transaksi: </w:t>
      </w:r>
      <w:r>
        <w:rPr>
          <w:b/>
          <w:sz w:val="21"/>
        </w:rPr>
        <w:t>volume jual 22.018,97% (Waspada) dan volume beli 5.146,42% (Waspada)</w:t>
      </w:r>
      <w:r>
        <w:rPr>
          <w:b w:val="0"/>
          <w:sz w:val="21"/>
        </w:rPr>
        <w:t xml:space="preserve"> antar periode (7 Jun 2026 → 8 Jun 2026). Kategori Normal apabila peningkatan/penurunan di bawah 15%, Kategori Waspada apabila lebih besar sama dengan 15%.</w:t>
      </w:r>
    </w:p>
    <w:p>
      <w:pPr>
        <w:pStyle w:val="ListBullet"/>
      </w:pPr>
      <w:r>
        <w:rPr>
          <w:b w:val="0"/>
          <w:sz w:val="21"/>
        </w:rPr>
        <w:t xml:space="preserve">Analisis penyebab transaksi Kategori Waspada (nama KUPVA BB, jenis valuta, dan kurs yang digunakan): </w:t>
      </w:r>
      <w:r>
        <w:rPr>
          <w:b/>
          <w:sz w:val="21"/>
        </w:rPr>
        <w:t>PT Cahaya Adi Sukses Hutama, PT Dolarindo Intervalasprimatama, PT Dolarindo Intravalas Primatama, PT Peniti Valasindo, PT Solusi Mega Artha — valuta USD.</w:t>
      </w:r>
    </w:p>
    <w:p/>
    <w:p>
      <w:pPr>
        <w:jc w:val="right"/>
      </w:pPr>
      <w:r>
        <w:rPr>
          <w:i/>
          <w:sz w:val="18"/>
        </w:rPr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