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has grown from its start as a simple library part of a PhD Thesis in South America to a production-quality codebase, and how it created a community around it that actively collaborates to its development and its current state. We will introduce the tools available in the project and show examples with field data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Advancements in computing, from the origins of silicon-based chips, the development of numerical solvers and the advent of multiprocessing have each enabled new opportunities to solve larger and more complex problems in geophysics. Software developed by researchers and industry professionals enable us to process large amount of data, generate visualizations for interpretation, and ultimately to perform inversions to build models of the subsurface. All of which are key to improve decision-making processes. Although much of this software was built as in-house tools, the appearance of open-source software for geosciences happened as early as the 70s and 80s. Projects like Seismic Unix (Stockwell, 1999) and GMT (Wessel et al., 2019) are pioneer examples.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In recent decades, the popularity of the Python language amongst every scientific field planted the seeds for an ever-growing open-source geoscientific ecosystem. Python tools aimed at solving geoscientific problems have proliferated, and there are now open-source tools that span geologic modelling, data processing, inversion, visualization, and much more.</w:t>
      </w:r>
    </w:p>
    <w:p>
      <w:pPr>
        <w:pStyle w:val="AbstractNormalText"/>
        <w:rPr>
          <w:sz w:val="20"/>
          <w:lang w:val="en-CA"/>
        </w:rPr>
      </w:pPr>
      <w:r>
        <w:rPr>
          <w:sz w:val="20"/>
          <w:lang w:val="en-CA"/>
        </w:rPr>
      </w:r>
    </w:p>
    <w:p>
      <w:pPr>
        <w:pStyle w:val="AbstractNormalText"/>
        <w:rPr>
          <w:sz w:val="20"/>
          <w:lang w:val="en-CA"/>
        </w:rPr>
      </w:pPr>
      <w:r>
        <w:rPr>
          <w:sz w:val="20"/>
          <w:lang w:val="en-CA"/>
        </w:rPr>
        <w:t>In this setting, Leonardo Uieda created the Fatiando a Terra project (Uieda et al., 2013; https://www.fatiando.org) aimed at developing open-source Python tools for geophysics. It started in 2010 as a single Python library as part of his PhD Thesis in South America. Being available under an open-source license and its clear and comprehensive documentation have facilitated its use by researchers and industry professionals from different regions of the world. Some of these users have since become contributors by writing new features, fixing bugs, adding more tests, improving the documentation or having an active participation in its community. Now, the Fatiando project has over 30 contributors, and it continues to grow using a community-driven model.</w:t>
      </w:r>
    </w:p>
    <w:p>
      <w:pPr>
        <w:pStyle w:val="AbstractNormalText"/>
        <w:rPr>
          <w:sz w:val="20"/>
          <w:lang w:val="en-CA"/>
        </w:rPr>
      </w:pPr>
      <w:r>
        <w:rPr>
          <w:sz w:val="20"/>
          <w:lang w:val="en-CA"/>
        </w:rPr>
      </w:r>
    </w:p>
    <w:p>
      <w:pPr>
        <w:pStyle w:val="AbstractNormalText"/>
        <w:rPr>
          <w:sz w:val="20"/>
          <w:lang w:val="en-CA"/>
        </w:rPr>
      </w:pPr>
      <w:r>
        <w:rPr>
          <w:sz w:val="20"/>
          <w:lang w:val="en-CA"/>
        </w:rPr>
        <w:t>The main goal of the project is to provide open-source software tools that are easy to use and also well designed, tested, and documented. Nowadays, it consists in a set of Python libraries, each one of them with a very specific scope of application. These libraries offer software solutions for downloading and caching data from the web, handling and interpolating spatial data, computing normal gravity of reference ellipsoids using analytic solutions, processing potential fields data with frequency-domain filters, forward modelling gravity and magnetic fields of different geometrical bodies, and gridding harmonic data with equivalent sources.</w:t>
      </w:r>
    </w:p>
    <w:p>
      <w:pPr>
        <w:pStyle w:val="AbstractNormalText"/>
        <w:rPr>
          <w:sz w:val="20"/>
          <w:lang w:val="en-CA"/>
        </w:rPr>
      </w:pPr>
      <w:r>
        <w:rPr>
          <w:sz w:val="20"/>
          <w:lang w:val="en-CA"/>
        </w:rPr>
      </w:r>
    </w:p>
    <w:p>
      <w:pPr>
        <w:pStyle w:val="AbstractNormalText"/>
        <w:rPr>
          <w:sz w:val="20"/>
          <w:lang w:val="en-CA"/>
        </w:rPr>
      </w:pPr>
      <w:r>
        <w:rPr>
          <w:sz w:val="20"/>
          <w:lang w:val="en-CA"/>
        </w:rPr>
        <w:t>During this talk we will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sz w:val="20"/>
          <w:lang w:val="en-CA"/>
        </w:rPr>
      </w:pPr>
      <w:r>
        <w:rPr>
          <w:sz w:val="20"/>
          <w:lang w:val="en-CA"/>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In its origins, Fatiando a Terra consisted of a single Python library named fatiando (https://legacy.fatiando.org) that used to host all the features that the project offered. After years of development, this design approach proved to be flawed. The large size of the code base made it difficult to maintain and to extend its functionality. Further, the code contained in this library varied greatly in scope and maturity, ranging from toy problems meant to be used for educational purposes to production ready tools.</w:t>
      </w:r>
    </w:p>
    <w:p>
      <w:pPr>
        <w:pStyle w:val="AbstractNormalText"/>
        <w:rPr>
          <w:sz w:val="20"/>
          <w:lang w:val="en-CA"/>
        </w:rPr>
      </w:pPr>
      <w:r>
        <w:rPr>
          <w:sz w:val="20"/>
          <w:lang w:val="en-CA"/>
        </w:rPr>
      </w:r>
    </w:p>
    <w:p>
      <w:pPr>
        <w:pStyle w:val="AbstractNormalText"/>
        <w:rPr>
          <w:sz w:val="20"/>
          <w:lang w:val="en-CA"/>
        </w:rPr>
      </w:pPr>
      <w:r>
        <w:rPr>
          <w:sz w:val="20"/>
          <w:lang w:val="en-CA"/>
        </w:rPr>
        <w:t>In 2018 the community decided to redesign the code base by splitting the old fatiando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themselves with a smaller code base, making it easier for new contributors to collaborate to the project.</w:t>
      </w:r>
    </w:p>
    <w:p>
      <w:pPr>
        <w:pStyle w:val="AbstractNormalText"/>
        <w:rPr>
          <w:sz w:val="20"/>
          <w:lang w:val="en-CA"/>
        </w:rPr>
      </w:pPr>
      <w:r>
        <w:rPr>
          <w:sz w:val="20"/>
          <w:lang w:val="en-CA"/>
        </w:rPr>
      </w:r>
    </w:p>
    <w:p>
      <w:pPr>
        <w:pStyle w:val="AbstractNormalText"/>
        <w:rPr>
          <w:sz w:val="20"/>
          <w:lang w:val="en-CA"/>
        </w:rPr>
      </w:pPr>
      <w:r>
        <w:rPr>
          <w:sz w:val="20"/>
          <w:lang w:val="en-CA"/>
        </w:rPr>
        <w:t>In parallel, the broader geoscientific Python ecosystem has seen a major growth. Libraries like SimPEG (Cockett et al., 2015), GemPy (de la Varga et al., 2019), pyGIMLi (Rücker et al., 2017) and ObsPy (Obspy, 2019) were established. These projects provide scientists and industry with a wide range of tools for research and exploration. As a project, we decided to invest in the strengths of the Fatiando libraries in light of the broader ecosystem. The introduction of smaller, and narrowly scoped libraries has again been advantageous as it allows other projects to use them without introducing a large set of unnecessary dependencies.</w:t>
      </w:r>
    </w:p>
    <w:p>
      <w:pPr>
        <w:pStyle w:val="AbstractNormalText"/>
        <w:rPr>
          <w:sz w:val="20"/>
          <w:lang w:val="en-CA"/>
        </w:rPr>
      </w:pPr>
      <w:r>
        <w:rPr>
          <w:sz w:val="20"/>
          <w:lang w:val="en-CA"/>
        </w:rPr>
      </w:r>
    </w:p>
    <w:p>
      <w:pPr>
        <w:pStyle w:val="AbstractNormalText"/>
        <w:rPr>
          <w:sz w:val="20"/>
          <w:lang w:val="en-CA"/>
        </w:rPr>
      </w:pPr>
      <w:r>
        <w:rPr>
          <w:sz w:val="20"/>
          <w:lang w:val="en-CA"/>
        </w:rPr>
        <w:t>The project is currently formed by five libraries: Verde, Boule, Harmonica, Pooch and Ensaio.</w:t>
      </w:r>
      <w:r/>
      <w:r>
        <w:rPr>
          <w:sz w:val="20"/>
        </w:rPr>
        <w:fldChar w:fldCharType="end"/>
      </w:r>
      <w:r>
        <w:rPr>
          <w:sz w:val="20"/>
        </w:rP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mc:AlternateContent>
          <mc:Choice Requires="wps">
            <w:drawing>
              <wp:anchor behindDoc="0" distT="0" distB="0" distL="0" distR="0" simplePos="0" locked="0" layoutInCell="0" allowOverlap="1" relativeHeight="6">
                <wp:simplePos x="0" y="0"/>
                <wp:positionH relativeFrom="column">
                  <wp:posOffset>19050</wp:posOffset>
                </wp:positionH>
                <wp:positionV relativeFrom="paragraph">
                  <wp:posOffset>1231265</wp:posOffset>
                </wp:positionV>
                <wp:extent cx="5973445" cy="3794760"/>
                <wp:effectExtent l="0" t="0" r="0" b="0"/>
                <wp:wrapTopAndBottom/>
                <wp:docPr id="1" name="Frame1"/>
                <a:graphic xmlns:a="http://schemas.openxmlformats.org/drawingml/2006/main">
                  <a:graphicData uri="http://schemas.microsoft.com/office/word/2010/wordprocessingShape">
                    <wps:wsp>
                      <wps:cNvSpPr/>
                      <wps:spPr>
                        <a:xfrm>
                          <a:off x="0" y="0"/>
                          <a:ext cx="5973480" cy="37947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8"/>
                                <w:szCs w:val="18"/>
                              </w:rPr>
                            </w:pPr>
                            <w:r>
                              <w:rPr>
                                <w:color w:val="000000"/>
                              </w:rPr>
                              <w:drawing>
                                <wp:inline distT="0" distB="0" distL="0" distR="0">
                                  <wp:extent cx="5973445" cy="3248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73445" cy="324802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5pt;margin-top:96.95pt;width:470.3pt;height:298.75pt;mso-wrap-style:square;v-text-anchor:top">
                <v:fill o:detectmouseclick="t" type="solid" color2="black"/>
                <v:stroke color="#3465a4" joinstyle="round" endcap="flat"/>
                <v:textbox>
                  <w:txbxContent>
                    <w:p>
                      <w:pPr>
                        <w:pStyle w:val="Figure"/>
                        <w:spacing w:before="120" w:after="120"/>
                        <w:rPr>
                          <w:sz w:val="18"/>
                          <w:szCs w:val="18"/>
                        </w:rPr>
                      </w:pPr>
                      <w:r>
                        <w:rPr>
                          <w:color w:val="000000"/>
                        </w:rPr>
                        <w:drawing>
                          <wp:inline distT="0" distB="0" distL="0" distR="0">
                            <wp:extent cx="5973445" cy="32480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973445" cy="324802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r>
        <w:rPr>
          <w:sz w:val="20"/>
          <w:szCs w:val="20"/>
          <w:lang w:val="en-CA"/>
        </w:rPr>
        <w:t>Verde hosts tools for spatial data processing, interpolation, and gridding. Its core interpolation methods are inspired by machine learning, hence its interface reassembles one of the popular machine learning Python packages, Scikit-learn (Pedregosa et al., 2011). Additionally, it offers analysis tools that accompany the interpolators, such as trend removal, windowing operations, cross-validation, k-folding, grid projection, and more coordinate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lightweight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correction to a full terrain correction, by forward modelling digital elevation models with prisms. Regular grids can be transformed using FFT-based filters including upward derivative, upward continuation, and reduction to the pole, amongst others. It also offers ways to perform interpolation, gridding, and upward continuation through the equivalent sources technique. Finally, it can also read data stored in popular formats like .gdf files provided by the ICGEM Calculation Service and .grd files from Oasis Montaj©.</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easy-to-use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amongst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mc:AlternateContent>
          <mc:Choice Requires="wps">
            <w:drawing>
              <wp:anchor behindDoc="0" distT="0" distB="0" distL="0" distR="0" simplePos="0" locked="0" layoutInCell="0" allowOverlap="1" relativeHeight="2">
                <wp:simplePos x="0" y="0"/>
                <wp:positionH relativeFrom="column">
                  <wp:posOffset>13970</wp:posOffset>
                </wp:positionH>
                <wp:positionV relativeFrom="paragraph">
                  <wp:posOffset>2602230</wp:posOffset>
                </wp:positionV>
                <wp:extent cx="5941695" cy="2981960"/>
                <wp:effectExtent l="0" t="0" r="0" b="0"/>
                <wp:wrapTopAndBottom/>
                <wp:docPr id="5" name="Frame2"/>
                <a:graphic xmlns:a="http://schemas.openxmlformats.org/drawingml/2006/main">
                  <a:graphicData uri="http://schemas.microsoft.com/office/word/2010/wordprocessingShape">
                    <wps:wsp>
                      <wps:cNvSpPr/>
                      <wps:spPr>
                        <a:xfrm>
                          <a:off x="0" y="0"/>
                          <a:ext cx="5941800" cy="298188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41695" cy="2566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1pt;margin-top:204.9pt;width:467.8pt;height:234.75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41695" cy="2566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r>
        <w:rPr>
          <w:sz w:val="20"/>
          <w:szCs w:val="20"/>
          <w:lang w:val="en-CA"/>
        </w:rPr>
        <w:t>Lastly, we introduce Ensaio, a small library that hosts open licensed datasets that are useful for running examples and tutorials, for teaching, and for probing our codes. It uses Pooch under the hood to download and cache those datasets locally, so its codebase ends up being very slim.</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 Gravity data over South Africa</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val="clear" w:fill="F8F8F8"/>
        <w:jc w:val="left"/>
        <w:rPr>
          <w:b w:val="false"/>
          <w:b w:val="false"/>
          <w:i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val="clear" w:fill="F8F8F8"/>
        <w:jc w:val="left"/>
        <w:rPr>
          <w:rFonts w:ascii="FiraCode Nerd Font Mono" w:hAnsi="FiraCode Nerd Font Mono"/>
          <w:b w:val="false"/>
          <w:b w:val="false"/>
          <w:i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To achieve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Similarly</w:t>
      </w:r>
      <w:r>
        <w:rPr>
          <w:sz w:val="20"/>
          <w:lang w:val="en-CA"/>
        </w:rPr>
        <w:t>, we can use Harmonica's equivalent sources to grid the residual field at a constant height (see Fig. 3b):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mc:AlternateContent>
          <mc:Choice Requires="wps">
            <w:drawing>
              <wp:anchor behindDoc="0" distT="0" distB="0" distL="0" distR="0" simplePos="0" locked="0" layoutInCell="0" allowOverlap="1" relativeHeight="4">
                <wp:simplePos x="0" y="0"/>
                <wp:positionH relativeFrom="column">
                  <wp:posOffset>0</wp:posOffset>
                </wp:positionH>
                <wp:positionV relativeFrom="paragraph">
                  <wp:posOffset>237490</wp:posOffset>
                </wp:positionV>
                <wp:extent cx="5991860" cy="2990215"/>
                <wp:effectExtent l="0" t="0" r="0" b="0"/>
                <wp:wrapTopAndBottom/>
                <wp:docPr id="9" name="Frame3"/>
                <a:graphic xmlns:a="http://schemas.openxmlformats.org/drawingml/2006/main">
                  <a:graphicData uri="http://schemas.microsoft.com/office/word/2010/wordprocessingShape">
                    <wps:wsp>
                      <wps:cNvSpPr/>
                      <wps:spPr>
                        <a:xfrm>
                          <a:off x="0" y="0"/>
                          <a:ext cx="5991840" cy="29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91860" cy="25800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18.7pt;width:471.75pt;height:235.4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91860" cy="258000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v:textbox>
                <w10:wrap type="topAndBottom"/>
              </v:rect>
            </w:pict>
          </mc:Fallback>
        </mc:AlternateContent>
      </w: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This example showcases how the tools available in the aforementioned libraries can be used together to process gravity data. The full code for running this example, along with a detailed explanation of the steps,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 Fatiando a Terra project was started, the project continues to grow thanks to a network of collaborators and users that actively participate in its development. The success of the project has been enabled by having the code be openly-licensed and by promoting a community-driven model of software development. In addition to serving direct users, the benefits of the project extend more broadly as Fatiando libraries are relied upon by other projects in the scientific Python ecosystem. Furthermore, we have contributed to the advancement and adoption of best-practices in open-source software development within this broader community.</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and researchers as core parts of their Thesis and scientific articles, and also by industry. The growing reliance on open-source tools by researchers and professionals highlights the importance of continued maintenance and development of these tools.</w:t>
      </w:r>
    </w:p>
    <w:p>
      <w:pPr>
        <w:pStyle w:val="AbstractNormalText"/>
        <w:rPr>
          <w:sz w:val="20"/>
          <w:lang w:val="en-CA"/>
        </w:rPr>
      </w:pPr>
      <w:r>
        <w:rPr>
          <w:sz w:val="20"/>
          <w:lang w:val="en-CA"/>
        </w:rPr>
      </w:r>
    </w:p>
    <w:p>
      <w:pPr>
        <w:pStyle w:val="AbstractNormalText"/>
        <w:rPr>
          <w:sz w:val="20"/>
          <w:lang w:val="en-CA"/>
        </w:rPr>
      </w:pPr>
      <w:r>
        <w:rPr>
          <w:sz w:val="20"/>
          <w:lang w:val="en-CA"/>
        </w:rPr>
        <w:t>Plans for future development include the implementation of more efficient forward modelling functions for Harmonica as well as the expansion of functionality for equivalent source calculations and FFT-based transformations. Moreover, we plan to bring back the inversion framework that the old fatiando library had, with the opportunity of improving it with modern tools and focusing on types of inversions that are missing in other packages of the geophysical Python ecosystem.</w:t>
      </w:r>
    </w:p>
    <w:p>
      <w:pPr>
        <w:pStyle w:val="AbstractNormalText"/>
        <w:rPr>
          <w:sz w:val="20"/>
          <w:lang w:val="en-CA"/>
        </w:rPr>
      </w:pPr>
      <w:r>
        <w:rPr>
          <w:sz w:val="20"/>
          <w:lang w:val="en-CA"/>
        </w:rPr>
      </w:r>
    </w:p>
    <w:p>
      <w:pPr>
        <w:pStyle w:val="AbstractNormalText"/>
        <w:rPr>
          <w:sz w:val="20"/>
          <w:lang w:val="en-CA"/>
        </w:rPr>
      </w:pPr>
      <w:r>
        <w:rPr>
          <w:sz w:val="20"/>
          <w:lang w:val="en-CA"/>
        </w:rPr>
        <w:t>We invite everyone to try out our tools, suggest new features, bring new use cases and especially make contributions to the code and documentation. The Fatiando website (https://www.fatiando.org/contact) has resources for getting involved.</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 Without their gratitude, effort, and contributions this project wouldn't exist.</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rPr>
          <w:lang w:val="en-CA"/>
        </w:rPr>
      </w:pPr>
      <w:r>
        <w:rPr>
          <w:lang w:val="en-CA"/>
        </w:rPr>
      </w:r>
    </w:p>
    <w:p>
      <w:pPr>
        <w:pStyle w:val="AbstractNormalText"/>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rPr>
          <w:lang w:val="en-CA"/>
        </w:rPr>
      </w:pPr>
      <w:r>
        <w:rPr>
          <w:lang w:val="en-CA"/>
        </w:rPr>
      </w:r>
    </w:p>
    <w:p>
      <w:pPr>
        <w:pStyle w:val="AbstractNormalText"/>
        <w:rPr>
          <w:lang w:val="en-CA"/>
        </w:rPr>
      </w:pPr>
      <w:r>
        <w:rPr>
          <w:lang w:val="en-CA"/>
        </w:rPr>
        <w:t>Hoyer, S., &amp; Hamman, J. (2017). xarray: N-D labeled Arrays and Datasets in Python. Journal of Open Research Software, 5(1), 10. https://doi.org/10.5334/jors.148</w:t>
      </w:r>
    </w:p>
    <w:p>
      <w:pPr>
        <w:pStyle w:val="AbstractNormalText"/>
        <w:rPr>
          <w:lang w:val="en-CA"/>
        </w:rPr>
      </w:pPr>
      <w:r>
        <w:rPr>
          <w:lang w:val="en-CA"/>
        </w:rPr>
      </w:r>
    </w:p>
    <w:p>
      <w:pPr>
        <w:pStyle w:val="AbstractNormalText"/>
        <w:rPr>
          <w:lang w:val="en-CA"/>
        </w:rPr>
      </w:pPr>
      <w:r>
        <w:rPr>
          <w:lang w:val="en-CA"/>
        </w:rPr>
        <w:t>Li, X., &amp; Götze, H. (2001). Ellipsoid, geoid, gravity, geodesy, and geophysics. GEOPHYSICS, 66(6), Article 6. https://doi.org/10.1190/1.1487109</w:t>
      </w:r>
    </w:p>
    <w:p>
      <w:pPr>
        <w:pStyle w:val="AbstractNormalText"/>
        <w:rPr>
          <w:lang w:val="en-CA"/>
        </w:rPr>
      </w:pPr>
      <w:r>
        <w:rPr>
          <w:lang w:val="en-CA"/>
        </w:rPr>
      </w:r>
    </w:p>
    <w:p>
      <w:pPr>
        <w:pStyle w:val="AbstractNormalText"/>
        <w:rPr>
          <w:lang w:val="en-CA"/>
        </w:rPr>
      </w:pPr>
      <w:r>
        <w:rPr>
          <w:lang w:val="en-CA"/>
        </w:rPr>
        <w:t>May, R., Arms, S., Marsh, P., Bruning, E., Leeman, J., Bruick, Z., &amp; Camron, M. D. (2016). MetPy: A Python Package for Meteorological Data. UCAR/NCAR-Unidata. https://doi.org/10.5065/D6WW7G29</w:t>
      </w:r>
    </w:p>
    <w:p>
      <w:pPr>
        <w:pStyle w:val="AbstractNormalText"/>
        <w:rPr>
          <w:lang w:val="en-CA"/>
        </w:rPr>
      </w:pPr>
      <w:r>
        <w:rPr>
          <w:lang w:val="en-CA"/>
        </w:rPr>
      </w:r>
    </w:p>
    <w:p>
      <w:pPr>
        <w:pStyle w:val="AbstractNormalText"/>
        <w:rPr>
          <w:lang w:val="en-CA"/>
        </w:rPr>
      </w:pPr>
      <w:r>
        <w:rPr>
          <w:lang w:val="en-CA"/>
        </w:rPr>
        <w:t>McKinney, W. (2010). Data Structures for Statistical Computing in Python. 56–61. https://doi.org/10.25080/Majora-92bf1922-00a</w:t>
      </w:r>
    </w:p>
    <w:p>
      <w:pPr>
        <w:pStyle w:val="AbstractNormalText"/>
        <w:rPr>
          <w:lang w:val="en-CA"/>
        </w:rPr>
      </w:pPr>
      <w:r>
        <w:rPr>
          <w:lang w:val="en-CA"/>
        </w:rPr>
      </w:r>
    </w:p>
    <w:p>
      <w:pPr>
        <w:pStyle w:val="AbstractNormalText"/>
        <w:rPr>
          <w:lang w:val="en-CA"/>
        </w:rPr>
      </w:pPr>
      <w:r>
        <w:rPr>
          <w:lang w:val="en-CA"/>
        </w:rPr>
        <w:t>The ObsPy Development Team (2019). ObsPy 1.1.1 (1.1.1). Zenodo. https://doi.org/10.5281/ZENODO.1040770</w:t>
      </w:r>
    </w:p>
    <w:p>
      <w:pPr>
        <w:pStyle w:val="AbstractNormalText"/>
        <w:rPr>
          <w:lang w:val="en-CA"/>
        </w:rPr>
      </w:pPr>
      <w:r>
        <w:rPr>
          <w:lang w:val="en-CA"/>
        </w:rPr>
      </w:r>
    </w:p>
    <w:p>
      <w:pPr>
        <w:pStyle w:val="AbstractNormalText"/>
        <w:rPr>
          <w:lang w:val="en-CA"/>
        </w:rPr>
      </w:pPr>
      <w:r>
        <w:rPr>
          <w:lang w:val="en-CA"/>
        </w:rPr>
        <w:t>The Pandas Development Team (2023). pandas-dev/pandas: Pandas (v1.5.3). Zenodo. https://doi.org/10.5281/ZENODO.3509134</w:t>
      </w:r>
    </w:p>
    <w:p>
      <w:pPr>
        <w:pStyle w:val="AbstractNormalText"/>
        <w:rPr>
          <w:lang w:val="en-CA"/>
        </w:rPr>
      </w:pPr>
      <w:r>
        <w:rPr>
          <w:lang w:val="en-CA"/>
        </w:rPr>
      </w:r>
    </w:p>
    <w:p>
      <w:pPr>
        <w:pStyle w:val="AbstractNormalText"/>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rPr>
          <w:lang w:val="en-CA"/>
        </w:rPr>
      </w:pPr>
      <w:r>
        <w:rPr>
          <w:lang w:val="en-CA"/>
        </w:rPr>
      </w:r>
    </w:p>
    <w:p>
      <w:pPr>
        <w:pStyle w:val="AbstractNormalText"/>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rPr>
          <w:lang w:val="en-CA"/>
        </w:rPr>
      </w:pPr>
      <w:r>
        <w:rPr>
          <w:lang w:val="en-CA"/>
        </w:rPr>
      </w:r>
    </w:p>
    <w:p>
      <w:pPr>
        <w:pStyle w:val="AbstractNormalText"/>
        <w:rPr>
          <w:lang w:val="en-CA"/>
        </w:rPr>
      </w:pPr>
      <w:r>
        <w:rPr>
          <w:lang w:val="en-CA"/>
        </w:rPr>
        <w:t>Shapero, D., Badgeley, J., &amp; Hoffman, A. (2020). icepack: Glacier flow modeling with the finite element method in Python (v1.0.0). Zenodo. https://doi.org/10.5281/ZENODO.1205640</w:t>
      </w:r>
    </w:p>
    <w:p>
      <w:pPr>
        <w:pStyle w:val="AbstractNormalText"/>
        <w:rPr>
          <w:lang w:val="en-CA"/>
        </w:rPr>
      </w:pPr>
      <w:r>
        <w:rPr>
          <w:lang w:val="en-CA"/>
        </w:rPr>
      </w:r>
    </w:p>
    <w:p>
      <w:pPr>
        <w:pStyle w:val="AbstractNormalText"/>
        <w:rPr>
          <w:lang w:val="en-CA"/>
        </w:rPr>
      </w:pPr>
      <w:r>
        <w:rPr>
          <w:lang w:val="en-CA"/>
        </w:rPr>
        <w:t>Stockwell, J. W. (1999). The CWP/SU: Seismic Un∗x package. Computers &amp; Geosciences, 25(4), 415–419. https://doi.org/10.1016/S0098-3004(98)00145-9</w:t>
      </w:r>
    </w:p>
    <w:p>
      <w:pPr>
        <w:pStyle w:val="AbstractNormalText"/>
        <w:rPr>
          <w:lang w:val="en-CA"/>
        </w:rPr>
      </w:pPr>
      <w:r>
        <w:rPr>
          <w:lang w:val="en-CA"/>
        </w:rPr>
      </w:r>
    </w:p>
    <w:p>
      <w:pPr>
        <w:pStyle w:val="AbstractNormalText"/>
        <w:rPr>
          <w:lang w:val="en-CA"/>
        </w:rPr>
      </w:pPr>
      <w:r>
        <w:rPr>
          <w:lang w:val="en-CA"/>
        </w:rPr>
        <w:t>Uieda, L., V. C. Oliveira Jr, and V. C. F. Barbosa (2013), Modeling the Earth with Fatiando a Terra, Proceedings of the 12th Python in Science Conference, pp. 91 - 98.</w:t>
      </w:r>
    </w:p>
    <w:p>
      <w:pPr>
        <w:pStyle w:val="AbstractNormalText"/>
        <w:rPr>
          <w:lang w:val="en-CA"/>
        </w:rPr>
      </w:pPr>
      <w:r>
        <w:rPr>
          <w:lang w:val="en-CA"/>
        </w:rPr>
      </w:r>
    </w:p>
    <w:p>
      <w:pPr>
        <w:pStyle w:val="AbstractNormalText"/>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rPr>
          <w:lang w:val="en-CA"/>
        </w:rPr>
      </w:pPr>
      <w:r>
        <w:rPr>
          <w:lang w:val="en-CA"/>
        </w:rPr>
      </w:r>
    </w:p>
    <w:p>
      <w:pPr>
        <w:pStyle w:val="AbstractNormalText"/>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rPr>
          <w:lang w:val="en-CA"/>
        </w:rPr>
      </w:pPr>
      <w:r>
        <w:rPr>
          <w:lang w:val="en-CA"/>
        </w:rPr>
      </w:r>
    </w:p>
    <w:p>
      <w:pPr>
        <w:pStyle w:val="AbstractNormalText"/>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rPr>
          <w:lang w:val="en-CA"/>
        </w:rPr>
      </w:pPr>
      <w:r>
        <w:rPr>
          <w:lang w:val="en-CA"/>
        </w:rPr>
      </w:r>
    </w:p>
    <w:p>
      <w:pPr>
        <w:pStyle w:val="AbstractNormalText"/>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Application>LibreOffice/7.4.5.1$Linux_X86_64 LibreOffice_project/40$Build-1</Application>
  <AppVersion>15.0000</AppVersion>
  <Pages>5</Pages>
  <Words>2515</Words>
  <Characters>14702</Characters>
  <CharactersWithSpaces>17179</CharactersWithSpaces>
  <Paragraphs>115</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2023-02-09T15:39:18Z</dcterms:modified>
  <cp:revision>37</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