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aps/>
          <w:color w:val="B08D57"/>
          <w:spacing w:val="20"/>
          <w:sz w:val="20"/>
          <w:szCs w:val="20"/>
        </w:rPr>
        <w:t xml:space="preserve">CASE STUDY</w:t>
      </w:r>
    </w:p>
    <w:p>
      <w:pPr>
        <w:spacing w:after="140"/>
      </w:pPr>
      <w:r>
        <w:rPr>
          <w:rFonts w:ascii="Georgia" w:cs="Georgia" w:eastAsia="Georgia" w:hAnsi="Georgia"/>
          <w:b/>
          <w:bCs/>
          <w:color w:val="13294B"/>
          <w:sz w:val="40"/>
          <w:szCs w:val="40"/>
        </w:rPr>
        <w:t xml:space="preserve">Turning Pakistan's Largest Trading Firm Into a Digital-First Platform</w:t>
      </w:r>
    </w:p>
    <w:p>
      <w:pPr>
        <w:pBdr>
          <w:bottom w:val="single" w:color="B08D57" w:sz="8" w:space="8"/>
        </w:pBdr>
        <w:spacing w:after="100"/>
      </w:pPr>
      <w:r>
        <w:rPr>
          <w:rFonts w:ascii="Calibri" w:cs="Calibri" w:eastAsia="Calibri" w:hAnsi="Calibri"/>
          <w:i/>
          <w:iCs/>
          <w:color w:val="5A6472"/>
          <w:sz w:val="24"/>
          <w:szCs w:val="24"/>
        </w:rPr>
        <w:t xml:space="preserve">How We Helped ValueStop Convert Website Traffic Into Active, Funded Traders</w:t>
      </w:r>
    </w:p>
    <w:p>
      <w:pPr>
        <w:pStyle w:val="Heading1"/>
        <w:pBdr>
          <w:bottom w:val="single" w:color="B08D57" w:sz="6" w:space="6"/>
        </w:pBdr>
        <w:spacing w:after="200" w:before="420"/>
      </w:pPr>
      <w:r>
        <w:rPr>
          <w:rFonts w:ascii="Georgia" w:cs="Georgia" w:eastAsia="Georgia" w:hAnsi="Georgia"/>
          <w:b/>
          <w:bCs/>
          <w:color w:val="13294B"/>
          <w:sz w:val="30"/>
          <w:szCs w:val="30"/>
        </w:rPr>
        <w:t xml:space="preserve">Executive Summary</w:t>
      </w:r>
    </w:p>
    <w:p>
      <w:pPr>
        <w:spacing w:after="160" w:before="0"/>
        <w:jc w:val="left"/>
      </w:pPr>
      <w:r>
        <w:rPr>
          <w:rFonts w:ascii="Calibri" w:cs="Calibri" w:eastAsia="Calibri" w:hAnsi="Calibri"/>
          <w:b w:val="false"/>
          <w:bCs w:val="false"/>
          <w:i w:val="false"/>
          <w:iCs w:val="false"/>
          <w:color w:val="222222"/>
          <w:sz w:val="22"/>
          <w:szCs w:val="22"/>
        </w:rPr>
        <w:t xml:space="preserve">ValueStop built its name the old way — decades on the trading floor, a client base that spans first-time retail investors to institutional desks, and a reputation few competitors in Pakistan can match. None of that was translating online. The website was a brochure: informative, professional, and largely disconnected from what happens after someone decides they want to trade. Opening an account meant paperwork, phone calls, and a wait. There was nowhere for a nervous first-timer to get comfortable before risking real money, and nothing keeping a curious visitor around long enough to become a client.</w:t>
      </w:r>
    </w:p>
    <w:p>
      <w:pPr>
        <w:spacing w:after="160" w:before="0"/>
        <w:jc w:val="left"/>
      </w:pPr>
      <w:r>
        <w:rPr>
          <w:rFonts w:ascii="Calibri" w:cs="Calibri" w:eastAsia="Calibri" w:hAnsi="Calibri"/>
          <w:b w:val="false"/>
          <w:bCs w:val="false"/>
          <w:i w:val="false"/>
          <w:iCs w:val="false"/>
          <w:color w:val="222222"/>
          <w:sz w:val="22"/>
          <w:szCs w:val="22"/>
        </w:rPr>
        <w:t xml:space="preserve">We rebuilt that experience from the ground up around one question: what does a visitor actually need at each stage before they're ready to fund an account and place a trade? The answer became five connected pieces — a self-serve digital onboarding engine, an AI assistant available around the clock, interactive demos that let people try the platform before committing to it, sandbox classrooms for beginners, and community rooms where traders talk to each other. Within twelve months, lead conversion rose from 1.2% to 4.8%, account creation drop-off fell from 68% to 22%, and demo users converting into funded live accounts nearly quadrupled.</w:t>
      </w:r>
    </w:p>
    <w:p>
      <w:pPr>
        <w:spacing w:after="160" w:before="0"/>
        <w:jc w:val="left"/>
      </w:pPr>
      <w:r>
        <w:rPr>
          <w:rFonts w:ascii="Calibri" w:cs="Calibri" w:eastAsia="Calibri" w:hAnsi="Calibri"/>
          <w:b w:val="false"/>
          <w:bCs w:val="false"/>
          <w:i w:val="false"/>
          <w:iCs w:val="false"/>
          <w:color w:val="222222"/>
          <w:sz w:val="22"/>
          <w:szCs w:val="22"/>
        </w:rPr>
        <w:t xml:space="preserve">This is the story of how a firm that earned its reputation on the trading floor built a digital front door that finally matched it.</w:t>
      </w:r>
    </w:p>
    <w:p>
      <w:pPr>
        <w:pStyle w:val="Heading1"/>
        <w:pBdr>
          <w:bottom w:val="single" w:color="B08D57" w:sz="6" w:space="6"/>
        </w:pBdr>
        <w:spacing w:after="200" w:before="420"/>
      </w:pPr>
      <w:r>
        <w:rPr>
          <w:rFonts w:ascii="Georgia" w:cs="Georgia" w:eastAsia="Georgia" w:hAnsi="Georgia"/>
          <w:b/>
          <w:bCs/>
          <w:color w:val="13294B"/>
          <w:sz w:val="30"/>
          <w:szCs w:val="30"/>
        </w:rPr>
        <w:t xml:space="preserve">About the Client</w:t>
      </w:r>
    </w:p>
    <w:p>
      <w:pPr>
        <w:spacing w:after="160" w:before="0"/>
        <w:jc w:val="left"/>
      </w:pPr>
      <w:r>
        <w:rPr>
          <w:rFonts w:ascii="Calibri" w:cs="Calibri" w:eastAsia="Calibri" w:hAnsi="Calibri"/>
          <w:b w:val="false"/>
          <w:bCs w:val="false"/>
          <w:i w:val="false"/>
          <w:iCs w:val="false"/>
          <w:color w:val="222222"/>
          <w:sz w:val="22"/>
          <w:szCs w:val="22"/>
        </w:rPr>
        <w:t xml:space="preserve">ValueStop is Pakistan's largest trading firm, with a footprint that predates most of the country's online-only brokerages and a client roster that runs from first-time retail investors to serious institutional traders. Brand recognition was never the problem — most people who trade in Pakistan already know the name. The problem was that recognition wasn't turning into digital growth the way it was for smaller, newer competitors built mobile-first from day one.</w:t>
      </w:r>
    </w:p>
    <w:p>
      <w:pPr>
        <w:pStyle w:val="Heading1"/>
        <w:pBdr>
          <w:bottom w:val="single" w:color="B08D57" w:sz="6" w:space="6"/>
        </w:pBdr>
        <w:spacing w:after="200" w:before="420"/>
      </w:pPr>
      <w:r>
        <w:rPr>
          <w:rFonts w:ascii="Georgia" w:cs="Georgia" w:eastAsia="Georgia" w:hAnsi="Georgia"/>
          <w:b/>
          <w:bCs/>
          <w:color w:val="13294B"/>
          <w:sz w:val="30"/>
          <w:szCs w:val="30"/>
        </w:rPr>
        <w:t xml:space="preserve">The Challenge</w:t>
      </w:r>
    </w:p>
    <w:p>
      <w:pPr>
        <w:spacing w:after="100" w:before="220"/>
      </w:pPr>
      <w:r>
        <w:rPr>
          <w:rFonts w:ascii="Calibri" w:cs="Calibri" w:eastAsia="Calibri" w:hAnsi="Calibri"/>
          <w:b/>
          <w:bCs/>
          <w:color w:val="5A6472"/>
          <w:sz w:val="23"/>
          <w:szCs w:val="23"/>
        </w:rPr>
        <w:t xml:space="preserve">A Legacy Brand in a Digital-First Market</w:t>
      </w:r>
    </w:p>
    <w:p>
      <w:pPr>
        <w:spacing w:after="160" w:before="0"/>
        <w:jc w:val="left"/>
      </w:pPr>
      <w:r>
        <w:rPr>
          <w:rFonts w:ascii="Calibri" w:cs="Calibri" w:eastAsia="Calibri" w:hAnsi="Calibri"/>
          <w:b w:val="false"/>
          <w:bCs w:val="false"/>
          <w:i w:val="false"/>
          <w:iCs w:val="false"/>
          <w:color w:val="222222"/>
          <w:sz w:val="22"/>
          <w:szCs w:val="22"/>
        </w:rPr>
        <w:t xml:space="preserve">Pakistan's trading and fintech landscape moved faster than ValueStop's website did. Newer platforms launched with instant account activation and onboarding flows designed for traders who expected to go from download to first trade in a single sitting. ValueStop's site was built to describe the firm, not to move a visitor toward a decision — and next to a competitor's app, it read as dated even when the firm behind it wasn't.</w:t>
      </w:r>
    </w:p>
    <w:p>
      <w:pPr>
        <w:spacing w:after="100" w:before="220"/>
      </w:pPr>
      <w:r>
        <w:rPr>
          <w:rFonts w:ascii="Calibri" w:cs="Calibri" w:eastAsia="Calibri" w:hAnsi="Calibri"/>
          <w:b/>
          <w:bCs/>
          <w:color w:val="5A6472"/>
          <w:sz w:val="23"/>
          <w:szCs w:val="23"/>
        </w:rPr>
        <w:t xml:space="preserve">High Traffic, Poor Follow-Through</w:t>
      </w:r>
    </w:p>
    <w:p>
      <w:pPr>
        <w:spacing w:after="160" w:before="0"/>
        <w:jc w:val="left"/>
      </w:pPr>
      <w:r>
        <w:rPr>
          <w:rFonts w:ascii="Calibri" w:cs="Calibri" w:eastAsia="Calibri" w:hAnsi="Calibri"/>
          <w:b w:val="false"/>
          <w:bCs w:val="false"/>
          <w:i w:val="false"/>
          <w:iCs w:val="false"/>
          <w:color w:val="222222"/>
          <w:sz w:val="22"/>
          <w:szCs w:val="22"/>
        </w:rPr>
        <w:t xml:space="preserve">Traffic was never ValueStop's issue. Decades of brand equity meant people were already searching for the firm, reading through its services, and comparing it against competitors. What happened after that was the problem. Account opening required manual document submission and a follow-up phone call, and a large share of people who started the process never finished it. Others browsed, decided the experience felt behind the times, and opened an account somewhere else instead.</w:t>
      </w:r>
    </w:p>
    <w:p>
      <w:pPr>
        <w:spacing w:after="100" w:before="220"/>
      </w:pPr>
      <w:r>
        <w:rPr>
          <w:rFonts w:ascii="Calibri" w:cs="Calibri" w:eastAsia="Calibri" w:hAnsi="Calibri"/>
          <w:b/>
          <w:bCs/>
          <w:color w:val="5A6472"/>
          <w:sz w:val="23"/>
          <w:szCs w:val="23"/>
        </w:rPr>
        <w:t xml:space="preserve">No Room to Practice Before Risking Money</w:t>
      </w:r>
    </w:p>
    <w:p>
      <w:pPr>
        <w:spacing w:after="160" w:before="0"/>
        <w:jc w:val="left"/>
      </w:pPr>
      <w:r>
        <w:rPr>
          <w:rFonts w:ascii="Calibri" w:cs="Calibri" w:eastAsia="Calibri" w:hAnsi="Calibri"/>
          <w:b w:val="false"/>
          <w:bCs w:val="false"/>
          <w:i w:val="false"/>
          <w:iCs w:val="false"/>
          <w:color w:val="222222"/>
          <w:sz w:val="22"/>
          <w:szCs w:val="22"/>
        </w:rPr>
        <w:t xml:space="preserve">For someone opening their first trading account, being handed a live, real-money interface on day one is intimidating. ValueStop had no lower-stakes way for a visitor to get comfortable with order types, understand how the platform worked, or build confidence before committing capital — which meant a meaningful share of people who might have become long-term clients never took the first step at all.</w:t>
      </w:r>
    </w:p>
    <w:p>
      <w:pPr>
        <w:spacing w:after="160" w:before="0"/>
        <w:jc w:val="left"/>
      </w:pPr>
      <w:r>
        <w:rPr>
          <w:rFonts w:ascii="Calibri" w:cs="Calibri" w:eastAsia="Calibri" w:hAnsi="Calibri"/>
          <w:b w:val="false"/>
          <w:bCs w:val="false"/>
          <w:i/>
          <w:iCs/>
          <w:color w:val="5A6472"/>
          <w:sz w:val="22"/>
          <w:szCs w:val="22"/>
        </w:rPr>
        <w:t xml:space="preserve">Put together, ValueStop had the market position of an industry leader and the digital conversion funnel of a company that had never needed one.</w:t>
      </w:r>
    </w:p>
    <w:p>
      <w:pPr>
        <w:pStyle w:val="Heading1"/>
        <w:pBdr>
          <w:bottom w:val="single" w:color="B08D57" w:sz="6" w:space="6"/>
        </w:pBdr>
        <w:spacing w:after="200" w:before="420"/>
      </w:pPr>
      <w:r>
        <w:rPr>
          <w:rFonts w:ascii="Georgia" w:cs="Georgia" w:eastAsia="Georgia" w:hAnsi="Georgia"/>
          <w:b/>
          <w:bCs/>
          <w:color w:val="13294B"/>
          <w:sz w:val="30"/>
          <w:szCs w:val="30"/>
        </w:rPr>
        <w:t xml:space="preserve">The Strategy &amp; Implementation</w:t>
      </w:r>
    </w:p>
    <w:p>
      <w:pPr>
        <w:spacing w:after="160" w:before="0"/>
        <w:jc w:val="left"/>
      </w:pPr>
      <w:r>
        <w:rPr>
          <w:rFonts w:ascii="Calibri" w:cs="Calibri" w:eastAsia="Calibri" w:hAnsi="Calibri"/>
          <w:b w:val="false"/>
          <w:bCs w:val="false"/>
          <w:i w:val="false"/>
          <w:iCs w:val="false"/>
          <w:color w:val="222222"/>
          <w:sz w:val="22"/>
          <w:szCs w:val="22"/>
        </w:rPr>
        <w:t xml:space="preserve">We treated this as an infrastructure build, not a redesign. Each of the five pieces below addresses a different point on the path from someone recognizing the ValueStop name to someone trading real money on the platform.</w:t>
      </w:r>
    </w:p>
    <w:p>
      <w:pPr>
        <w:pStyle w:val="Heading2"/>
        <w:spacing w:after="140" w:before="300"/>
      </w:pPr>
      <w:r>
        <w:rPr>
          <w:rFonts w:ascii="Calibri" w:cs="Calibri" w:eastAsia="Calibri" w:hAnsi="Calibri"/>
          <w:b/>
          <w:bCs/>
          <w:color w:val="13294B"/>
          <w:sz w:val="25"/>
          <w:szCs w:val="25"/>
        </w:rPr>
        <w:t xml:space="preserve">1. An E-Commerce Engine for Digital Account Activation</w:t>
      </w:r>
    </w:p>
    <w:p>
      <w:pPr>
        <w:spacing w:after="160" w:before="0"/>
        <w:jc w:val="left"/>
      </w:pPr>
      <w:r>
        <w:rPr>
          <w:rFonts w:ascii="Calibri" w:cs="Calibri" w:eastAsia="Calibri" w:hAnsi="Calibri"/>
          <w:b w:val="false"/>
          <w:bCs w:val="false"/>
          <w:i w:val="false"/>
          <w:iCs w:val="false"/>
          <w:color w:val="222222"/>
          <w:sz w:val="22"/>
          <w:szCs w:val="22"/>
        </w:rPr>
        <w:t xml:space="preserve">We rebuilt account opening as a self-serve digital flow — identity verification, document upload, and initial funding condensed into a single guided process a new client can complete in one sitting instead of over several days of back-and-forth. What used to require a phone call and, in many cases, a branch visit now happens entirely online, start to finish.</w:t>
      </w:r>
    </w:p>
    <w:p>
      <w:pPr>
        <w:pStyle w:val="Heading2"/>
        <w:spacing w:after="140" w:before="300"/>
      </w:pPr>
      <w:r>
        <w:rPr>
          <w:rFonts w:ascii="Calibri" w:cs="Calibri" w:eastAsia="Calibri" w:hAnsi="Calibri"/>
          <w:b/>
          <w:bCs/>
          <w:color w:val="13294B"/>
          <w:sz w:val="25"/>
          <w:szCs w:val="25"/>
        </w:rPr>
        <w:t xml:space="preserve">2. An Interactive AI Assistant</w:t>
      </w:r>
    </w:p>
    <w:p>
      <w:pPr>
        <w:spacing w:after="160" w:before="0"/>
        <w:jc w:val="left"/>
      </w:pPr>
      <w:r>
        <w:rPr>
          <w:rFonts w:ascii="Calibri" w:cs="Calibri" w:eastAsia="Calibri" w:hAnsi="Calibri"/>
          <w:b w:val="false"/>
          <w:bCs w:val="false"/>
          <w:i w:val="false"/>
          <w:iCs w:val="false"/>
          <w:color w:val="222222"/>
          <w:sz w:val="22"/>
          <w:szCs w:val="22"/>
        </w:rPr>
        <w:t xml:space="preserve">We built a 24/7 assistant directly into the platform to help traders read market movement, understand account features, and get unstuck without waiting in a support queue. It isn't a replacement for ValueStop's human advisors — it absorbs the volume of small, constant questions that used to go unanswered after hours or eat into staff time better spent on higher-value conversations.</w:t>
      </w:r>
    </w:p>
    <w:p>
      <w:pPr>
        <w:pStyle w:val="Heading2"/>
        <w:spacing w:after="140" w:before="300"/>
      </w:pPr>
      <w:r>
        <w:rPr>
          <w:rFonts w:ascii="Calibri" w:cs="Calibri" w:eastAsia="Calibri" w:hAnsi="Calibri"/>
          <w:b/>
          <w:bCs/>
          <w:color w:val="13294B"/>
          <w:sz w:val="25"/>
          <w:szCs w:val="25"/>
        </w:rPr>
        <w:t xml:space="preserve">3. Virtual Try-On and Interactive Demos</w:t>
      </w:r>
    </w:p>
    <w:p>
      <w:pPr>
        <w:spacing w:after="160" w:before="0"/>
        <w:jc w:val="left"/>
      </w:pPr>
      <w:r>
        <w:rPr>
          <w:rFonts w:ascii="Calibri" w:cs="Calibri" w:eastAsia="Calibri" w:hAnsi="Calibri"/>
          <w:b w:val="false"/>
          <w:bCs w:val="false"/>
          <w:i w:val="false"/>
          <w:iCs w:val="false"/>
          <w:color w:val="222222"/>
          <w:sz w:val="22"/>
          <w:szCs w:val="22"/>
        </w:rPr>
        <w:t xml:space="preserve">Before opening an account, visitors can now step through a simulated version of the trading interface — placing mock orders and watching positions move using real market data, with none of the real risk. It's the difference between reading about a platform and actually sitting down at it.</w:t>
      </w:r>
    </w:p>
    <w:p>
      <w:pPr>
        <w:pStyle w:val="Heading2"/>
        <w:spacing w:after="140" w:before="300"/>
      </w:pPr>
      <w:r>
        <w:rPr>
          <w:rFonts w:ascii="Calibri" w:cs="Calibri" w:eastAsia="Calibri" w:hAnsi="Calibri"/>
          <w:b/>
          <w:bCs/>
          <w:color w:val="13294B"/>
          <w:sz w:val="25"/>
          <w:szCs w:val="25"/>
        </w:rPr>
        <w:t xml:space="preserve">4. Practice Trading Classrooms</w:t>
      </w:r>
    </w:p>
    <w:p>
      <w:pPr>
        <w:spacing w:after="160" w:before="0"/>
        <w:jc w:val="left"/>
      </w:pPr>
      <w:r>
        <w:rPr>
          <w:rFonts w:ascii="Calibri" w:cs="Calibri" w:eastAsia="Calibri" w:hAnsi="Calibri"/>
          <w:b w:val="false"/>
          <w:bCs w:val="false"/>
          <w:i w:val="false"/>
          <w:iCs w:val="false"/>
          <w:color w:val="222222"/>
          <w:sz w:val="22"/>
          <w:szCs w:val="22"/>
        </w:rPr>
        <w:t xml:space="preserve">We built sandbox environments where beginners work through structured lessons and place practice trades with virtual funds before ever touching a live account. It's a genuine classroom rather than a marketing add-on — traders move through order types, risk basics, and market fundamentals at their own pace, and ValueStop can see exactly where people get stuck.</w:t>
      </w:r>
    </w:p>
    <w:p>
      <w:pPr>
        <w:pStyle w:val="Heading2"/>
        <w:spacing w:after="140" w:before="300"/>
      </w:pPr>
      <w:r>
        <w:rPr>
          <w:rFonts w:ascii="Calibri" w:cs="Calibri" w:eastAsia="Calibri" w:hAnsi="Calibri"/>
          <w:b/>
          <w:bCs/>
          <w:color w:val="13294B"/>
          <w:sz w:val="25"/>
          <w:szCs w:val="25"/>
        </w:rPr>
        <w:t xml:space="preserve">5. Community Discussion Rooms</w:t>
      </w:r>
    </w:p>
    <w:p>
      <w:pPr>
        <w:spacing w:after="160" w:before="0"/>
        <w:jc w:val="left"/>
      </w:pPr>
      <w:r>
        <w:rPr>
          <w:rFonts w:ascii="Calibri" w:cs="Calibri" w:eastAsia="Calibri" w:hAnsi="Calibri"/>
          <w:b w:val="false"/>
          <w:bCs w:val="false"/>
          <w:i w:val="false"/>
          <w:iCs w:val="false"/>
          <w:color w:val="222222"/>
          <w:sz w:val="22"/>
          <w:szCs w:val="22"/>
        </w:rPr>
        <w:t xml:space="preserve">We added dedicated spaces where traders talk to each other directly — comparing strategies, discussing market moves, and yes, celebrating wins. This mattered more than we expected going in: traders who engaged with the community rooms stayed active longer and referred other traders at a noticeably higher rate than those who didn't.</w:t>
      </w:r>
    </w:p>
    <w:p>
      <w:pPr>
        <w:pStyle w:val="Heading1"/>
        <w:pBdr>
          <w:bottom w:val="single" w:color="B08D57" w:sz="6" w:space="6"/>
        </w:pBdr>
        <w:spacing w:after="200" w:before="420"/>
      </w:pPr>
      <w:r>
        <w:rPr>
          <w:rFonts w:ascii="Georgia" w:cs="Georgia" w:eastAsia="Georgia" w:hAnsi="Georgia"/>
          <w:b/>
          <w:bCs/>
          <w:color w:val="13294B"/>
          <w:sz w:val="30"/>
          <w:szCs w:val="30"/>
        </w:rPr>
        <w:t xml:space="preserve">Results &amp; Key Metrics</w:t>
      </w:r>
    </w:p>
    <w:p>
      <w:pPr>
        <w:spacing w:after="160" w:before="0"/>
        <w:jc w:val="left"/>
      </w:pPr>
      <w:r>
        <w:rPr>
          <w:rFonts w:ascii="Calibri" w:cs="Calibri" w:eastAsia="Calibri" w:hAnsi="Calibri"/>
          <w:b w:val="false"/>
          <w:bCs w:val="false"/>
          <w:i/>
          <w:iCs/>
          <w:color w:val="5A6472"/>
          <w:sz w:val="22"/>
          <w:szCs w:val="22"/>
        </w:rPr>
        <w:t xml:space="preserve">The figures below reflect the twelve months following full rollout.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300"/>
        <w:gridCol w:w="1900"/>
        <w:gridCol w:w="1900"/>
        <w:gridCol w:w="1900"/>
      </w:tblGrid>
      <w:tr>
        <w:tc>
          <w:tcPr>
            <w:tcW w:type="dxa" w:w="3300"/>
            <w:tcBorders>
              <w:top w:val="single" w:color="D9D9D9" w:sz="4"/>
              <w:left w:val="none" w:color="FFFFFF" w:sz="0"/>
              <w:bottom w:val="single" w:color="D9D9D9" w:sz="4"/>
              <w:right w:val="none" w:color="FFFFFF" w:sz="0"/>
            </w:tcBorders>
            <w:shd w:fill="13294B" w:color="auto" w:val="clear"/>
            <w:tcMar>
              <w:top w:type="dxa" w:w="90"/>
              <w:left w:type="dxa" w:w="110"/>
              <w:bottom w:type="dxa" w:w="90"/>
              <w:right w:type="dxa" w:w="110"/>
            </w:tcMar>
            <w:vAlign w:val="center"/>
          </w:tcPr>
          <w:p>
            <w:pPr>
              <w:jc w:val="left"/>
            </w:pPr>
            <w:r>
              <w:rPr>
                <w:rFonts w:ascii="Calibri" w:cs="Calibri" w:eastAsia="Calibri" w:hAnsi="Calibri"/>
                <w:b/>
                <w:bCs/>
                <w:color w:val="FFFFFF"/>
                <w:sz w:val="19"/>
                <w:szCs w:val="19"/>
              </w:rPr>
              <w:t xml:space="preserve">Metric</w:t>
            </w:r>
          </w:p>
        </w:tc>
        <w:tc>
          <w:tcPr>
            <w:tcW w:type="dxa" w:w="1900"/>
            <w:tcBorders>
              <w:top w:val="single" w:color="D9D9D9" w:sz="4"/>
              <w:left w:val="none" w:color="FFFFFF" w:sz="0"/>
              <w:bottom w:val="single" w:color="D9D9D9" w:sz="4"/>
              <w:right w:val="none" w:color="FFFFFF" w:sz="0"/>
            </w:tcBorders>
            <w:shd w:fill="13294B" w:color="auto" w:val="clear"/>
            <w:tcMar>
              <w:top w:type="dxa" w:w="90"/>
              <w:left w:type="dxa" w:w="110"/>
              <w:bottom w:type="dxa" w:w="90"/>
              <w:right w:type="dxa" w:w="110"/>
            </w:tcMar>
            <w:vAlign w:val="center"/>
          </w:tcPr>
          <w:p>
            <w:pPr>
              <w:jc w:val="center"/>
            </w:pPr>
            <w:r>
              <w:rPr>
                <w:rFonts w:ascii="Calibri" w:cs="Calibri" w:eastAsia="Calibri" w:hAnsi="Calibri"/>
                <w:b/>
                <w:bCs/>
                <w:color w:val="FFFFFF"/>
                <w:sz w:val="19"/>
                <w:szCs w:val="19"/>
              </w:rPr>
              <w:t xml:space="preserve">Before</w:t>
            </w:r>
          </w:p>
        </w:tc>
        <w:tc>
          <w:tcPr>
            <w:tcW w:type="dxa" w:w="1900"/>
            <w:tcBorders>
              <w:top w:val="single" w:color="D9D9D9" w:sz="4"/>
              <w:left w:val="none" w:color="FFFFFF" w:sz="0"/>
              <w:bottom w:val="single" w:color="D9D9D9" w:sz="4"/>
              <w:right w:val="none" w:color="FFFFFF" w:sz="0"/>
            </w:tcBorders>
            <w:shd w:fill="13294B" w:color="auto" w:val="clear"/>
            <w:tcMar>
              <w:top w:type="dxa" w:w="90"/>
              <w:left w:type="dxa" w:w="110"/>
              <w:bottom w:type="dxa" w:w="90"/>
              <w:right w:type="dxa" w:w="110"/>
            </w:tcMar>
            <w:vAlign w:val="center"/>
          </w:tcPr>
          <w:p>
            <w:pPr>
              <w:jc w:val="center"/>
            </w:pPr>
            <w:r>
              <w:rPr>
                <w:rFonts w:ascii="Calibri" w:cs="Calibri" w:eastAsia="Calibri" w:hAnsi="Calibri"/>
                <w:b/>
                <w:bCs/>
                <w:color w:val="FFFFFF"/>
                <w:sz w:val="19"/>
                <w:szCs w:val="19"/>
              </w:rPr>
              <w:t xml:space="preserve">After</w:t>
            </w:r>
          </w:p>
        </w:tc>
        <w:tc>
          <w:tcPr>
            <w:tcW w:type="dxa" w:w="1900"/>
            <w:tcBorders>
              <w:top w:val="single" w:color="D9D9D9" w:sz="4"/>
              <w:left w:val="none" w:color="FFFFFF" w:sz="0"/>
              <w:bottom w:val="single" w:color="D9D9D9" w:sz="4"/>
              <w:right w:val="none" w:color="FFFFFF" w:sz="0"/>
            </w:tcBorders>
            <w:shd w:fill="13294B" w:color="auto" w:val="clear"/>
            <w:tcMar>
              <w:top w:type="dxa" w:w="90"/>
              <w:left w:type="dxa" w:w="110"/>
              <w:bottom w:type="dxa" w:w="90"/>
              <w:right w:type="dxa" w:w="110"/>
            </w:tcMar>
            <w:vAlign w:val="center"/>
          </w:tcPr>
          <w:p>
            <w:pPr>
              <w:jc w:val="center"/>
            </w:pPr>
            <w:r>
              <w:rPr>
                <w:rFonts w:ascii="Calibri" w:cs="Calibri" w:eastAsia="Calibri" w:hAnsi="Calibri"/>
                <w:b/>
                <w:bCs/>
                <w:color w:val="FFFFFF"/>
                <w:sz w:val="19"/>
                <w:szCs w:val="19"/>
              </w:rPr>
              <w:t xml:space="preserve">Change</w:t>
            </w:r>
          </w:p>
        </w:tc>
      </w:tr>
      <w:tr>
        <w:tc>
          <w:tcPr>
            <w:tcW w:type="dxa" w:w="3300"/>
            <w:tcBorders>
              <w:top w:val="single" w:color="D9D9D9" w:sz="4"/>
              <w:left w:val="none" w:color="FFFFFF" w:sz="0"/>
              <w:bottom w:val="single" w:color="D9D9D9" w:sz="4"/>
              <w:right w:val="none" w:color="FFFFFF" w:sz="0"/>
            </w:tcBorders>
            <w:shd w:fill="FFFFFF" w:color="auto" w:val="clear"/>
            <w:tcMar>
              <w:top w:type="dxa" w:w="90"/>
              <w:left w:type="dxa" w:w="110"/>
              <w:bottom w:type="dxa" w:w="90"/>
              <w:right w:type="dxa" w:w="110"/>
            </w:tcMar>
            <w:vAlign w:val="center"/>
          </w:tcPr>
          <w:p>
            <w:pPr>
              <w:jc w:val="left"/>
            </w:pPr>
            <w:r>
              <w:rPr>
                <w:rFonts w:ascii="Calibri" w:cs="Calibri" w:eastAsia="Calibri" w:hAnsi="Calibri"/>
                <w:b/>
                <w:bCs/>
                <w:color w:val="222222"/>
                <w:sz w:val="20"/>
                <w:szCs w:val="20"/>
              </w:rPr>
              <w:t xml:space="preserve">Lead conversion rate</w:t>
            </w:r>
          </w:p>
        </w:tc>
        <w:tc>
          <w:tcPr>
            <w:tcW w:type="dxa" w:w="1900"/>
            <w:tcBorders>
              <w:top w:val="single" w:color="D9D9D9" w:sz="4"/>
              <w:left w:val="none" w:color="FFFFFF" w:sz="0"/>
              <w:bottom w:val="single" w:color="D9D9D9" w:sz="4"/>
              <w:right w:val="none" w:color="FFFFFF" w:sz="0"/>
            </w:tcBorders>
            <w:shd w:fill="FFFFFF" w:color="auto" w:val="clear"/>
            <w:tcMar>
              <w:top w:type="dxa" w:w="90"/>
              <w:left w:type="dxa" w:w="110"/>
              <w:bottom w:type="dxa" w:w="90"/>
              <w:right w:type="dxa" w:w="110"/>
            </w:tcMar>
            <w:vAlign w:val="center"/>
          </w:tcPr>
          <w:p>
            <w:pPr>
              <w:jc w:val="center"/>
            </w:pPr>
            <w:r>
              <w:rPr>
                <w:rFonts w:ascii="Calibri" w:cs="Calibri" w:eastAsia="Calibri" w:hAnsi="Calibri"/>
                <w:b w:val="false"/>
                <w:bCs w:val="false"/>
                <w:color w:val="222222"/>
                <w:sz w:val="20"/>
                <w:szCs w:val="20"/>
              </w:rPr>
              <w:t xml:space="preserve">1.2%</w:t>
            </w:r>
          </w:p>
        </w:tc>
        <w:tc>
          <w:tcPr>
            <w:tcW w:type="dxa" w:w="1900"/>
            <w:tcBorders>
              <w:top w:val="single" w:color="D9D9D9" w:sz="4"/>
              <w:left w:val="none" w:color="FFFFFF" w:sz="0"/>
              <w:bottom w:val="single" w:color="D9D9D9" w:sz="4"/>
              <w:right w:val="none" w:color="FFFFFF" w:sz="0"/>
            </w:tcBorders>
            <w:shd w:fill="FFFFFF" w:color="auto" w:val="clear"/>
            <w:tcMar>
              <w:top w:type="dxa" w:w="90"/>
              <w:left w:type="dxa" w:w="110"/>
              <w:bottom w:type="dxa" w:w="90"/>
              <w:right w:type="dxa" w:w="110"/>
            </w:tcMar>
            <w:vAlign w:val="center"/>
          </w:tcPr>
          <w:p>
            <w:pPr>
              <w:jc w:val="center"/>
            </w:pPr>
            <w:r>
              <w:rPr>
                <w:rFonts w:ascii="Calibri" w:cs="Calibri" w:eastAsia="Calibri" w:hAnsi="Calibri"/>
                <w:b w:val="false"/>
                <w:bCs w:val="false"/>
                <w:color w:val="222222"/>
                <w:sz w:val="20"/>
                <w:szCs w:val="20"/>
              </w:rPr>
              <w:t xml:space="preserve">4.8%</w:t>
            </w:r>
          </w:p>
        </w:tc>
        <w:tc>
          <w:tcPr>
            <w:tcW w:type="dxa" w:w="1900"/>
            <w:tcBorders>
              <w:top w:val="single" w:color="D9D9D9" w:sz="4"/>
              <w:left w:val="none" w:color="FFFFFF" w:sz="0"/>
              <w:bottom w:val="single" w:color="D9D9D9" w:sz="4"/>
              <w:right w:val="none" w:color="FFFFFF" w:sz="0"/>
            </w:tcBorders>
            <w:shd w:fill="FFFFFF" w:color="auto" w:val="clear"/>
            <w:tcMar>
              <w:top w:type="dxa" w:w="90"/>
              <w:left w:type="dxa" w:w="110"/>
              <w:bottom w:type="dxa" w:w="90"/>
              <w:right w:type="dxa" w:w="110"/>
            </w:tcMar>
            <w:vAlign w:val="center"/>
          </w:tcPr>
          <w:p>
            <w:pPr>
              <w:jc w:val="center"/>
            </w:pPr>
            <w:r>
              <w:rPr>
                <w:rFonts w:ascii="Calibri" w:cs="Calibri" w:eastAsia="Calibri" w:hAnsi="Calibri"/>
                <w:b w:val="false"/>
                <w:bCs w:val="false"/>
                <w:color w:val="222222"/>
                <w:sz w:val="20"/>
                <w:szCs w:val="20"/>
              </w:rPr>
              <w:t xml:space="preserve">4x improvement</w:t>
            </w:r>
          </w:p>
        </w:tc>
      </w:tr>
      <w:tr>
        <w:tc>
          <w:tcPr>
            <w:tcW w:type="dxa" w:w="3300"/>
            <w:tcBorders>
              <w:top w:val="single" w:color="D9D9D9" w:sz="4"/>
              <w:left w:val="none" w:color="FFFFFF" w:sz="0"/>
              <w:bottom w:val="single" w:color="D9D9D9" w:sz="4"/>
              <w:right w:val="none" w:color="FFFFFF" w:sz="0"/>
            </w:tcBorders>
            <w:shd w:fill="F2F2F2" w:color="auto" w:val="clear"/>
            <w:tcMar>
              <w:top w:type="dxa" w:w="90"/>
              <w:left w:type="dxa" w:w="110"/>
              <w:bottom w:type="dxa" w:w="90"/>
              <w:right w:type="dxa" w:w="110"/>
            </w:tcMar>
            <w:vAlign w:val="center"/>
          </w:tcPr>
          <w:p>
            <w:pPr>
              <w:jc w:val="left"/>
            </w:pPr>
            <w:r>
              <w:rPr>
                <w:rFonts w:ascii="Calibri" w:cs="Calibri" w:eastAsia="Calibri" w:hAnsi="Calibri"/>
                <w:b/>
                <w:bCs/>
                <w:color w:val="222222"/>
                <w:sz w:val="20"/>
                <w:szCs w:val="20"/>
              </w:rPr>
              <w:t xml:space="preserve">Monthly active website visitors</w:t>
            </w:r>
          </w:p>
        </w:tc>
        <w:tc>
          <w:tcPr>
            <w:tcW w:type="dxa" w:w="1900"/>
            <w:tcBorders>
              <w:top w:val="single" w:color="D9D9D9" w:sz="4"/>
              <w:left w:val="none" w:color="FFFFFF" w:sz="0"/>
              <w:bottom w:val="single" w:color="D9D9D9" w:sz="4"/>
              <w:right w:val="none" w:color="FFFFFF" w:sz="0"/>
            </w:tcBorders>
            <w:shd w:fill="F2F2F2" w:color="auto" w:val="clear"/>
            <w:tcMar>
              <w:top w:type="dxa" w:w="90"/>
              <w:left w:type="dxa" w:w="110"/>
              <w:bottom w:type="dxa" w:w="90"/>
              <w:right w:type="dxa" w:w="110"/>
            </w:tcMar>
            <w:vAlign w:val="center"/>
          </w:tcPr>
          <w:p>
            <w:pPr>
              <w:jc w:val="center"/>
            </w:pPr>
            <w:r>
              <w:rPr>
                <w:rFonts w:ascii="Calibri" w:cs="Calibri" w:eastAsia="Calibri" w:hAnsi="Calibri"/>
                <w:b w:val="false"/>
                <w:bCs w:val="false"/>
                <w:color w:val="222222"/>
                <w:sz w:val="20"/>
                <w:szCs w:val="20"/>
              </w:rPr>
              <w:t xml:space="preserve">Baseline</w:t>
            </w:r>
          </w:p>
        </w:tc>
        <w:tc>
          <w:tcPr>
            <w:tcW w:type="dxa" w:w="1900"/>
            <w:tcBorders>
              <w:top w:val="single" w:color="D9D9D9" w:sz="4"/>
              <w:left w:val="none" w:color="FFFFFF" w:sz="0"/>
              <w:bottom w:val="single" w:color="D9D9D9" w:sz="4"/>
              <w:right w:val="none" w:color="FFFFFF" w:sz="0"/>
            </w:tcBorders>
            <w:shd w:fill="F2F2F2" w:color="auto" w:val="clear"/>
            <w:tcMar>
              <w:top w:type="dxa" w:w="90"/>
              <w:left w:type="dxa" w:w="110"/>
              <w:bottom w:type="dxa" w:w="90"/>
              <w:right w:type="dxa" w:w="110"/>
            </w:tcMar>
            <w:vAlign w:val="center"/>
          </w:tcPr>
          <w:p>
            <w:pPr>
              <w:jc w:val="center"/>
            </w:pPr>
            <w:r>
              <w:rPr>
                <w:rFonts w:ascii="Calibri" w:cs="Calibri" w:eastAsia="Calibri" w:hAnsi="Calibri"/>
                <w:b w:val="false"/>
                <w:bCs w:val="false"/>
                <w:color w:val="222222"/>
                <w:sz w:val="20"/>
                <w:szCs w:val="20"/>
              </w:rPr>
              <w:t xml:space="preserve">+65%</w:t>
            </w:r>
          </w:p>
        </w:tc>
        <w:tc>
          <w:tcPr>
            <w:tcW w:type="dxa" w:w="1900"/>
            <w:tcBorders>
              <w:top w:val="single" w:color="D9D9D9" w:sz="4"/>
              <w:left w:val="none" w:color="FFFFFF" w:sz="0"/>
              <w:bottom w:val="single" w:color="D9D9D9" w:sz="4"/>
              <w:right w:val="none" w:color="FFFFFF" w:sz="0"/>
            </w:tcBorders>
            <w:shd w:fill="F2F2F2" w:color="auto" w:val="clear"/>
            <w:tcMar>
              <w:top w:type="dxa" w:w="90"/>
              <w:left w:type="dxa" w:w="110"/>
              <w:bottom w:type="dxa" w:w="90"/>
              <w:right w:type="dxa" w:w="110"/>
            </w:tcMar>
            <w:vAlign w:val="center"/>
          </w:tcPr>
          <w:p>
            <w:pPr>
              <w:jc w:val="center"/>
            </w:pPr>
            <w:r>
              <w:rPr>
                <w:rFonts w:ascii="Calibri" w:cs="Calibri" w:eastAsia="Calibri" w:hAnsi="Calibri"/>
                <w:b w:val="false"/>
                <w:bCs w:val="false"/>
                <w:color w:val="222222"/>
                <w:sz w:val="20"/>
                <w:szCs w:val="20"/>
              </w:rPr>
              <w:t xml:space="preserve">within 12 months</w:t>
            </w:r>
          </w:p>
        </w:tc>
      </w:tr>
      <w:tr>
        <w:tc>
          <w:tcPr>
            <w:tcW w:type="dxa" w:w="3300"/>
            <w:tcBorders>
              <w:top w:val="single" w:color="D9D9D9" w:sz="4"/>
              <w:left w:val="none" w:color="FFFFFF" w:sz="0"/>
              <w:bottom w:val="single" w:color="D9D9D9" w:sz="4"/>
              <w:right w:val="none" w:color="FFFFFF" w:sz="0"/>
            </w:tcBorders>
            <w:shd w:fill="FFFFFF" w:color="auto" w:val="clear"/>
            <w:tcMar>
              <w:top w:type="dxa" w:w="90"/>
              <w:left w:type="dxa" w:w="110"/>
              <w:bottom w:type="dxa" w:w="90"/>
              <w:right w:type="dxa" w:w="110"/>
            </w:tcMar>
            <w:vAlign w:val="center"/>
          </w:tcPr>
          <w:p>
            <w:pPr>
              <w:jc w:val="left"/>
            </w:pPr>
            <w:r>
              <w:rPr>
                <w:rFonts w:ascii="Calibri" w:cs="Calibri" w:eastAsia="Calibri" w:hAnsi="Calibri"/>
                <w:b/>
                <w:bCs/>
                <w:color w:val="222222"/>
                <w:sz w:val="20"/>
                <w:szCs w:val="20"/>
              </w:rPr>
              <w:t xml:space="preserve">Account creation drop-off rate</w:t>
            </w:r>
          </w:p>
        </w:tc>
        <w:tc>
          <w:tcPr>
            <w:tcW w:type="dxa" w:w="1900"/>
            <w:tcBorders>
              <w:top w:val="single" w:color="D9D9D9" w:sz="4"/>
              <w:left w:val="none" w:color="FFFFFF" w:sz="0"/>
              <w:bottom w:val="single" w:color="D9D9D9" w:sz="4"/>
              <w:right w:val="none" w:color="FFFFFF" w:sz="0"/>
            </w:tcBorders>
            <w:shd w:fill="FFFFFF" w:color="auto" w:val="clear"/>
            <w:tcMar>
              <w:top w:type="dxa" w:w="90"/>
              <w:left w:type="dxa" w:w="110"/>
              <w:bottom w:type="dxa" w:w="90"/>
              <w:right w:type="dxa" w:w="110"/>
            </w:tcMar>
            <w:vAlign w:val="center"/>
          </w:tcPr>
          <w:p>
            <w:pPr>
              <w:jc w:val="center"/>
            </w:pPr>
            <w:r>
              <w:rPr>
                <w:rFonts w:ascii="Calibri" w:cs="Calibri" w:eastAsia="Calibri" w:hAnsi="Calibri"/>
                <w:b w:val="false"/>
                <w:bCs w:val="false"/>
                <w:color w:val="222222"/>
                <w:sz w:val="20"/>
                <w:szCs w:val="20"/>
              </w:rPr>
              <w:t xml:space="preserve">68%</w:t>
            </w:r>
          </w:p>
        </w:tc>
        <w:tc>
          <w:tcPr>
            <w:tcW w:type="dxa" w:w="1900"/>
            <w:tcBorders>
              <w:top w:val="single" w:color="D9D9D9" w:sz="4"/>
              <w:left w:val="none" w:color="FFFFFF" w:sz="0"/>
              <w:bottom w:val="single" w:color="D9D9D9" w:sz="4"/>
              <w:right w:val="none" w:color="FFFFFF" w:sz="0"/>
            </w:tcBorders>
            <w:shd w:fill="FFFFFF" w:color="auto" w:val="clear"/>
            <w:tcMar>
              <w:top w:type="dxa" w:w="90"/>
              <w:left w:type="dxa" w:w="110"/>
              <w:bottom w:type="dxa" w:w="90"/>
              <w:right w:type="dxa" w:w="110"/>
            </w:tcMar>
            <w:vAlign w:val="center"/>
          </w:tcPr>
          <w:p>
            <w:pPr>
              <w:jc w:val="center"/>
            </w:pPr>
            <w:r>
              <w:rPr>
                <w:rFonts w:ascii="Calibri" w:cs="Calibri" w:eastAsia="Calibri" w:hAnsi="Calibri"/>
                <w:b w:val="false"/>
                <w:bCs w:val="false"/>
                <w:color w:val="222222"/>
                <w:sz w:val="20"/>
                <w:szCs w:val="20"/>
              </w:rPr>
              <w:t xml:space="preserve">22%</w:t>
            </w:r>
          </w:p>
        </w:tc>
        <w:tc>
          <w:tcPr>
            <w:tcW w:type="dxa" w:w="1900"/>
            <w:tcBorders>
              <w:top w:val="single" w:color="D9D9D9" w:sz="4"/>
              <w:left w:val="none" w:color="FFFFFF" w:sz="0"/>
              <w:bottom w:val="single" w:color="D9D9D9" w:sz="4"/>
              <w:right w:val="none" w:color="FFFFFF" w:sz="0"/>
            </w:tcBorders>
            <w:shd w:fill="FFFFFF" w:color="auto" w:val="clear"/>
            <w:tcMar>
              <w:top w:type="dxa" w:w="90"/>
              <w:left w:type="dxa" w:w="110"/>
              <w:bottom w:type="dxa" w:w="90"/>
              <w:right w:type="dxa" w:w="110"/>
            </w:tcMar>
            <w:vAlign w:val="center"/>
          </w:tcPr>
          <w:p>
            <w:pPr>
              <w:jc w:val="center"/>
            </w:pPr>
            <w:r>
              <w:rPr>
                <w:rFonts w:ascii="Calibri" w:cs="Calibri" w:eastAsia="Calibri" w:hAnsi="Calibri"/>
                <w:b w:val="false"/>
                <w:bCs w:val="false"/>
                <w:color w:val="222222"/>
                <w:sz w:val="20"/>
                <w:szCs w:val="20"/>
              </w:rPr>
              <w:t xml:space="preserve">46-point reduction</w:t>
            </w:r>
          </w:p>
        </w:tc>
      </w:tr>
      <w:tr>
        <w:tc>
          <w:tcPr>
            <w:tcW w:type="dxa" w:w="3300"/>
            <w:tcBorders>
              <w:top w:val="single" w:color="D9D9D9" w:sz="4"/>
              <w:left w:val="none" w:color="FFFFFF" w:sz="0"/>
              <w:bottom w:val="single" w:color="D9D9D9" w:sz="4"/>
              <w:right w:val="none" w:color="FFFFFF" w:sz="0"/>
            </w:tcBorders>
            <w:shd w:fill="F2F2F2" w:color="auto" w:val="clear"/>
            <w:tcMar>
              <w:top w:type="dxa" w:w="90"/>
              <w:left w:type="dxa" w:w="110"/>
              <w:bottom w:type="dxa" w:w="90"/>
              <w:right w:type="dxa" w:w="110"/>
            </w:tcMar>
            <w:vAlign w:val="center"/>
          </w:tcPr>
          <w:p>
            <w:pPr>
              <w:jc w:val="left"/>
            </w:pPr>
            <w:r>
              <w:rPr>
                <w:rFonts w:ascii="Calibri" w:cs="Calibri" w:eastAsia="Calibri" w:hAnsi="Calibri"/>
                <w:b/>
                <w:bCs/>
                <w:color w:val="222222"/>
                <w:sz w:val="20"/>
                <w:szCs w:val="20"/>
              </w:rPr>
              <w:t xml:space="preserve">Demo-to-live trader conversion</w:t>
            </w:r>
          </w:p>
        </w:tc>
        <w:tc>
          <w:tcPr>
            <w:tcW w:type="dxa" w:w="1900"/>
            <w:tcBorders>
              <w:top w:val="single" w:color="D9D9D9" w:sz="4"/>
              <w:left w:val="none" w:color="FFFFFF" w:sz="0"/>
              <w:bottom w:val="single" w:color="D9D9D9" w:sz="4"/>
              <w:right w:val="none" w:color="FFFFFF" w:sz="0"/>
            </w:tcBorders>
            <w:shd w:fill="F2F2F2" w:color="auto" w:val="clear"/>
            <w:tcMar>
              <w:top w:type="dxa" w:w="90"/>
              <w:left w:type="dxa" w:w="110"/>
              <w:bottom w:type="dxa" w:w="90"/>
              <w:right w:type="dxa" w:w="110"/>
            </w:tcMar>
            <w:vAlign w:val="center"/>
          </w:tcPr>
          <w:p>
            <w:pPr>
              <w:jc w:val="center"/>
            </w:pPr>
            <w:r>
              <w:rPr>
                <w:rFonts w:ascii="Calibri" w:cs="Calibri" w:eastAsia="Calibri" w:hAnsi="Calibri"/>
                <w:b w:val="false"/>
                <w:bCs w:val="false"/>
                <w:color w:val="222222"/>
                <w:sz w:val="20"/>
                <w:szCs w:val="20"/>
              </w:rPr>
              <w:t xml:space="preserve">9%</w:t>
            </w:r>
          </w:p>
        </w:tc>
        <w:tc>
          <w:tcPr>
            <w:tcW w:type="dxa" w:w="1900"/>
            <w:tcBorders>
              <w:top w:val="single" w:color="D9D9D9" w:sz="4"/>
              <w:left w:val="none" w:color="FFFFFF" w:sz="0"/>
              <w:bottom w:val="single" w:color="D9D9D9" w:sz="4"/>
              <w:right w:val="none" w:color="FFFFFF" w:sz="0"/>
            </w:tcBorders>
            <w:shd w:fill="F2F2F2" w:color="auto" w:val="clear"/>
            <w:tcMar>
              <w:top w:type="dxa" w:w="90"/>
              <w:left w:type="dxa" w:w="110"/>
              <w:bottom w:type="dxa" w:w="90"/>
              <w:right w:type="dxa" w:w="110"/>
            </w:tcMar>
            <w:vAlign w:val="center"/>
          </w:tcPr>
          <w:p>
            <w:pPr>
              <w:jc w:val="center"/>
            </w:pPr>
            <w:r>
              <w:rPr>
                <w:rFonts w:ascii="Calibri" w:cs="Calibri" w:eastAsia="Calibri" w:hAnsi="Calibri"/>
                <w:b w:val="false"/>
                <w:bCs w:val="false"/>
                <w:color w:val="222222"/>
                <w:sz w:val="20"/>
                <w:szCs w:val="20"/>
              </w:rPr>
              <w:t xml:space="preserve">31%</w:t>
            </w:r>
          </w:p>
        </w:tc>
        <w:tc>
          <w:tcPr>
            <w:tcW w:type="dxa" w:w="1900"/>
            <w:tcBorders>
              <w:top w:val="single" w:color="D9D9D9" w:sz="4"/>
              <w:left w:val="none" w:color="FFFFFF" w:sz="0"/>
              <w:bottom w:val="single" w:color="D9D9D9" w:sz="4"/>
              <w:right w:val="none" w:color="FFFFFF" w:sz="0"/>
            </w:tcBorders>
            <w:shd w:fill="F2F2F2" w:color="auto" w:val="clear"/>
            <w:tcMar>
              <w:top w:type="dxa" w:w="90"/>
              <w:left w:type="dxa" w:w="110"/>
              <w:bottom w:type="dxa" w:w="90"/>
              <w:right w:type="dxa" w:w="110"/>
            </w:tcMar>
            <w:vAlign w:val="center"/>
          </w:tcPr>
          <w:p>
            <w:pPr>
              <w:jc w:val="center"/>
            </w:pPr>
            <w:r>
              <w:rPr>
                <w:rFonts w:ascii="Calibri" w:cs="Calibri" w:eastAsia="Calibri" w:hAnsi="Calibri"/>
                <w:b w:val="false"/>
                <w:bCs w:val="false"/>
                <w:color w:val="222222"/>
                <w:sz w:val="20"/>
                <w:szCs w:val="20"/>
              </w:rPr>
              <w:t xml:space="preserve">3.4x improvement</w:t>
            </w:r>
          </w:p>
        </w:tc>
      </w:tr>
    </w:tbl>
    <w:p>
      <w:pPr>
        <w:spacing w:after="200"/>
      </w:pPr>
    </w:p>
    <w:p>
      <w:pPr>
        <w:pStyle w:val="Heading2"/>
        <w:spacing w:after="140" w:before="300"/>
      </w:pPr>
      <w:r>
        <w:rPr>
          <w:rFonts w:ascii="Calibri" w:cs="Calibri" w:eastAsia="Calibri" w:hAnsi="Calibri"/>
          <w:b/>
          <w:bCs/>
          <w:color w:val="13294B"/>
          <w:sz w:val="25"/>
          <w:szCs w:val="25"/>
        </w:rPr>
        <w:t xml:space="preserve">Chart A — 12-Month Traffic &amp; Account Signup Growth</w:t>
      </w:r>
    </w:p>
    <w:p>
      <w:pPr>
        <w:spacing w:after="160" w:before="0"/>
        <w:jc w:val="left"/>
      </w:pPr>
      <w:r>
        <w:rPr>
          <w:rFonts w:ascii="Calibri" w:cs="Calibri" w:eastAsia="Calibri" w:hAnsi="Calibri"/>
          <w:b w:val="false"/>
          <w:bCs w:val="false"/>
          <w:i/>
          <w:iCs/>
          <w:color w:val="5A6472"/>
          <w:sz w:val="22"/>
          <w:szCs w:val="22"/>
        </w:rPr>
        <w:t xml:space="preserve">Growth shown as percentage increase over Month 1, the baseline before rollout began.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850"/>
        <w:gridCol w:w="1350"/>
        <w:gridCol w:w="2350"/>
        <w:gridCol w:w="1450"/>
        <w:gridCol w:w="3000"/>
      </w:tblGrid>
      <w:tr>
        <w:tc>
          <w:tcPr>
            <w:tcW w:type="dxa" w:w="850"/>
            <w:tcBorders>
              <w:top w:val="single" w:color="D9D9D9" w:sz="4"/>
              <w:left w:val="none" w:color="FFFFFF" w:sz="0"/>
              <w:bottom w:val="single" w:color="D9D9D9" w:sz="4"/>
              <w:right w:val="none" w:color="FFFFFF" w:sz="0"/>
            </w:tcBorders>
            <w:shd w:fill="13294B" w:color="auto" w:val="clear"/>
            <w:tcMar>
              <w:top w:type="dxa" w:w="90"/>
              <w:left w:type="dxa" w:w="110"/>
              <w:bottom w:type="dxa" w:w="90"/>
              <w:right w:type="dxa" w:w="110"/>
            </w:tcMar>
            <w:vAlign w:val="center"/>
          </w:tcPr>
          <w:p>
            <w:pPr>
              <w:jc w:val="center"/>
            </w:pPr>
            <w:r>
              <w:rPr>
                <w:rFonts w:ascii="Calibri" w:cs="Calibri" w:eastAsia="Calibri" w:hAnsi="Calibri"/>
                <w:b/>
                <w:bCs/>
                <w:color w:val="FFFFFF"/>
                <w:sz w:val="19"/>
                <w:szCs w:val="19"/>
              </w:rPr>
              <w:t xml:space="preserve">Month</w:t>
            </w:r>
          </w:p>
        </w:tc>
        <w:tc>
          <w:tcPr>
            <w:tcW w:type="dxa" w:w="1350"/>
            <w:tcBorders>
              <w:top w:val="single" w:color="D9D9D9" w:sz="4"/>
              <w:left w:val="none" w:color="FFFFFF" w:sz="0"/>
              <w:bottom w:val="single" w:color="D9D9D9" w:sz="4"/>
              <w:right w:val="none" w:color="FFFFFF" w:sz="0"/>
            </w:tcBorders>
            <w:shd w:fill="13294B" w:color="auto" w:val="clear"/>
            <w:tcMar>
              <w:top w:type="dxa" w:w="90"/>
              <w:left w:type="dxa" w:w="110"/>
              <w:bottom w:type="dxa" w:w="90"/>
              <w:right w:type="dxa" w:w="110"/>
            </w:tcMar>
            <w:vAlign w:val="center"/>
          </w:tcPr>
          <w:p>
            <w:pPr>
              <w:jc w:val="center"/>
            </w:pPr>
            <w:r>
              <w:rPr>
                <w:rFonts w:ascii="Calibri" w:cs="Calibri" w:eastAsia="Calibri" w:hAnsi="Calibri"/>
                <w:b/>
                <w:bCs/>
                <w:color w:val="FFFFFF"/>
                <w:sz w:val="19"/>
                <w:szCs w:val="19"/>
              </w:rPr>
              <w:t xml:space="preserve">Visitors (Δ%)</w:t>
            </w:r>
          </w:p>
        </w:tc>
        <w:tc>
          <w:tcPr>
            <w:tcW w:type="dxa" w:w="2350"/>
            <w:tcBorders>
              <w:top w:val="single" w:color="D9D9D9" w:sz="4"/>
              <w:left w:val="none" w:color="FFFFFF" w:sz="0"/>
              <w:bottom w:val="single" w:color="D9D9D9" w:sz="4"/>
              <w:right w:val="none" w:color="FFFFFF" w:sz="0"/>
            </w:tcBorders>
            <w:shd w:fill="13294B" w:color="auto" w:val="clear"/>
            <w:tcMar>
              <w:top w:type="dxa" w:w="90"/>
              <w:left w:type="dxa" w:w="110"/>
              <w:bottom w:type="dxa" w:w="90"/>
              <w:right w:type="dxa" w:w="110"/>
            </w:tcMar>
            <w:vAlign w:val="center"/>
          </w:tcPr>
          <w:p>
            <w:pPr>
              <w:jc w:val="center"/>
            </w:pPr>
            <w:r>
              <w:rPr>
                <w:rFonts w:ascii="Calibri" w:cs="Calibri" w:eastAsia="Calibri" w:hAnsi="Calibri"/>
                <w:b/>
                <w:bCs/>
                <w:color w:val="FFFFFF"/>
                <w:sz w:val="19"/>
                <w:szCs w:val="19"/>
              </w:rPr>
              <w:t xml:space="preserve">Visitor Growth</w:t>
            </w:r>
          </w:p>
        </w:tc>
        <w:tc>
          <w:tcPr>
            <w:tcW w:type="dxa" w:w="1450"/>
            <w:tcBorders>
              <w:top w:val="single" w:color="D9D9D9" w:sz="4"/>
              <w:left w:val="none" w:color="FFFFFF" w:sz="0"/>
              <w:bottom w:val="single" w:color="D9D9D9" w:sz="4"/>
              <w:right w:val="none" w:color="FFFFFF" w:sz="0"/>
            </w:tcBorders>
            <w:shd w:fill="13294B" w:color="auto" w:val="clear"/>
            <w:tcMar>
              <w:top w:type="dxa" w:w="90"/>
              <w:left w:type="dxa" w:w="110"/>
              <w:bottom w:type="dxa" w:w="90"/>
              <w:right w:type="dxa" w:w="110"/>
            </w:tcMar>
            <w:vAlign w:val="center"/>
          </w:tcPr>
          <w:p>
            <w:pPr>
              <w:jc w:val="center"/>
            </w:pPr>
            <w:r>
              <w:rPr>
                <w:rFonts w:ascii="Calibri" w:cs="Calibri" w:eastAsia="Calibri" w:hAnsi="Calibri"/>
                <w:b/>
                <w:bCs/>
                <w:color w:val="FFFFFF"/>
                <w:sz w:val="19"/>
                <w:szCs w:val="19"/>
              </w:rPr>
              <w:t xml:space="preserve">Signups (Δ%)</w:t>
            </w:r>
          </w:p>
        </w:tc>
        <w:tc>
          <w:tcPr>
            <w:tcW w:type="dxa" w:w="3000"/>
            <w:tcBorders>
              <w:top w:val="single" w:color="D9D9D9" w:sz="4"/>
              <w:left w:val="none" w:color="FFFFFF" w:sz="0"/>
              <w:bottom w:val="single" w:color="D9D9D9" w:sz="4"/>
              <w:right w:val="none" w:color="FFFFFF" w:sz="0"/>
            </w:tcBorders>
            <w:shd w:fill="13294B" w:color="auto" w:val="clear"/>
            <w:tcMar>
              <w:top w:type="dxa" w:w="90"/>
              <w:left w:type="dxa" w:w="110"/>
              <w:bottom w:type="dxa" w:w="90"/>
              <w:right w:type="dxa" w:w="110"/>
            </w:tcMar>
            <w:vAlign w:val="center"/>
          </w:tcPr>
          <w:p>
            <w:pPr>
              <w:jc w:val="center"/>
            </w:pPr>
            <w:r>
              <w:rPr>
                <w:rFonts w:ascii="Calibri" w:cs="Calibri" w:eastAsia="Calibri" w:hAnsi="Calibri"/>
                <w:b/>
                <w:bCs/>
                <w:color w:val="FFFFFF"/>
                <w:sz w:val="19"/>
                <w:szCs w:val="19"/>
              </w:rPr>
              <w:t xml:space="preserve">Signup Growth</w:t>
            </w:r>
          </w:p>
        </w:tc>
      </w:tr>
      <w:tr>
        <w:tc>
          <w:tcPr>
            <w:tcW w:type="dxa" w:w="850"/>
            <w:tcBorders>
              <w:top w:val="single" w:color="D9D9D9" w:sz="4"/>
              <w:left w:val="none" w:color="FFFFFF" w:sz="0"/>
              <w:bottom w:val="single" w:color="D9D9D9" w:sz="4"/>
              <w:right w:val="none" w:color="FFFFFF" w:sz="0"/>
            </w:tcBorders>
            <w:shd w:fill="F2F2F2" w:color="auto" w:val="clear"/>
            <w:tcMar>
              <w:top w:type="dxa" w:w="90"/>
              <w:left w:type="dxa" w:w="110"/>
              <w:bottom w:type="dxa" w:w="90"/>
              <w:right w:type="dxa" w:w="110"/>
            </w:tcMar>
            <w:vAlign w:val="center"/>
          </w:tcPr>
          <w:p>
            <w:pPr>
              <w:jc w:val="center"/>
            </w:pPr>
            <w:r>
              <w:rPr>
                <w:rFonts w:ascii="Calibri" w:cs="Calibri" w:eastAsia="Calibri" w:hAnsi="Calibri"/>
                <w:b/>
                <w:bCs/>
                <w:color w:val="222222"/>
                <w:sz w:val="19"/>
                <w:szCs w:val="19"/>
              </w:rPr>
              <w:t xml:space="preserve">M1</w:t>
            </w:r>
          </w:p>
        </w:tc>
        <w:tc>
          <w:tcPr>
            <w:tcW w:type="dxa" w:w="1350"/>
            <w:tcBorders>
              <w:top w:val="single" w:color="D9D9D9" w:sz="4"/>
              <w:left w:val="none" w:color="FFFFFF" w:sz="0"/>
              <w:bottom w:val="single" w:color="D9D9D9" w:sz="4"/>
              <w:right w:val="none" w:color="FFFFFF" w:sz="0"/>
            </w:tcBorders>
            <w:shd w:fill="F2F2F2" w:color="auto" w:val="clear"/>
            <w:tcMar>
              <w:top w:type="dxa" w:w="90"/>
              <w:left w:type="dxa" w:w="110"/>
              <w:bottom w:type="dxa" w:w="90"/>
              <w:right w:type="dxa" w:w="110"/>
            </w:tcMar>
            <w:vAlign w:val="center"/>
          </w:tcPr>
          <w:p>
            <w:pPr>
              <w:jc w:val="center"/>
            </w:pPr>
            <w:r>
              <w:rPr>
                <w:rFonts w:ascii="Calibri" w:cs="Calibri" w:eastAsia="Calibri" w:hAnsi="Calibri"/>
                <w:b w:val="false"/>
                <w:bCs w:val="false"/>
                <w:color w:val="222222"/>
                <w:sz w:val="19"/>
                <w:szCs w:val="19"/>
              </w:rPr>
              <w:t xml:space="preserve">+0%</w:t>
            </w:r>
          </w:p>
        </w:tc>
        <w:tc>
          <w:tcPr>
            <w:tcW w:type="dxa" w:w="2350"/>
            <w:tcBorders>
              <w:top w:val="single" w:color="D9D9D9" w:sz="4"/>
              <w:left w:val="none" w:color="FFFFFF" w:sz="0"/>
              <w:bottom w:val="single" w:color="D9D9D9" w:sz="4"/>
              <w:right w:val="none" w:color="FFFFFF" w:sz="0"/>
            </w:tcBorders>
            <w:shd w:fill="F2F2F2" w:color="auto" w:val="clear"/>
            <w:tcMar>
              <w:top w:type="dxa" w:w="90"/>
              <w:left w:type="dxa" w:w="110"/>
              <w:bottom w:type="dxa" w:w="90"/>
              <w:right w:type="dxa" w:w="110"/>
            </w:tcMar>
            <w:vAlign w:val="center"/>
          </w:tcPr>
          <w:p>
            <w:pPr>
              <w:jc w:val="left"/>
            </w:pPr>
            <w:r>
              <w:rPr>
                <w:rFonts w:ascii="Consolas" w:cs="Consolas" w:eastAsia="Consolas" w:hAnsi="Consolas"/>
                <w:b w:val="false"/>
                <w:bCs w:val="false"/>
                <w:color w:val="13294B"/>
                <w:sz w:val="16"/>
                <w:szCs w:val="16"/>
              </w:rPr>
              <w:t xml:space="preserve"/>
            </w:r>
          </w:p>
        </w:tc>
        <w:tc>
          <w:tcPr>
            <w:tcW w:type="dxa" w:w="1450"/>
            <w:tcBorders>
              <w:top w:val="single" w:color="D9D9D9" w:sz="4"/>
              <w:left w:val="none" w:color="FFFFFF" w:sz="0"/>
              <w:bottom w:val="single" w:color="D9D9D9" w:sz="4"/>
              <w:right w:val="none" w:color="FFFFFF" w:sz="0"/>
            </w:tcBorders>
            <w:shd w:fill="F2F2F2" w:color="auto" w:val="clear"/>
            <w:tcMar>
              <w:top w:type="dxa" w:w="90"/>
              <w:left w:type="dxa" w:w="110"/>
              <w:bottom w:type="dxa" w:w="90"/>
              <w:right w:type="dxa" w:w="110"/>
            </w:tcMar>
            <w:vAlign w:val="center"/>
          </w:tcPr>
          <w:p>
            <w:pPr>
              <w:jc w:val="center"/>
            </w:pPr>
            <w:r>
              <w:rPr>
                <w:rFonts w:ascii="Calibri" w:cs="Calibri" w:eastAsia="Calibri" w:hAnsi="Calibri"/>
                <w:b w:val="false"/>
                <w:bCs w:val="false"/>
                <w:color w:val="222222"/>
                <w:sz w:val="19"/>
                <w:szCs w:val="19"/>
              </w:rPr>
              <w:t xml:space="preserve">+0%</w:t>
            </w:r>
          </w:p>
        </w:tc>
        <w:tc>
          <w:tcPr>
            <w:tcW w:type="dxa" w:w="3000"/>
            <w:tcBorders>
              <w:top w:val="single" w:color="D9D9D9" w:sz="4"/>
              <w:left w:val="none" w:color="FFFFFF" w:sz="0"/>
              <w:bottom w:val="single" w:color="D9D9D9" w:sz="4"/>
              <w:right w:val="none" w:color="FFFFFF" w:sz="0"/>
            </w:tcBorders>
            <w:shd w:fill="F2F2F2" w:color="auto" w:val="clear"/>
            <w:tcMar>
              <w:top w:type="dxa" w:w="90"/>
              <w:left w:type="dxa" w:w="110"/>
              <w:bottom w:type="dxa" w:w="90"/>
              <w:right w:type="dxa" w:w="110"/>
            </w:tcMar>
            <w:vAlign w:val="center"/>
          </w:tcPr>
          <w:p>
            <w:pPr>
              <w:jc w:val="left"/>
            </w:pPr>
            <w:r>
              <w:rPr>
                <w:rFonts w:ascii="Consolas" w:cs="Consolas" w:eastAsia="Consolas" w:hAnsi="Consolas"/>
                <w:b w:val="false"/>
                <w:bCs w:val="false"/>
                <w:color w:val="B08D57"/>
                <w:sz w:val="16"/>
                <w:szCs w:val="16"/>
              </w:rPr>
              <w:t xml:space="preserve"/>
            </w:r>
          </w:p>
        </w:tc>
      </w:tr>
      <w:tr>
        <w:tc>
          <w:tcPr>
            <w:tcW w:type="dxa" w:w="850"/>
            <w:tcBorders>
              <w:top w:val="single" w:color="D9D9D9" w:sz="4"/>
              <w:left w:val="none" w:color="FFFFFF" w:sz="0"/>
              <w:bottom w:val="single" w:color="D9D9D9" w:sz="4"/>
              <w:right w:val="none" w:color="FFFFFF" w:sz="0"/>
            </w:tcBorders>
            <w:shd w:fill="FFFFFF" w:color="auto" w:val="clear"/>
            <w:tcMar>
              <w:top w:type="dxa" w:w="90"/>
              <w:left w:type="dxa" w:w="110"/>
              <w:bottom w:type="dxa" w:w="90"/>
              <w:right w:type="dxa" w:w="110"/>
            </w:tcMar>
            <w:vAlign w:val="center"/>
          </w:tcPr>
          <w:p>
            <w:pPr>
              <w:jc w:val="center"/>
            </w:pPr>
            <w:r>
              <w:rPr>
                <w:rFonts w:ascii="Calibri" w:cs="Calibri" w:eastAsia="Calibri" w:hAnsi="Calibri"/>
                <w:b/>
                <w:bCs/>
                <w:color w:val="222222"/>
                <w:sz w:val="19"/>
                <w:szCs w:val="19"/>
              </w:rPr>
              <w:t xml:space="preserve">M2</w:t>
            </w:r>
          </w:p>
        </w:tc>
        <w:tc>
          <w:tcPr>
            <w:tcW w:type="dxa" w:w="1350"/>
            <w:tcBorders>
              <w:top w:val="single" w:color="D9D9D9" w:sz="4"/>
              <w:left w:val="none" w:color="FFFFFF" w:sz="0"/>
              <w:bottom w:val="single" w:color="D9D9D9" w:sz="4"/>
              <w:right w:val="none" w:color="FFFFFF" w:sz="0"/>
            </w:tcBorders>
            <w:shd w:fill="FFFFFF" w:color="auto" w:val="clear"/>
            <w:tcMar>
              <w:top w:type="dxa" w:w="90"/>
              <w:left w:type="dxa" w:w="110"/>
              <w:bottom w:type="dxa" w:w="90"/>
              <w:right w:type="dxa" w:w="110"/>
            </w:tcMar>
            <w:vAlign w:val="center"/>
          </w:tcPr>
          <w:p>
            <w:pPr>
              <w:jc w:val="center"/>
            </w:pPr>
            <w:r>
              <w:rPr>
                <w:rFonts w:ascii="Calibri" w:cs="Calibri" w:eastAsia="Calibri" w:hAnsi="Calibri"/>
                <w:b w:val="false"/>
                <w:bCs w:val="false"/>
                <w:color w:val="222222"/>
                <w:sz w:val="19"/>
                <w:szCs w:val="19"/>
              </w:rPr>
              <w:t xml:space="preserve">+7%</w:t>
            </w:r>
          </w:p>
        </w:tc>
        <w:tc>
          <w:tcPr>
            <w:tcW w:type="dxa" w:w="2350"/>
            <w:tcBorders>
              <w:top w:val="single" w:color="D9D9D9" w:sz="4"/>
              <w:left w:val="none" w:color="FFFFFF" w:sz="0"/>
              <w:bottom w:val="single" w:color="D9D9D9" w:sz="4"/>
              <w:right w:val="none" w:color="FFFFFF" w:sz="0"/>
            </w:tcBorders>
            <w:shd w:fill="FFFFFF" w:color="auto" w:val="clear"/>
            <w:tcMar>
              <w:top w:type="dxa" w:w="90"/>
              <w:left w:type="dxa" w:w="110"/>
              <w:bottom w:type="dxa" w:w="90"/>
              <w:right w:type="dxa" w:w="110"/>
            </w:tcMar>
            <w:vAlign w:val="center"/>
          </w:tcPr>
          <w:p>
            <w:pPr>
              <w:jc w:val="left"/>
            </w:pPr>
            <w:r>
              <w:rPr>
                <w:rFonts w:ascii="Consolas" w:cs="Consolas" w:eastAsia="Consolas" w:hAnsi="Consolas"/>
                <w:b w:val="false"/>
                <w:bCs w:val="false"/>
                <w:color w:val="13294B"/>
                <w:sz w:val="16"/>
                <w:szCs w:val="16"/>
              </w:rPr>
              <w:t xml:space="preserve">█</w:t>
            </w:r>
          </w:p>
        </w:tc>
        <w:tc>
          <w:tcPr>
            <w:tcW w:type="dxa" w:w="1450"/>
            <w:tcBorders>
              <w:top w:val="single" w:color="D9D9D9" w:sz="4"/>
              <w:left w:val="none" w:color="FFFFFF" w:sz="0"/>
              <w:bottom w:val="single" w:color="D9D9D9" w:sz="4"/>
              <w:right w:val="none" w:color="FFFFFF" w:sz="0"/>
            </w:tcBorders>
            <w:shd w:fill="FFFFFF" w:color="auto" w:val="clear"/>
            <w:tcMar>
              <w:top w:type="dxa" w:w="90"/>
              <w:left w:type="dxa" w:w="110"/>
              <w:bottom w:type="dxa" w:w="90"/>
              <w:right w:type="dxa" w:w="110"/>
            </w:tcMar>
            <w:vAlign w:val="center"/>
          </w:tcPr>
          <w:p>
            <w:pPr>
              <w:jc w:val="center"/>
            </w:pPr>
            <w:r>
              <w:rPr>
                <w:rFonts w:ascii="Calibri" w:cs="Calibri" w:eastAsia="Calibri" w:hAnsi="Calibri"/>
                <w:b w:val="false"/>
                <w:bCs w:val="false"/>
                <w:color w:val="222222"/>
                <w:sz w:val="19"/>
                <w:szCs w:val="19"/>
              </w:rPr>
              <w:t xml:space="preserve">+24%</w:t>
            </w:r>
          </w:p>
        </w:tc>
        <w:tc>
          <w:tcPr>
            <w:tcW w:type="dxa" w:w="3000"/>
            <w:tcBorders>
              <w:top w:val="single" w:color="D9D9D9" w:sz="4"/>
              <w:left w:val="none" w:color="FFFFFF" w:sz="0"/>
              <w:bottom w:val="single" w:color="D9D9D9" w:sz="4"/>
              <w:right w:val="none" w:color="FFFFFF" w:sz="0"/>
            </w:tcBorders>
            <w:shd w:fill="FFFFFF" w:color="auto" w:val="clear"/>
            <w:tcMar>
              <w:top w:type="dxa" w:w="90"/>
              <w:left w:type="dxa" w:w="110"/>
              <w:bottom w:type="dxa" w:w="90"/>
              <w:right w:type="dxa" w:w="110"/>
            </w:tcMar>
            <w:vAlign w:val="center"/>
          </w:tcPr>
          <w:p>
            <w:pPr>
              <w:jc w:val="left"/>
            </w:pPr>
            <w:r>
              <w:rPr>
                <w:rFonts w:ascii="Consolas" w:cs="Consolas" w:eastAsia="Consolas" w:hAnsi="Consolas"/>
                <w:b w:val="false"/>
                <w:bCs w:val="false"/>
                <w:color w:val="B08D57"/>
                <w:sz w:val="16"/>
                <w:szCs w:val="16"/>
              </w:rPr>
              <w:t xml:space="preserve">██</w:t>
            </w:r>
          </w:p>
        </w:tc>
      </w:tr>
      <w:tr>
        <w:tc>
          <w:tcPr>
            <w:tcW w:type="dxa" w:w="850"/>
            <w:tcBorders>
              <w:top w:val="single" w:color="D9D9D9" w:sz="4"/>
              <w:left w:val="none" w:color="FFFFFF" w:sz="0"/>
              <w:bottom w:val="single" w:color="D9D9D9" w:sz="4"/>
              <w:right w:val="none" w:color="FFFFFF" w:sz="0"/>
            </w:tcBorders>
            <w:shd w:fill="F2F2F2" w:color="auto" w:val="clear"/>
            <w:tcMar>
              <w:top w:type="dxa" w:w="90"/>
              <w:left w:type="dxa" w:w="110"/>
              <w:bottom w:type="dxa" w:w="90"/>
              <w:right w:type="dxa" w:w="110"/>
            </w:tcMar>
            <w:vAlign w:val="center"/>
          </w:tcPr>
          <w:p>
            <w:pPr>
              <w:jc w:val="center"/>
            </w:pPr>
            <w:r>
              <w:rPr>
                <w:rFonts w:ascii="Calibri" w:cs="Calibri" w:eastAsia="Calibri" w:hAnsi="Calibri"/>
                <w:b/>
                <w:bCs/>
                <w:color w:val="222222"/>
                <w:sz w:val="19"/>
                <w:szCs w:val="19"/>
              </w:rPr>
              <w:t xml:space="preserve">M3</w:t>
            </w:r>
          </w:p>
        </w:tc>
        <w:tc>
          <w:tcPr>
            <w:tcW w:type="dxa" w:w="1350"/>
            <w:tcBorders>
              <w:top w:val="single" w:color="D9D9D9" w:sz="4"/>
              <w:left w:val="none" w:color="FFFFFF" w:sz="0"/>
              <w:bottom w:val="single" w:color="D9D9D9" w:sz="4"/>
              <w:right w:val="none" w:color="FFFFFF" w:sz="0"/>
            </w:tcBorders>
            <w:shd w:fill="F2F2F2" w:color="auto" w:val="clear"/>
            <w:tcMar>
              <w:top w:type="dxa" w:w="90"/>
              <w:left w:type="dxa" w:w="110"/>
              <w:bottom w:type="dxa" w:w="90"/>
              <w:right w:type="dxa" w:w="110"/>
            </w:tcMar>
            <w:vAlign w:val="center"/>
          </w:tcPr>
          <w:p>
            <w:pPr>
              <w:jc w:val="center"/>
            </w:pPr>
            <w:r>
              <w:rPr>
                <w:rFonts w:ascii="Calibri" w:cs="Calibri" w:eastAsia="Calibri" w:hAnsi="Calibri"/>
                <w:b w:val="false"/>
                <w:bCs w:val="false"/>
                <w:color w:val="222222"/>
                <w:sz w:val="19"/>
                <w:szCs w:val="19"/>
              </w:rPr>
              <w:t xml:space="preserve">+16%</w:t>
            </w:r>
          </w:p>
        </w:tc>
        <w:tc>
          <w:tcPr>
            <w:tcW w:type="dxa" w:w="2350"/>
            <w:tcBorders>
              <w:top w:val="single" w:color="D9D9D9" w:sz="4"/>
              <w:left w:val="none" w:color="FFFFFF" w:sz="0"/>
              <w:bottom w:val="single" w:color="D9D9D9" w:sz="4"/>
              <w:right w:val="none" w:color="FFFFFF" w:sz="0"/>
            </w:tcBorders>
            <w:shd w:fill="F2F2F2" w:color="auto" w:val="clear"/>
            <w:tcMar>
              <w:top w:type="dxa" w:w="90"/>
              <w:left w:type="dxa" w:w="110"/>
              <w:bottom w:type="dxa" w:w="90"/>
              <w:right w:type="dxa" w:w="110"/>
            </w:tcMar>
            <w:vAlign w:val="center"/>
          </w:tcPr>
          <w:p>
            <w:pPr>
              <w:jc w:val="left"/>
            </w:pPr>
            <w:r>
              <w:rPr>
                <w:rFonts w:ascii="Consolas" w:cs="Consolas" w:eastAsia="Consolas" w:hAnsi="Consolas"/>
                <w:b w:val="false"/>
                <w:bCs w:val="false"/>
                <w:color w:val="13294B"/>
                <w:sz w:val="16"/>
                <w:szCs w:val="16"/>
              </w:rPr>
              <w:t xml:space="preserve">███</w:t>
            </w:r>
          </w:p>
        </w:tc>
        <w:tc>
          <w:tcPr>
            <w:tcW w:type="dxa" w:w="1450"/>
            <w:tcBorders>
              <w:top w:val="single" w:color="D9D9D9" w:sz="4"/>
              <w:left w:val="none" w:color="FFFFFF" w:sz="0"/>
              <w:bottom w:val="single" w:color="D9D9D9" w:sz="4"/>
              <w:right w:val="none" w:color="FFFFFF" w:sz="0"/>
            </w:tcBorders>
            <w:shd w:fill="F2F2F2" w:color="auto" w:val="clear"/>
            <w:tcMar>
              <w:top w:type="dxa" w:w="90"/>
              <w:left w:type="dxa" w:w="110"/>
              <w:bottom w:type="dxa" w:w="90"/>
              <w:right w:type="dxa" w:w="110"/>
            </w:tcMar>
            <w:vAlign w:val="center"/>
          </w:tcPr>
          <w:p>
            <w:pPr>
              <w:jc w:val="center"/>
            </w:pPr>
            <w:r>
              <w:rPr>
                <w:rFonts w:ascii="Calibri" w:cs="Calibri" w:eastAsia="Calibri" w:hAnsi="Calibri"/>
                <w:b w:val="false"/>
                <w:bCs w:val="false"/>
                <w:color w:val="222222"/>
                <w:sz w:val="19"/>
                <w:szCs w:val="19"/>
              </w:rPr>
              <w:t xml:space="preserve">+58%</w:t>
            </w:r>
          </w:p>
        </w:tc>
        <w:tc>
          <w:tcPr>
            <w:tcW w:type="dxa" w:w="3000"/>
            <w:tcBorders>
              <w:top w:val="single" w:color="D9D9D9" w:sz="4"/>
              <w:left w:val="none" w:color="FFFFFF" w:sz="0"/>
              <w:bottom w:val="single" w:color="D9D9D9" w:sz="4"/>
              <w:right w:val="none" w:color="FFFFFF" w:sz="0"/>
            </w:tcBorders>
            <w:shd w:fill="F2F2F2" w:color="auto" w:val="clear"/>
            <w:tcMar>
              <w:top w:type="dxa" w:w="90"/>
              <w:left w:type="dxa" w:w="110"/>
              <w:bottom w:type="dxa" w:w="90"/>
              <w:right w:type="dxa" w:w="110"/>
            </w:tcMar>
            <w:vAlign w:val="center"/>
          </w:tcPr>
          <w:p>
            <w:pPr>
              <w:jc w:val="left"/>
            </w:pPr>
            <w:r>
              <w:rPr>
                <w:rFonts w:ascii="Consolas" w:cs="Consolas" w:eastAsia="Consolas" w:hAnsi="Consolas"/>
                <w:b w:val="false"/>
                <w:bCs w:val="false"/>
                <w:color w:val="B08D57"/>
                <w:sz w:val="16"/>
                <w:szCs w:val="16"/>
              </w:rPr>
              <w:t xml:space="preserve">████</w:t>
            </w:r>
          </w:p>
        </w:tc>
      </w:tr>
      <w:tr>
        <w:tc>
          <w:tcPr>
            <w:tcW w:type="dxa" w:w="850"/>
            <w:tcBorders>
              <w:top w:val="single" w:color="D9D9D9" w:sz="4"/>
              <w:left w:val="none" w:color="FFFFFF" w:sz="0"/>
              <w:bottom w:val="single" w:color="D9D9D9" w:sz="4"/>
              <w:right w:val="none" w:color="FFFFFF" w:sz="0"/>
            </w:tcBorders>
            <w:shd w:fill="FFFFFF" w:color="auto" w:val="clear"/>
            <w:tcMar>
              <w:top w:type="dxa" w:w="90"/>
              <w:left w:type="dxa" w:w="110"/>
              <w:bottom w:type="dxa" w:w="90"/>
              <w:right w:type="dxa" w:w="110"/>
            </w:tcMar>
            <w:vAlign w:val="center"/>
          </w:tcPr>
          <w:p>
            <w:pPr>
              <w:jc w:val="center"/>
            </w:pPr>
            <w:r>
              <w:rPr>
                <w:rFonts w:ascii="Calibri" w:cs="Calibri" w:eastAsia="Calibri" w:hAnsi="Calibri"/>
                <w:b/>
                <w:bCs/>
                <w:color w:val="222222"/>
                <w:sz w:val="19"/>
                <w:szCs w:val="19"/>
              </w:rPr>
              <w:t xml:space="preserve">M4</w:t>
            </w:r>
          </w:p>
        </w:tc>
        <w:tc>
          <w:tcPr>
            <w:tcW w:type="dxa" w:w="1350"/>
            <w:tcBorders>
              <w:top w:val="single" w:color="D9D9D9" w:sz="4"/>
              <w:left w:val="none" w:color="FFFFFF" w:sz="0"/>
              <w:bottom w:val="single" w:color="D9D9D9" w:sz="4"/>
              <w:right w:val="none" w:color="FFFFFF" w:sz="0"/>
            </w:tcBorders>
            <w:shd w:fill="FFFFFF" w:color="auto" w:val="clear"/>
            <w:tcMar>
              <w:top w:type="dxa" w:w="90"/>
              <w:left w:type="dxa" w:w="110"/>
              <w:bottom w:type="dxa" w:w="90"/>
              <w:right w:type="dxa" w:w="110"/>
            </w:tcMar>
            <w:vAlign w:val="center"/>
          </w:tcPr>
          <w:p>
            <w:pPr>
              <w:jc w:val="center"/>
            </w:pPr>
            <w:r>
              <w:rPr>
                <w:rFonts w:ascii="Calibri" w:cs="Calibri" w:eastAsia="Calibri" w:hAnsi="Calibri"/>
                <w:b w:val="false"/>
                <w:bCs w:val="false"/>
                <w:color w:val="222222"/>
                <w:sz w:val="19"/>
                <w:szCs w:val="19"/>
              </w:rPr>
              <w:t xml:space="preserve">+24%</w:t>
            </w:r>
          </w:p>
        </w:tc>
        <w:tc>
          <w:tcPr>
            <w:tcW w:type="dxa" w:w="2350"/>
            <w:tcBorders>
              <w:top w:val="single" w:color="D9D9D9" w:sz="4"/>
              <w:left w:val="none" w:color="FFFFFF" w:sz="0"/>
              <w:bottom w:val="single" w:color="D9D9D9" w:sz="4"/>
              <w:right w:val="none" w:color="FFFFFF" w:sz="0"/>
            </w:tcBorders>
            <w:shd w:fill="FFFFFF" w:color="auto" w:val="clear"/>
            <w:tcMar>
              <w:top w:type="dxa" w:w="90"/>
              <w:left w:type="dxa" w:w="110"/>
              <w:bottom w:type="dxa" w:w="90"/>
              <w:right w:type="dxa" w:w="110"/>
            </w:tcMar>
            <w:vAlign w:val="center"/>
          </w:tcPr>
          <w:p>
            <w:pPr>
              <w:jc w:val="left"/>
            </w:pPr>
            <w:r>
              <w:rPr>
                <w:rFonts w:ascii="Consolas" w:cs="Consolas" w:eastAsia="Consolas" w:hAnsi="Consolas"/>
                <w:b w:val="false"/>
                <w:bCs w:val="false"/>
                <w:color w:val="13294B"/>
                <w:sz w:val="16"/>
                <w:szCs w:val="16"/>
              </w:rPr>
              <w:t xml:space="preserve">█████</w:t>
            </w:r>
          </w:p>
        </w:tc>
        <w:tc>
          <w:tcPr>
            <w:tcW w:type="dxa" w:w="1450"/>
            <w:tcBorders>
              <w:top w:val="single" w:color="D9D9D9" w:sz="4"/>
              <w:left w:val="none" w:color="FFFFFF" w:sz="0"/>
              <w:bottom w:val="single" w:color="D9D9D9" w:sz="4"/>
              <w:right w:val="none" w:color="FFFFFF" w:sz="0"/>
            </w:tcBorders>
            <w:shd w:fill="FFFFFF" w:color="auto" w:val="clear"/>
            <w:tcMar>
              <w:top w:type="dxa" w:w="90"/>
              <w:left w:type="dxa" w:w="110"/>
              <w:bottom w:type="dxa" w:w="90"/>
              <w:right w:type="dxa" w:w="110"/>
            </w:tcMar>
            <w:vAlign w:val="center"/>
          </w:tcPr>
          <w:p>
            <w:pPr>
              <w:jc w:val="center"/>
            </w:pPr>
            <w:r>
              <w:rPr>
                <w:rFonts w:ascii="Calibri" w:cs="Calibri" w:eastAsia="Calibri" w:hAnsi="Calibri"/>
                <w:b w:val="false"/>
                <w:bCs w:val="false"/>
                <w:color w:val="222222"/>
                <w:sz w:val="19"/>
                <w:szCs w:val="19"/>
              </w:rPr>
              <w:t xml:space="preserve">+101%</w:t>
            </w:r>
          </w:p>
        </w:tc>
        <w:tc>
          <w:tcPr>
            <w:tcW w:type="dxa" w:w="3000"/>
            <w:tcBorders>
              <w:top w:val="single" w:color="D9D9D9" w:sz="4"/>
              <w:left w:val="none" w:color="FFFFFF" w:sz="0"/>
              <w:bottom w:val="single" w:color="D9D9D9" w:sz="4"/>
              <w:right w:val="none" w:color="FFFFFF" w:sz="0"/>
            </w:tcBorders>
            <w:shd w:fill="FFFFFF" w:color="auto" w:val="clear"/>
            <w:tcMar>
              <w:top w:type="dxa" w:w="90"/>
              <w:left w:type="dxa" w:w="110"/>
              <w:bottom w:type="dxa" w:w="90"/>
              <w:right w:type="dxa" w:w="110"/>
            </w:tcMar>
            <w:vAlign w:val="center"/>
          </w:tcPr>
          <w:p>
            <w:pPr>
              <w:jc w:val="left"/>
            </w:pPr>
            <w:r>
              <w:rPr>
                <w:rFonts w:ascii="Consolas" w:cs="Consolas" w:eastAsia="Consolas" w:hAnsi="Consolas"/>
                <w:b w:val="false"/>
                <w:bCs w:val="false"/>
                <w:color w:val="B08D57"/>
                <w:sz w:val="16"/>
                <w:szCs w:val="16"/>
              </w:rPr>
              <w:t xml:space="preserve">███████</w:t>
            </w:r>
          </w:p>
        </w:tc>
      </w:tr>
      <w:tr>
        <w:tc>
          <w:tcPr>
            <w:tcW w:type="dxa" w:w="850"/>
            <w:tcBorders>
              <w:top w:val="single" w:color="D9D9D9" w:sz="4"/>
              <w:left w:val="none" w:color="FFFFFF" w:sz="0"/>
              <w:bottom w:val="single" w:color="D9D9D9" w:sz="4"/>
              <w:right w:val="none" w:color="FFFFFF" w:sz="0"/>
            </w:tcBorders>
            <w:shd w:fill="F2F2F2" w:color="auto" w:val="clear"/>
            <w:tcMar>
              <w:top w:type="dxa" w:w="90"/>
              <w:left w:type="dxa" w:w="110"/>
              <w:bottom w:type="dxa" w:w="90"/>
              <w:right w:type="dxa" w:w="110"/>
            </w:tcMar>
            <w:vAlign w:val="center"/>
          </w:tcPr>
          <w:p>
            <w:pPr>
              <w:jc w:val="center"/>
            </w:pPr>
            <w:r>
              <w:rPr>
                <w:rFonts w:ascii="Calibri" w:cs="Calibri" w:eastAsia="Calibri" w:hAnsi="Calibri"/>
                <w:b/>
                <w:bCs/>
                <w:color w:val="222222"/>
                <w:sz w:val="19"/>
                <w:szCs w:val="19"/>
              </w:rPr>
              <w:t xml:space="preserve">M5</w:t>
            </w:r>
          </w:p>
        </w:tc>
        <w:tc>
          <w:tcPr>
            <w:tcW w:type="dxa" w:w="1350"/>
            <w:tcBorders>
              <w:top w:val="single" w:color="D9D9D9" w:sz="4"/>
              <w:left w:val="none" w:color="FFFFFF" w:sz="0"/>
              <w:bottom w:val="single" w:color="D9D9D9" w:sz="4"/>
              <w:right w:val="none" w:color="FFFFFF" w:sz="0"/>
            </w:tcBorders>
            <w:shd w:fill="F2F2F2" w:color="auto" w:val="clear"/>
            <w:tcMar>
              <w:top w:type="dxa" w:w="90"/>
              <w:left w:type="dxa" w:w="110"/>
              <w:bottom w:type="dxa" w:w="90"/>
              <w:right w:type="dxa" w:w="110"/>
            </w:tcMar>
            <w:vAlign w:val="center"/>
          </w:tcPr>
          <w:p>
            <w:pPr>
              <w:jc w:val="center"/>
            </w:pPr>
            <w:r>
              <w:rPr>
                <w:rFonts w:ascii="Calibri" w:cs="Calibri" w:eastAsia="Calibri" w:hAnsi="Calibri"/>
                <w:b w:val="false"/>
                <w:bCs w:val="false"/>
                <w:color w:val="222222"/>
                <w:sz w:val="19"/>
                <w:szCs w:val="19"/>
              </w:rPr>
              <w:t xml:space="preserve">+31%</w:t>
            </w:r>
          </w:p>
        </w:tc>
        <w:tc>
          <w:tcPr>
            <w:tcW w:type="dxa" w:w="2350"/>
            <w:tcBorders>
              <w:top w:val="single" w:color="D9D9D9" w:sz="4"/>
              <w:left w:val="none" w:color="FFFFFF" w:sz="0"/>
              <w:bottom w:val="single" w:color="D9D9D9" w:sz="4"/>
              <w:right w:val="none" w:color="FFFFFF" w:sz="0"/>
            </w:tcBorders>
            <w:shd w:fill="F2F2F2" w:color="auto" w:val="clear"/>
            <w:tcMar>
              <w:top w:type="dxa" w:w="90"/>
              <w:left w:type="dxa" w:w="110"/>
              <w:bottom w:type="dxa" w:w="90"/>
              <w:right w:type="dxa" w:w="110"/>
            </w:tcMar>
            <w:vAlign w:val="center"/>
          </w:tcPr>
          <w:p>
            <w:pPr>
              <w:jc w:val="left"/>
            </w:pPr>
            <w:r>
              <w:rPr>
                <w:rFonts w:ascii="Consolas" w:cs="Consolas" w:eastAsia="Consolas" w:hAnsi="Consolas"/>
                <w:b w:val="false"/>
                <w:bCs w:val="false"/>
                <w:color w:val="13294B"/>
                <w:sz w:val="16"/>
                <w:szCs w:val="16"/>
              </w:rPr>
              <w:t xml:space="preserve">██████</w:t>
            </w:r>
          </w:p>
        </w:tc>
        <w:tc>
          <w:tcPr>
            <w:tcW w:type="dxa" w:w="1450"/>
            <w:tcBorders>
              <w:top w:val="single" w:color="D9D9D9" w:sz="4"/>
              <w:left w:val="none" w:color="FFFFFF" w:sz="0"/>
              <w:bottom w:val="single" w:color="D9D9D9" w:sz="4"/>
              <w:right w:val="none" w:color="FFFFFF" w:sz="0"/>
            </w:tcBorders>
            <w:shd w:fill="F2F2F2" w:color="auto" w:val="clear"/>
            <w:tcMar>
              <w:top w:type="dxa" w:w="90"/>
              <w:left w:type="dxa" w:w="110"/>
              <w:bottom w:type="dxa" w:w="90"/>
              <w:right w:type="dxa" w:w="110"/>
            </w:tcMar>
            <w:vAlign w:val="center"/>
          </w:tcPr>
          <w:p>
            <w:pPr>
              <w:jc w:val="center"/>
            </w:pPr>
            <w:r>
              <w:rPr>
                <w:rFonts w:ascii="Calibri" w:cs="Calibri" w:eastAsia="Calibri" w:hAnsi="Calibri"/>
                <w:b w:val="false"/>
                <w:bCs w:val="false"/>
                <w:color w:val="222222"/>
                <w:sz w:val="19"/>
                <w:szCs w:val="19"/>
              </w:rPr>
              <w:t xml:space="preserve">+146%</w:t>
            </w:r>
          </w:p>
        </w:tc>
        <w:tc>
          <w:tcPr>
            <w:tcW w:type="dxa" w:w="3000"/>
            <w:tcBorders>
              <w:top w:val="single" w:color="D9D9D9" w:sz="4"/>
              <w:left w:val="none" w:color="FFFFFF" w:sz="0"/>
              <w:bottom w:val="single" w:color="D9D9D9" w:sz="4"/>
              <w:right w:val="none" w:color="FFFFFF" w:sz="0"/>
            </w:tcBorders>
            <w:shd w:fill="F2F2F2" w:color="auto" w:val="clear"/>
            <w:tcMar>
              <w:top w:type="dxa" w:w="90"/>
              <w:left w:type="dxa" w:w="110"/>
              <w:bottom w:type="dxa" w:w="90"/>
              <w:right w:type="dxa" w:w="110"/>
            </w:tcMar>
            <w:vAlign w:val="center"/>
          </w:tcPr>
          <w:p>
            <w:pPr>
              <w:jc w:val="left"/>
            </w:pPr>
            <w:r>
              <w:rPr>
                <w:rFonts w:ascii="Consolas" w:cs="Consolas" w:eastAsia="Consolas" w:hAnsi="Consolas"/>
                <w:b w:val="false"/>
                <w:bCs w:val="false"/>
                <w:color w:val="B08D57"/>
                <w:sz w:val="16"/>
                <w:szCs w:val="16"/>
              </w:rPr>
              <w:t xml:space="preserve">██████████</w:t>
            </w:r>
          </w:p>
        </w:tc>
      </w:tr>
      <w:tr>
        <w:tc>
          <w:tcPr>
            <w:tcW w:type="dxa" w:w="850"/>
            <w:tcBorders>
              <w:top w:val="single" w:color="D9D9D9" w:sz="4"/>
              <w:left w:val="none" w:color="FFFFFF" w:sz="0"/>
              <w:bottom w:val="single" w:color="D9D9D9" w:sz="4"/>
              <w:right w:val="none" w:color="FFFFFF" w:sz="0"/>
            </w:tcBorders>
            <w:shd w:fill="FFFFFF" w:color="auto" w:val="clear"/>
            <w:tcMar>
              <w:top w:type="dxa" w:w="90"/>
              <w:left w:type="dxa" w:w="110"/>
              <w:bottom w:type="dxa" w:w="90"/>
              <w:right w:type="dxa" w:w="110"/>
            </w:tcMar>
            <w:vAlign w:val="center"/>
          </w:tcPr>
          <w:p>
            <w:pPr>
              <w:jc w:val="center"/>
            </w:pPr>
            <w:r>
              <w:rPr>
                <w:rFonts w:ascii="Calibri" w:cs="Calibri" w:eastAsia="Calibri" w:hAnsi="Calibri"/>
                <w:b/>
                <w:bCs/>
                <w:color w:val="222222"/>
                <w:sz w:val="19"/>
                <w:szCs w:val="19"/>
              </w:rPr>
              <w:t xml:space="preserve">M6</w:t>
            </w:r>
          </w:p>
        </w:tc>
        <w:tc>
          <w:tcPr>
            <w:tcW w:type="dxa" w:w="1350"/>
            <w:tcBorders>
              <w:top w:val="single" w:color="D9D9D9" w:sz="4"/>
              <w:left w:val="none" w:color="FFFFFF" w:sz="0"/>
              <w:bottom w:val="single" w:color="D9D9D9" w:sz="4"/>
              <w:right w:val="none" w:color="FFFFFF" w:sz="0"/>
            </w:tcBorders>
            <w:shd w:fill="FFFFFF" w:color="auto" w:val="clear"/>
            <w:tcMar>
              <w:top w:type="dxa" w:w="90"/>
              <w:left w:type="dxa" w:w="110"/>
              <w:bottom w:type="dxa" w:w="90"/>
              <w:right w:type="dxa" w:w="110"/>
            </w:tcMar>
            <w:vAlign w:val="center"/>
          </w:tcPr>
          <w:p>
            <w:pPr>
              <w:jc w:val="center"/>
            </w:pPr>
            <w:r>
              <w:rPr>
                <w:rFonts w:ascii="Calibri" w:cs="Calibri" w:eastAsia="Calibri" w:hAnsi="Calibri"/>
                <w:b w:val="false"/>
                <w:bCs w:val="false"/>
                <w:color w:val="222222"/>
                <w:sz w:val="19"/>
                <w:szCs w:val="19"/>
              </w:rPr>
              <w:t xml:space="preserve">+38%</w:t>
            </w:r>
          </w:p>
        </w:tc>
        <w:tc>
          <w:tcPr>
            <w:tcW w:type="dxa" w:w="2350"/>
            <w:tcBorders>
              <w:top w:val="single" w:color="D9D9D9" w:sz="4"/>
              <w:left w:val="none" w:color="FFFFFF" w:sz="0"/>
              <w:bottom w:val="single" w:color="D9D9D9" w:sz="4"/>
              <w:right w:val="none" w:color="FFFFFF" w:sz="0"/>
            </w:tcBorders>
            <w:shd w:fill="FFFFFF" w:color="auto" w:val="clear"/>
            <w:tcMar>
              <w:top w:type="dxa" w:w="90"/>
              <w:left w:type="dxa" w:w="110"/>
              <w:bottom w:type="dxa" w:w="90"/>
              <w:right w:type="dxa" w:w="110"/>
            </w:tcMar>
            <w:vAlign w:val="center"/>
          </w:tcPr>
          <w:p>
            <w:pPr>
              <w:jc w:val="left"/>
            </w:pPr>
            <w:r>
              <w:rPr>
                <w:rFonts w:ascii="Consolas" w:cs="Consolas" w:eastAsia="Consolas" w:hAnsi="Consolas"/>
                <w:b w:val="false"/>
                <w:bCs w:val="false"/>
                <w:color w:val="13294B"/>
                <w:sz w:val="16"/>
                <w:szCs w:val="16"/>
              </w:rPr>
              <w:t xml:space="preserve">████████</w:t>
            </w:r>
          </w:p>
        </w:tc>
        <w:tc>
          <w:tcPr>
            <w:tcW w:type="dxa" w:w="1450"/>
            <w:tcBorders>
              <w:top w:val="single" w:color="D9D9D9" w:sz="4"/>
              <w:left w:val="none" w:color="FFFFFF" w:sz="0"/>
              <w:bottom w:val="single" w:color="D9D9D9" w:sz="4"/>
              <w:right w:val="none" w:color="FFFFFF" w:sz="0"/>
            </w:tcBorders>
            <w:shd w:fill="FFFFFF" w:color="auto" w:val="clear"/>
            <w:tcMar>
              <w:top w:type="dxa" w:w="90"/>
              <w:left w:type="dxa" w:w="110"/>
              <w:bottom w:type="dxa" w:w="90"/>
              <w:right w:type="dxa" w:w="110"/>
            </w:tcMar>
            <w:vAlign w:val="center"/>
          </w:tcPr>
          <w:p>
            <w:pPr>
              <w:jc w:val="center"/>
            </w:pPr>
            <w:r>
              <w:rPr>
                <w:rFonts w:ascii="Calibri" w:cs="Calibri" w:eastAsia="Calibri" w:hAnsi="Calibri"/>
                <w:b w:val="false"/>
                <w:bCs w:val="false"/>
                <w:color w:val="222222"/>
                <w:sz w:val="19"/>
                <w:szCs w:val="19"/>
              </w:rPr>
              <w:t xml:space="preserve">+189%</w:t>
            </w:r>
          </w:p>
        </w:tc>
        <w:tc>
          <w:tcPr>
            <w:tcW w:type="dxa" w:w="3000"/>
            <w:tcBorders>
              <w:top w:val="single" w:color="D9D9D9" w:sz="4"/>
              <w:left w:val="none" w:color="FFFFFF" w:sz="0"/>
              <w:bottom w:val="single" w:color="D9D9D9" w:sz="4"/>
              <w:right w:val="none" w:color="FFFFFF" w:sz="0"/>
            </w:tcBorders>
            <w:shd w:fill="FFFFFF" w:color="auto" w:val="clear"/>
            <w:tcMar>
              <w:top w:type="dxa" w:w="90"/>
              <w:left w:type="dxa" w:w="110"/>
              <w:bottom w:type="dxa" w:w="90"/>
              <w:right w:type="dxa" w:w="110"/>
            </w:tcMar>
            <w:vAlign w:val="center"/>
          </w:tcPr>
          <w:p>
            <w:pPr>
              <w:jc w:val="left"/>
            </w:pPr>
            <w:r>
              <w:rPr>
                <w:rFonts w:ascii="Consolas" w:cs="Consolas" w:eastAsia="Consolas" w:hAnsi="Consolas"/>
                <w:b w:val="false"/>
                <w:bCs w:val="false"/>
                <w:color w:val="B08D57"/>
                <w:sz w:val="16"/>
                <w:szCs w:val="16"/>
              </w:rPr>
              <w:t xml:space="preserve">█████████████</w:t>
            </w:r>
          </w:p>
        </w:tc>
      </w:tr>
      <w:tr>
        <w:tc>
          <w:tcPr>
            <w:tcW w:type="dxa" w:w="850"/>
            <w:tcBorders>
              <w:top w:val="single" w:color="D9D9D9" w:sz="4"/>
              <w:left w:val="none" w:color="FFFFFF" w:sz="0"/>
              <w:bottom w:val="single" w:color="D9D9D9" w:sz="4"/>
              <w:right w:val="none" w:color="FFFFFF" w:sz="0"/>
            </w:tcBorders>
            <w:shd w:fill="F2F2F2" w:color="auto" w:val="clear"/>
            <w:tcMar>
              <w:top w:type="dxa" w:w="90"/>
              <w:left w:type="dxa" w:w="110"/>
              <w:bottom w:type="dxa" w:w="90"/>
              <w:right w:type="dxa" w:w="110"/>
            </w:tcMar>
            <w:vAlign w:val="center"/>
          </w:tcPr>
          <w:p>
            <w:pPr>
              <w:jc w:val="center"/>
            </w:pPr>
            <w:r>
              <w:rPr>
                <w:rFonts w:ascii="Calibri" w:cs="Calibri" w:eastAsia="Calibri" w:hAnsi="Calibri"/>
                <w:b/>
                <w:bCs/>
                <w:color w:val="222222"/>
                <w:sz w:val="19"/>
                <w:szCs w:val="19"/>
              </w:rPr>
              <w:t xml:space="preserve">M7</w:t>
            </w:r>
          </w:p>
        </w:tc>
        <w:tc>
          <w:tcPr>
            <w:tcW w:type="dxa" w:w="1350"/>
            <w:tcBorders>
              <w:top w:val="single" w:color="D9D9D9" w:sz="4"/>
              <w:left w:val="none" w:color="FFFFFF" w:sz="0"/>
              <w:bottom w:val="single" w:color="D9D9D9" w:sz="4"/>
              <w:right w:val="none" w:color="FFFFFF" w:sz="0"/>
            </w:tcBorders>
            <w:shd w:fill="F2F2F2" w:color="auto" w:val="clear"/>
            <w:tcMar>
              <w:top w:type="dxa" w:w="90"/>
              <w:left w:type="dxa" w:w="110"/>
              <w:bottom w:type="dxa" w:w="90"/>
              <w:right w:type="dxa" w:w="110"/>
            </w:tcMar>
            <w:vAlign w:val="center"/>
          </w:tcPr>
          <w:p>
            <w:pPr>
              <w:jc w:val="center"/>
            </w:pPr>
            <w:r>
              <w:rPr>
                <w:rFonts w:ascii="Calibri" w:cs="Calibri" w:eastAsia="Calibri" w:hAnsi="Calibri"/>
                <w:b w:val="false"/>
                <w:bCs w:val="false"/>
                <w:color w:val="222222"/>
                <w:sz w:val="19"/>
                <w:szCs w:val="19"/>
              </w:rPr>
              <w:t xml:space="preserve">+44%</w:t>
            </w:r>
          </w:p>
        </w:tc>
        <w:tc>
          <w:tcPr>
            <w:tcW w:type="dxa" w:w="2350"/>
            <w:tcBorders>
              <w:top w:val="single" w:color="D9D9D9" w:sz="4"/>
              <w:left w:val="none" w:color="FFFFFF" w:sz="0"/>
              <w:bottom w:val="single" w:color="D9D9D9" w:sz="4"/>
              <w:right w:val="none" w:color="FFFFFF" w:sz="0"/>
            </w:tcBorders>
            <w:shd w:fill="F2F2F2" w:color="auto" w:val="clear"/>
            <w:tcMar>
              <w:top w:type="dxa" w:w="90"/>
              <w:left w:type="dxa" w:w="110"/>
              <w:bottom w:type="dxa" w:w="90"/>
              <w:right w:type="dxa" w:w="110"/>
            </w:tcMar>
            <w:vAlign w:val="center"/>
          </w:tcPr>
          <w:p>
            <w:pPr>
              <w:jc w:val="left"/>
            </w:pPr>
            <w:r>
              <w:rPr>
                <w:rFonts w:ascii="Consolas" w:cs="Consolas" w:eastAsia="Consolas" w:hAnsi="Consolas"/>
                <w:b w:val="false"/>
                <w:bCs w:val="false"/>
                <w:color w:val="13294B"/>
                <w:sz w:val="16"/>
                <w:szCs w:val="16"/>
              </w:rPr>
              <w:t xml:space="preserve">█████████</w:t>
            </w:r>
          </w:p>
        </w:tc>
        <w:tc>
          <w:tcPr>
            <w:tcW w:type="dxa" w:w="1450"/>
            <w:tcBorders>
              <w:top w:val="single" w:color="D9D9D9" w:sz="4"/>
              <w:left w:val="none" w:color="FFFFFF" w:sz="0"/>
              <w:bottom w:val="single" w:color="D9D9D9" w:sz="4"/>
              <w:right w:val="none" w:color="FFFFFF" w:sz="0"/>
            </w:tcBorders>
            <w:shd w:fill="F2F2F2" w:color="auto" w:val="clear"/>
            <w:tcMar>
              <w:top w:type="dxa" w:w="90"/>
              <w:left w:type="dxa" w:w="110"/>
              <w:bottom w:type="dxa" w:w="90"/>
              <w:right w:type="dxa" w:w="110"/>
            </w:tcMar>
            <w:vAlign w:val="center"/>
          </w:tcPr>
          <w:p>
            <w:pPr>
              <w:jc w:val="center"/>
            </w:pPr>
            <w:r>
              <w:rPr>
                <w:rFonts w:ascii="Calibri" w:cs="Calibri" w:eastAsia="Calibri" w:hAnsi="Calibri"/>
                <w:b w:val="false"/>
                <w:bCs w:val="false"/>
                <w:color w:val="222222"/>
                <w:sz w:val="19"/>
                <w:szCs w:val="19"/>
              </w:rPr>
              <w:t xml:space="preserve">+222%</w:t>
            </w:r>
          </w:p>
        </w:tc>
        <w:tc>
          <w:tcPr>
            <w:tcW w:type="dxa" w:w="3000"/>
            <w:tcBorders>
              <w:top w:val="single" w:color="D9D9D9" w:sz="4"/>
              <w:left w:val="none" w:color="FFFFFF" w:sz="0"/>
              <w:bottom w:val="single" w:color="D9D9D9" w:sz="4"/>
              <w:right w:val="none" w:color="FFFFFF" w:sz="0"/>
            </w:tcBorders>
            <w:shd w:fill="F2F2F2" w:color="auto" w:val="clear"/>
            <w:tcMar>
              <w:top w:type="dxa" w:w="90"/>
              <w:left w:type="dxa" w:w="110"/>
              <w:bottom w:type="dxa" w:w="90"/>
              <w:right w:type="dxa" w:w="110"/>
            </w:tcMar>
            <w:vAlign w:val="center"/>
          </w:tcPr>
          <w:p>
            <w:pPr>
              <w:jc w:val="left"/>
            </w:pPr>
            <w:r>
              <w:rPr>
                <w:rFonts w:ascii="Consolas" w:cs="Consolas" w:eastAsia="Consolas" w:hAnsi="Consolas"/>
                <w:b w:val="false"/>
                <w:bCs w:val="false"/>
                <w:color w:val="B08D57"/>
                <w:sz w:val="16"/>
                <w:szCs w:val="16"/>
              </w:rPr>
              <w:t xml:space="preserve">███████████████</w:t>
            </w:r>
          </w:p>
        </w:tc>
      </w:tr>
      <w:tr>
        <w:tc>
          <w:tcPr>
            <w:tcW w:type="dxa" w:w="850"/>
            <w:tcBorders>
              <w:top w:val="single" w:color="D9D9D9" w:sz="4"/>
              <w:left w:val="none" w:color="FFFFFF" w:sz="0"/>
              <w:bottom w:val="single" w:color="D9D9D9" w:sz="4"/>
              <w:right w:val="none" w:color="FFFFFF" w:sz="0"/>
            </w:tcBorders>
            <w:shd w:fill="FFFFFF" w:color="auto" w:val="clear"/>
            <w:tcMar>
              <w:top w:type="dxa" w:w="90"/>
              <w:left w:type="dxa" w:w="110"/>
              <w:bottom w:type="dxa" w:w="90"/>
              <w:right w:type="dxa" w:w="110"/>
            </w:tcMar>
            <w:vAlign w:val="center"/>
          </w:tcPr>
          <w:p>
            <w:pPr>
              <w:jc w:val="center"/>
            </w:pPr>
            <w:r>
              <w:rPr>
                <w:rFonts w:ascii="Calibri" w:cs="Calibri" w:eastAsia="Calibri" w:hAnsi="Calibri"/>
                <w:b/>
                <w:bCs/>
                <w:color w:val="222222"/>
                <w:sz w:val="19"/>
                <w:szCs w:val="19"/>
              </w:rPr>
              <w:t xml:space="preserve">M8</w:t>
            </w:r>
          </w:p>
        </w:tc>
        <w:tc>
          <w:tcPr>
            <w:tcW w:type="dxa" w:w="1350"/>
            <w:tcBorders>
              <w:top w:val="single" w:color="D9D9D9" w:sz="4"/>
              <w:left w:val="none" w:color="FFFFFF" w:sz="0"/>
              <w:bottom w:val="single" w:color="D9D9D9" w:sz="4"/>
              <w:right w:val="none" w:color="FFFFFF" w:sz="0"/>
            </w:tcBorders>
            <w:shd w:fill="FFFFFF" w:color="auto" w:val="clear"/>
            <w:tcMar>
              <w:top w:type="dxa" w:w="90"/>
              <w:left w:type="dxa" w:w="110"/>
              <w:bottom w:type="dxa" w:w="90"/>
              <w:right w:type="dxa" w:w="110"/>
            </w:tcMar>
            <w:vAlign w:val="center"/>
          </w:tcPr>
          <w:p>
            <w:pPr>
              <w:jc w:val="center"/>
            </w:pPr>
            <w:r>
              <w:rPr>
                <w:rFonts w:ascii="Calibri" w:cs="Calibri" w:eastAsia="Calibri" w:hAnsi="Calibri"/>
                <w:b w:val="false"/>
                <w:bCs w:val="false"/>
                <w:color w:val="222222"/>
                <w:sz w:val="19"/>
                <w:szCs w:val="19"/>
              </w:rPr>
              <w:t xml:space="preserve">+49%</w:t>
            </w:r>
          </w:p>
        </w:tc>
        <w:tc>
          <w:tcPr>
            <w:tcW w:type="dxa" w:w="2350"/>
            <w:tcBorders>
              <w:top w:val="single" w:color="D9D9D9" w:sz="4"/>
              <w:left w:val="none" w:color="FFFFFF" w:sz="0"/>
              <w:bottom w:val="single" w:color="D9D9D9" w:sz="4"/>
              <w:right w:val="none" w:color="FFFFFF" w:sz="0"/>
            </w:tcBorders>
            <w:shd w:fill="FFFFFF" w:color="auto" w:val="clear"/>
            <w:tcMar>
              <w:top w:type="dxa" w:w="90"/>
              <w:left w:type="dxa" w:w="110"/>
              <w:bottom w:type="dxa" w:w="90"/>
              <w:right w:type="dxa" w:w="110"/>
            </w:tcMar>
            <w:vAlign w:val="center"/>
          </w:tcPr>
          <w:p>
            <w:pPr>
              <w:jc w:val="left"/>
            </w:pPr>
            <w:r>
              <w:rPr>
                <w:rFonts w:ascii="Consolas" w:cs="Consolas" w:eastAsia="Consolas" w:hAnsi="Consolas"/>
                <w:b w:val="false"/>
                <w:bCs w:val="false"/>
                <w:color w:val="13294B"/>
                <w:sz w:val="16"/>
                <w:szCs w:val="16"/>
              </w:rPr>
              <w:t xml:space="preserve">██████████</w:t>
            </w:r>
          </w:p>
        </w:tc>
        <w:tc>
          <w:tcPr>
            <w:tcW w:type="dxa" w:w="1450"/>
            <w:tcBorders>
              <w:top w:val="single" w:color="D9D9D9" w:sz="4"/>
              <w:left w:val="none" w:color="FFFFFF" w:sz="0"/>
              <w:bottom w:val="single" w:color="D9D9D9" w:sz="4"/>
              <w:right w:val="none" w:color="FFFFFF" w:sz="0"/>
            </w:tcBorders>
            <w:shd w:fill="FFFFFF" w:color="auto" w:val="clear"/>
            <w:tcMar>
              <w:top w:type="dxa" w:w="90"/>
              <w:left w:type="dxa" w:w="110"/>
              <w:bottom w:type="dxa" w:w="90"/>
              <w:right w:type="dxa" w:w="110"/>
            </w:tcMar>
            <w:vAlign w:val="center"/>
          </w:tcPr>
          <w:p>
            <w:pPr>
              <w:jc w:val="center"/>
            </w:pPr>
            <w:r>
              <w:rPr>
                <w:rFonts w:ascii="Calibri" w:cs="Calibri" w:eastAsia="Calibri" w:hAnsi="Calibri"/>
                <w:b w:val="false"/>
                <w:bCs w:val="false"/>
                <w:color w:val="222222"/>
                <w:sz w:val="19"/>
                <w:szCs w:val="19"/>
              </w:rPr>
              <w:t xml:space="preserve">+248%</w:t>
            </w:r>
          </w:p>
        </w:tc>
        <w:tc>
          <w:tcPr>
            <w:tcW w:type="dxa" w:w="3000"/>
            <w:tcBorders>
              <w:top w:val="single" w:color="D9D9D9" w:sz="4"/>
              <w:left w:val="none" w:color="FFFFFF" w:sz="0"/>
              <w:bottom w:val="single" w:color="D9D9D9" w:sz="4"/>
              <w:right w:val="none" w:color="FFFFFF" w:sz="0"/>
            </w:tcBorders>
            <w:shd w:fill="FFFFFF" w:color="auto" w:val="clear"/>
            <w:tcMar>
              <w:top w:type="dxa" w:w="90"/>
              <w:left w:type="dxa" w:w="110"/>
              <w:bottom w:type="dxa" w:w="90"/>
              <w:right w:type="dxa" w:w="110"/>
            </w:tcMar>
            <w:vAlign w:val="center"/>
          </w:tcPr>
          <w:p>
            <w:pPr>
              <w:jc w:val="left"/>
            </w:pPr>
            <w:r>
              <w:rPr>
                <w:rFonts w:ascii="Consolas" w:cs="Consolas" w:eastAsia="Consolas" w:hAnsi="Consolas"/>
                <w:b w:val="false"/>
                <w:bCs w:val="false"/>
                <w:color w:val="B08D57"/>
                <w:sz w:val="16"/>
                <w:szCs w:val="16"/>
              </w:rPr>
              <w:t xml:space="preserve">█████████████████</w:t>
            </w:r>
          </w:p>
        </w:tc>
      </w:tr>
      <w:tr>
        <w:tc>
          <w:tcPr>
            <w:tcW w:type="dxa" w:w="850"/>
            <w:tcBorders>
              <w:top w:val="single" w:color="D9D9D9" w:sz="4"/>
              <w:left w:val="none" w:color="FFFFFF" w:sz="0"/>
              <w:bottom w:val="single" w:color="D9D9D9" w:sz="4"/>
              <w:right w:val="none" w:color="FFFFFF" w:sz="0"/>
            </w:tcBorders>
            <w:shd w:fill="F2F2F2" w:color="auto" w:val="clear"/>
            <w:tcMar>
              <w:top w:type="dxa" w:w="90"/>
              <w:left w:type="dxa" w:w="110"/>
              <w:bottom w:type="dxa" w:w="90"/>
              <w:right w:type="dxa" w:w="110"/>
            </w:tcMar>
            <w:vAlign w:val="center"/>
          </w:tcPr>
          <w:p>
            <w:pPr>
              <w:jc w:val="center"/>
            </w:pPr>
            <w:r>
              <w:rPr>
                <w:rFonts w:ascii="Calibri" w:cs="Calibri" w:eastAsia="Calibri" w:hAnsi="Calibri"/>
                <w:b/>
                <w:bCs/>
                <w:color w:val="222222"/>
                <w:sz w:val="19"/>
                <w:szCs w:val="19"/>
              </w:rPr>
              <w:t xml:space="preserve">M9</w:t>
            </w:r>
          </w:p>
        </w:tc>
        <w:tc>
          <w:tcPr>
            <w:tcW w:type="dxa" w:w="1350"/>
            <w:tcBorders>
              <w:top w:val="single" w:color="D9D9D9" w:sz="4"/>
              <w:left w:val="none" w:color="FFFFFF" w:sz="0"/>
              <w:bottom w:val="single" w:color="D9D9D9" w:sz="4"/>
              <w:right w:val="none" w:color="FFFFFF" w:sz="0"/>
            </w:tcBorders>
            <w:shd w:fill="F2F2F2" w:color="auto" w:val="clear"/>
            <w:tcMar>
              <w:top w:type="dxa" w:w="90"/>
              <w:left w:type="dxa" w:w="110"/>
              <w:bottom w:type="dxa" w:w="90"/>
              <w:right w:type="dxa" w:w="110"/>
            </w:tcMar>
            <w:vAlign w:val="center"/>
          </w:tcPr>
          <w:p>
            <w:pPr>
              <w:jc w:val="center"/>
            </w:pPr>
            <w:r>
              <w:rPr>
                <w:rFonts w:ascii="Calibri" w:cs="Calibri" w:eastAsia="Calibri" w:hAnsi="Calibri"/>
                <w:b w:val="false"/>
                <w:bCs w:val="false"/>
                <w:color w:val="222222"/>
                <w:sz w:val="19"/>
                <w:szCs w:val="19"/>
              </w:rPr>
              <w:t xml:space="preserve">+54%</w:t>
            </w:r>
          </w:p>
        </w:tc>
        <w:tc>
          <w:tcPr>
            <w:tcW w:type="dxa" w:w="2350"/>
            <w:tcBorders>
              <w:top w:val="single" w:color="D9D9D9" w:sz="4"/>
              <w:left w:val="none" w:color="FFFFFF" w:sz="0"/>
              <w:bottom w:val="single" w:color="D9D9D9" w:sz="4"/>
              <w:right w:val="none" w:color="FFFFFF" w:sz="0"/>
            </w:tcBorders>
            <w:shd w:fill="F2F2F2" w:color="auto" w:val="clear"/>
            <w:tcMar>
              <w:top w:type="dxa" w:w="90"/>
              <w:left w:type="dxa" w:w="110"/>
              <w:bottom w:type="dxa" w:w="90"/>
              <w:right w:type="dxa" w:w="110"/>
            </w:tcMar>
            <w:vAlign w:val="center"/>
          </w:tcPr>
          <w:p>
            <w:pPr>
              <w:jc w:val="left"/>
            </w:pPr>
            <w:r>
              <w:rPr>
                <w:rFonts w:ascii="Consolas" w:cs="Consolas" w:eastAsia="Consolas" w:hAnsi="Consolas"/>
                <w:b w:val="false"/>
                <w:bCs w:val="false"/>
                <w:color w:val="13294B"/>
                <w:sz w:val="16"/>
                <w:szCs w:val="16"/>
              </w:rPr>
              <w:t xml:space="preserve">███████████</w:t>
            </w:r>
          </w:p>
        </w:tc>
        <w:tc>
          <w:tcPr>
            <w:tcW w:type="dxa" w:w="1450"/>
            <w:tcBorders>
              <w:top w:val="single" w:color="D9D9D9" w:sz="4"/>
              <w:left w:val="none" w:color="FFFFFF" w:sz="0"/>
              <w:bottom w:val="single" w:color="D9D9D9" w:sz="4"/>
              <w:right w:val="none" w:color="FFFFFF" w:sz="0"/>
            </w:tcBorders>
            <w:shd w:fill="F2F2F2" w:color="auto" w:val="clear"/>
            <w:tcMar>
              <w:top w:type="dxa" w:w="90"/>
              <w:left w:type="dxa" w:w="110"/>
              <w:bottom w:type="dxa" w:w="90"/>
              <w:right w:type="dxa" w:w="110"/>
            </w:tcMar>
            <w:vAlign w:val="center"/>
          </w:tcPr>
          <w:p>
            <w:pPr>
              <w:jc w:val="center"/>
            </w:pPr>
            <w:r>
              <w:rPr>
                <w:rFonts w:ascii="Calibri" w:cs="Calibri" w:eastAsia="Calibri" w:hAnsi="Calibri"/>
                <w:b w:val="false"/>
                <w:bCs w:val="false"/>
                <w:color w:val="222222"/>
                <w:sz w:val="19"/>
                <w:szCs w:val="19"/>
              </w:rPr>
              <w:t xml:space="preserve">+268%</w:t>
            </w:r>
          </w:p>
        </w:tc>
        <w:tc>
          <w:tcPr>
            <w:tcW w:type="dxa" w:w="3000"/>
            <w:tcBorders>
              <w:top w:val="single" w:color="D9D9D9" w:sz="4"/>
              <w:left w:val="none" w:color="FFFFFF" w:sz="0"/>
              <w:bottom w:val="single" w:color="D9D9D9" w:sz="4"/>
              <w:right w:val="none" w:color="FFFFFF" w:sz="0"/>
            </w:tcBorders>
            <w:shd w:fill="F2F2F2" w:color="auto" w:val="clear"/>
            <w:tcMar>
              <w:top w:type="dxa" w:w="90"/>
              <w:left w:type="dxa" w:w="110"/>
              <w:bottom w:type="dxa" w:w="90"/>
              <w:right w:type="dxa" w:w="110"/>
            </w:tcMar>
            <w:vAlign w:val="center"/>
          </w:tcPr>
          <w:p>
            <w:pPr>
              <w:jc w:val="left"/>
            </w:pPr>
            <w:r>
              <w:rPr>
                <w:rFonts w:ascii="Consolas" w:cs="Consolas" w:eastAsia="Consolas" w:hAnsi="Consolas"/>
                <w:b w:val="false"/>
                <w:bCs w:val="false"/>
                <w:color w:val="B08D57"/>
                <w:sz w:val="16"/>
                <w:szCs w:val="16"/>
              </w:rPr>
              <w:t xml:space="preserve">██████████████████</w:t>
            </w:r>
          </w:p>
        </w:tc>
      </w:tr>
      <w:tr>
        <w:tc>
          <w:tcPr>
            <w:tcW w:type="dxa" w:w="850"/>
            <w:tcBorders>
              <w:top w:val="single" w:color="D9D9D9" w:sz="4"/>
              <w:left w:val="none" w:color="FFFFFF" w:sz="0"/>
              <w:bottom w:val="single" w:color="D9D9D9" w:sz="4"/>
              <w:right w:val="none" w:color="FFFFFF" w:sz="0"/>
            </w:tcBorders>
            <w:shd w:fill="FFFFFF" w:color="auto" w:val="clear"/>
            <w:tcMar>
              <w:top w:type="dxa" w:w="90"/>
              <w:left w:type="dxa" w:w="110"/>
              <w:bottom w:type="dxa" w:w="90"/>
              <w:right w:type="dxa" w:w="110"/>
            </w:tcMar>
            <w:vAlign w:val="center"/>
          </w:tcPr>
          <w:p>
            <w:pPr>
              <w:jc w:val="center"/>
            </w:pPr>
            <w:r>
              <w:rPr>
                <w:rFonts w:ascii="Calibri" w:cs="Calibri" w:eastAsia="Calibri" w:hAnsi="Calibri"/>
                <w:b/>
                <w:bCs/>
                <w:color w:val="222222"/>
                <w:sz w:val="19"/>
                <w:szCs w:val="19"/>
              </w:rPr>
              <w:t xml:space="preserve">M10</w:t>
            </w:r>
          </w:p>
        </w:tc>
        <w:tc>
          <w:tcPr>
            <w:tcW w:type="dxa" w:w="1350"/>
            <w:tcBorders>
              <w:top w:val="single" w:color="D9D9D9" w:sz="4"/>
              <w:left w:val="none" w:color="FFFFFF" w:sz="0"/>
              <w:bottom w:val="single" w:color="D9D9D9" w:sz="4"/>
              <w:right w:val="none" w:color="FFFFFF" w:sz="0"/>
            </w:tcBorders>
            <w:shd w:fill="FFFFFF" w:color="auto" w:val="clear"/>
            <w:tcMar>
              <w:top w:type="dxa" w:w="90"/>
              <w:left w:type="dxa" w:w="110"/>
              <w:bottom w:type="dxa" w:w="90"/>
              <w:right w:type="dxa" w:w="110"/>
            </w:tcMar>
            <w:vAlign w:val="center"/>
          </w:tcPr>
          <w:p>
            <w:pPr>
              <w:jc w:val="center"/>
            </w:pPr>
            <w:r>
              <w:rPr>
                <w:rFonts w:ascii="Calibri" w:cs="Calibri" w:eastAsia="Calibri" w:hAnsi="Calibri"/>
                <w:b w:val="false"/>
                <w:bCs w:val="false"/>
                <w:color w:val="222222"/>
                <w:sz w:val="19"/>
                <w:szCs w:val="19"/>
              </w:rPr>
              <w:t xml:space="preserve">+58%</w:t>
            </w:r>
          </w:p>
        </w:tc>
        <w:tc>
          <w:tcPr>
            <w:tcW w:type="dxa" w:w="2350"/>
            <w:tcBorders>
              <w:top w:val="single" w:color="D9D9D9" w:sz="4"/>
              <w:left w:val="none" w:color="FFFFFF" w:sz="0"/>
              <w:bottom w:val="single" w:color="D9D9D9" w:sz="4"/>
              <w:right w:val="none" w:color="FFFFFF" w:sz="0"/>
            </w:tcBorders>
            <w:shd w:fill="FFFFFF" w:color="auto" w:val="clear"/>
            <w:tcMar>
              <w:top w:type="dxa" w:w="90"/>
              <w:left w:type="dxa" w:w="110"/>
              <w:bottom w:type="dxa" w:w="90"/>
              <w:right w:type="dxa" w:w="110"/>
            </w:tcMar>
            <w:vAlign w:val="center"/>
          </w:tcPr>
          <w:p>
            <w:pPr>
              <w:jc w:val="left"/>
            </w:pPr>
            <w:r>
              <w:rPr>
                <w:rFonts w:ascii="Consolas" w:cs="Consolas" w:eastAsia="Consolas" w:hAnsi="Consolas"/>
                <w:b w:val="false"/>
                <w:bCs w:val="false"/>
                <w:color w:val="13294B"/>
                <w:sz w:val="16"/>
                <w:szCs w:val="16"/>
              </w:rPr>
              <w:t xml:space="preserve">████████████</w:t>
            </w:r>
          </w:p>
        </w:tc>
        <w:tc>
          <w:tcPr>
            <w:tcW w:type="dxa" w:w="1450"/>
            <w:tcBorders>
              <w:top w:val="single" w:color="D9D9D9" w:sz="4"/>
              <w:left w:val="none" w:color="FFFFFF" w:sz="0"/>
              <w:bottom w:val="single" w:color="D9D9D9" w:sz="4"/>
              <w:right w:val="none" w:color="FFFFFF" w:sz="0"/>
            </w:tcBorders>
            <w:shd w:fill="FFFFFF" w:color="auto" w:val="clear"/>
            <w:tcMar>
              <w:top w:type="dxa" w:w="90"/>
              <w:left w:type="dxa" w:w="110"/>
              <w:bottom w:type="dxa" w:w="90"/>
              <w:right w:type="dxa" w:w="110"/>
            </w:tcMar>
            <w:vAlign w:val="center"/>
          </w:tcPr>
          <w:p>
            <w:pPr>
              <w:jc w:val="center"/>
            </w:pPr>
            <w:r>
              <w:rPr>
                <w:rFonts w:ascii="Calibri" w:cs="Calibri" w:eastAsia="Calibri" w:hAnsi="Calibri"/>
                <w:b w:val="false"/>
                <w:bCs w:val="false"/>
                <w:color w:val="222222"/>
                <w:sz w:val="19"/>
                <w:szCs w:val="19"/>
              </w:rPr>
              <w:t xml:space="preserve">+285%</w:t>
            </w:r>
          </w:p>
        </w:tc>
        <w:tc>
          <w:tcPr>
            <w:tcW w:type="dxa" w:w="3000"/>
            <w:tcBorders>
              <w:top w:val="single" w:color="D9D9D9" w:sz="4"/>
              <w:left w:val="none" w:color="FFFFFF" w:sz="0"/>
              <w:bottom w:val="single" w:color="D9D9D9" w:sz="4"/>
              <w:right w:val="none" w:color="FFFFFF" w:sz="0"/>
            </w:tcBorders>
            <w:shd w:fill="FFFFFF" w:color="auto" w:val="clear"/>
            <w:tcMar>
              <w:top w:type="dxa" w:w="90"/>
              <w:left w:type="dxa" w:w="110"/>
              <w:bottom w:type="dxa" w:w="90"/>
              <w:right w:type="dxa" w:w="110"/>
            </w:tcMar>
            <w:vAlign w:val="center"/>
          </w:tcPr>
          <w:p>
            <w:pPr>
              <w:jc w:val="left"/>
            </w:pPr>
            <w:r>
              <w:rPr>
                <w:rFonts w:ascii="Consolas" w:cs="Consolas" w:eastAsia="Consolas" w:hAnsi="Consolas"/>
                <w:b w:val="false"/>
                <w:bCs w:val="false"/>
                <w:color w:val="B08D57"/>
                <w:sz w:val="16"/>
                <w:szCs w:val="16"/>
              </w:rPr>
              <w:t xml:space="preserve">███████████████████</w:t>
            </w:r>
          </w:p>
        </w:tc>
      </w:tr>
      <w:tr>
        <w:tc>
          <w:tcPr>
            <w:tcW w:type="dxa" w:w="850"/>
            <w:tcBorders>
              <w:top w:val="single" w:color="D9D9D9" w:sz="4"/>
              <w:left w:val="none" w:color="FFFFFF" w:sz="0"/>
              <w:bottom w:val="single" w:color="D9D9D9" w:sz="4"/>
              <w:right w:val="none" w:color="FFFFFF" w:sz="0"/>
            </w:tcBorders>
            <w:shd w:fill="F2F2F2" w:color="auto" w:val="clear"/>
            <w:tcMar>
              <w:top w:type="dxa" w:w="90"/>
              <w:left w:type="dxa" w:w="110"/>
              <w:bottom w:type="dxa" w:w="90"/>
              <w:right w:type="dxa" w:w="110"/>
            </w:tcMar>
            <w:vAlign w:val="center"/>
          </w:tcPr>
          <w:p>
            <w:pPr>
              <w:jc w:val="center"/>
            </w:pPr>
            <w:r>
              <w:rPr>
                <w:rFonts w:ascii="Calibri" w:cs="Calibri" w:eastAsia="Calibri" w:hAnsi="Calibri"/>
                <w:b/>
                <w:bCs/>
                <w:color w:val="222222"/>
                <w:sz w:val="19"/>
                <w:szCs w:val="19"/>
              </w:rPr>
              <w:t xml:space="preserve">M11</w:t>
            </w:r>
          </w:p>
        </w:tc>
        <w:tc>
          <w:tcPr>
            <w:tcW w:type="dxa" w:w="1350"/>
            <w:tcBorders>
              <w:top w:val="single" w:color="D9D9D9" w:sz="4"/>
              <w:left w:val="none" w:color="FFFFFF" w:sz="0"/>
              <w:bottom w:val="single" w:color="D9D9D9" w:sz="4"/>
              <w:right w:val="none" w:color="FFFFFF" w:sz="0"/>
            </w:tcBorders>
            <w:shd w:fill="F2F2F2" w:color="auto" w:val="clear"/>
            <w:tcMar>
              <w:top w:type="dxa" w:w="90"/>
              <w:left w:type="dxa" w:w="110"/>
              <w:bottom w:type="dxa" w:w="90"/>
              <w:right w:type="dxa" w:w="110"/>
            </w:tcMar>
            <w:vAlign w:val="center"/>
          </w:tcPr>
          <w:p>
            <w:pPr>
              <w:jc w:val="center"/>
            </w:pPr>
            <w:r>
              <w:rPr>
                <w:rFonts w:ascii="Calibri" w:cs="Calibri" w:eastAsia="Calibri" w:hAnsi="Calibri"/>
                <w:b w:val="false"/>
                <w:bCs w:val="false"/>
                <w:color w:val="222222"/>
                <w:sz w:val="19"/>
                <w:szCs w:val="19"/>
              </w:rPr>
              <w:t xml:space="preserve">+62%</w:t>
            </w:r>
          </w:p>
        </w:tc>
        <w:tc>
          <w:tcPr>
            <w:tcW w:type="dxa" w:w="2350"/>
            <w:tcBorders>
              <w:top w:val="single" w:color="D9D9D9" w:sz="4"/>
              <w:left w:val="none" w:color="FFFFFF" w:sz="0"/>
              <w:bottom w:val="single" w:color="D9D9D9" w:sz="4"/>
              <w:right w:val="none" w:color="FFFFFF" w:sz="0"/>
            </w:tcBorders>
            <w:shd w:fill="F2F2F2" w:color="auto" w:val="clear"/>
            <w:tcMar>
              <w:top w:type="dxa" w:w="90"/>
              <w:left w:type="dxa" w:w="110"/>
              <w:bottom w:type="dxa" w:w="90"/>
              <w:right w:type="dxa" w:w="110"/>
            </w:tcMar>
            <w:vAlign w:val="center"/>
          </w:tcPr>
          <w:p>
            <w:pPr>
              <w:jc w:val="left"/>
            </w:pPr>
            <w:r>
              <w:rPr>
                <w:rFonts w:ascii="Consolas" w:cs="Consolas" w:eastAsia="Consolas" w:hAnsi="Consolas"/>
                <w:b w:val="false"/>
                <w:bCs w:val="false"/>
                <w:color w:val="13294B"/>
                <w:sz w:val="16"/>
                <w:szCs w:val="16"/>
              </w:rPr>
              <w:t xml:space="preserve">████████████</w:t>
            </w:r>
          </w:p>
        </w:tc>
        <w:tc>
          <w:tcPr>
            <w:tcW w:type="dxa" w:w="1450"/>
            <w:tcBorders>
              <w:top w:val="single" w:color="D9D9D9" w:sz="4"/>
              <w:left w:val="none" w:color="FFFFFF" w:sz="0"/>
              <w:bottom w:val="single" w:color="D9D9D9" w:sz="4"/>
              <w:right w:val="none" w:color="FFFFFF" w:sz="0"/>
            </w:tcBorders>
            <w:shd w:fill="F2F2F2" w:color="auto" w:val="clear"/>
            <w:tcMar>
              <w:top w:type="dxa" w:w="90"/>
              <w:left w:type="dxa" w:w="110"/>
              <w:bottom w:type="dxa" w:w="90"/>
              <w:right w:type="dxa" w:w="110"/>
            </w:tcMar>
            <w:vAlign w:val="center"/>
          </w:tcPr>
          <w:p>
            <w:pPr>
              <w:jc w:val="center"/>
            </w:pPr>
            <w:r>
              <w:rPr>
                <w:rFonts w:ascii="Calibri" w:cs="Calibri" w:eastAsia="Calibri" w:hAnsi="Calibri"/>
                <w:b w:val="false"/>
                <w:bCs w:val="false"/>
                <w:color w:val="222222"/>
                <w:sz w:val="19"/>
                <w:szCs w:val="19"/>
              </w:rPr>
              <w:t xml:space="preserve">+298%</w:t>
            </w:r>
          </w:p>
        </w:tc>
        <w:tc>
          <w:tcPr>
            <w:tcW w:type="dxa" w:w="3000"/>
            <w:tcBorders>
              <w:top w:val="single" w:color="D9D9D9" w:sz="4"/>
              <w:left w:val="none" w:color="FFFFFF" w:sz="0"/>
              <w:bottom w:val="single" w:color="D9D9D9" w:sz="4"/>
              <w:right w:val="none" w:color="FFFFFF" w:sz="0"/>
            </w:tcBorders>
            <w:shd w:fill="F2F2F2" w:color="auto" w:val="clear"/>
            <w:tcMar>
              <w:top w:type="dxa" w:w="90"/>
              <w:left w:type="dxa" w:w="110"/>
              <w:bottom w:type="dxa" w:w="90"/>
              <w:right w:type="dxa" w:w="110"/>
            </w:tcMar>
            <w:vAlign w:val="center"/>
          </w:tcPr>
          <w:p>
            <w:pPr>
              <w:jc w:val="left"/>
            </w:pPr>
            <w:r>
              <w:rPr>
                <w:rFonts w:ascii="Consolas" w:cs="Consolas" w:eastAsia="Consolas" w:hAnsi="Consolas"/>
                <w:b w:val="false"/>
                <w:bCs w:val="false"/>
                <w:color w:val="B08D57"/>
                <w:sz w:val="16"/>
                <w:szCs w:val="16"/>
              </w:rPr>
              <w:t xml:space="preserve">████████████████████</w:t>
            </w:r>
          </w:p>
        </w:tc>
      </w:tr>
      <w:tr>
        <w:tc>
          <w:tcPr>
            <w:tcW w:type="dxa" w:w="850"/>
            <w:tcBorders>
              <w:top w:val="single" w:color="D9D9D9" w:sz="4"/>
              <w:left w:val="none" w:color="FFFFFF" w:sz="0"/>
              <w:bottom w:val="single" w:color="D9D9D9" w:sz="4"/>
              <w:right w:val="none" w:color="FFFFFF" w:sz="0"/>
            </w:tcBorders>
            <w:shd w:fill="FFFFFF" w:color="auto" w:val="clear"/>
            <w:tcMar>
              <w:top w:type="dxa" w:w="90"/>
              <w:left w:type="dxa" w:w="110"/>
              <w:bottom w:type="dxa" w:w="90"/>
              <w:right w:type="dxa" w:w="110"/>
            </w:tcMar>
            <w:vAlign w:val="center"/>
          </w:tcPr>
          <w:p>
            <w:pPr>
              <w:jc w:val="center"/>
            </w:pPr>
            <w:r>
              <w:rPr>
                <w:rFonts w:ascii="Calibri" w:cs="Calibri" w:eastAsia="Calibri" w:hAnsi="Calibri"/>
                <w:b/>
                <w:bCs/>
                <w:color w:val="222222"/>
                <w:sz w:val="19"/>
                <w:szCs w:val="19"/>
              </w:rPr>
              <w:t xml:space="preserve">M12</w:t>
            </w:r>
          </w:p>
        </w:tc>
        <w:tc>
          <w:tcPr>
            <w:tcW w:type="dxa" w:w="1350"/>
            <w:tcBorders>
              <w:top w:val="single" w:color="D9D9D9" w:sz="4"/>
              <w:left w:val="none" w:color="FFFFFF" w:sz="0"/>
              <w:bottom w:val="single" w:color="D9D9D9" w:sz="4"/>
              <w:right w:val="none" w:color="FFFFFF" w:sz="0"/>
            </w:tcBorders>
            <w:shd w:fill="FFFFFF" w:color="auto" w:val="clear"/>
            <w:tcMar>
              <w:top w:type="dxa" w:w="90"/>
              <w:left w:type="dxa" w:w="110"/>
              <w:bottom w:type="dxa" w:w="90"/>
              <w:right w:type="dxa" w:w="110"/>
            </w:tcMar>
            <w:vAlign w:val="center"/>
          </w:tcPr>
          <w:p>
            <w:pPr>
              <w:jc w:val="center"/>
            </w:pPr>
            <w:r>
              <w:rPr>
                <w:rFonts w:ascii="Calibri" w:cs="Calibri" w:eastAsia="Calibri" w:hAnsi="Calibri"/>
                <w:b w:val="false"/>
                <w:bCs w:val="false"/>
                <w:color w:val="222222"/>
                <w:sz w:val="19"/>
                <w:szCs w:val="19"/>
              </w:rPr>
              <w:t xml:space="preserve">+65%</w:t>
            </w:r>
          </w:p>
        </w:tc>
        <w:tc>
          <w:tcPr>
            <w:tcW w:type="dxa" w:w="2350"/>
            <w:tcBorders>
              <w:top w:val="single" w:color="D9D9D9" w:sz="4"/>
              <w:left w:val="none" w:color="FFFFFF" w:sz="0"/>
              <w:bottom w:val="single" w:color="D9D9D9" w:sz="4"/>
              <w:right w:val="none" w:color="FFFFFF" w:sz="0"/>
            </w:tcBorders>
            <w:shd w:fill="FFFFFF" w:color="auto" w:val="clear"/>
            <w:tcMar>
              <w:top w:type="dxa" w:w="90"/>
              <w:left w:type="dxa" w:w="110"/>
              <w:bottom w:type="dxa" w:w="90"/>
              <w:right w:type="dxa" w:w="110"/>
            </w:tcMar>
            <w:vAlign w:val="center"/>
          </w:tcPr>
          <w:p>
            <w:pPr>
              <w:jc w:val="left"/>
            </w:pPr>
            <w:r>
              <w:rPr>
                <w:rFonts w:ascii="Consolas" w:cs="Consolas" w:eastAsia="Consolas" w:hAnsi="Consolas"/>
                <w:b w:val="false"/>
                <w:bCs w:val="false"/>
                <w:color w:val="13294B"/>
                <w:sz w:val="16"/>
                <w:szCs w:val="16"/>
              </w:rPr>
              <w:t xml:space="preserve">█████████████</w:t>
            </w:r>
          </w:p>
        </w:tc>
        <w:tc>
          <w:tcPr>
            <w:tcW w:type="dxa" w:w="1450"/>
            <w:tcBorders>
              <w:top w:val="single" w:color="D9D9D9" w:sz="4"/>
              <w:left w:val="none" w:color="FFFFFF" w:sz="0"/>
              <w:bottom w:val="single" w:color="D9D9D9" w:sz="4"/>
              <w:right w:val="none" w:color="FFFFFF" w:sz="0"/>
            </w:tcBorders>
            <w:shd w:fill="FFFFFF" w:color="auto" w:val="clear"/>
            <w:tcMar>
              <w:top w:type="dxa" w:w="90"/>
              <w:left w:type="dxa" w:w="110"/>
              <w:bottom w:type="dxa" w:w="90"/>
              <w:right w:type="dxa" w:w="110"/>
            </w:tcMar>
            <w:vAlign w:val="center"/>
          </w:tcPr>
          <w:p>
            <w:pPr>
              <w:jc w:val="center"/>
            </w:pPr>
            <w:r>
              <w:rPr>
                <w:rFonts w:ascii="Calibri" w:cs="Calibri" w:eastAsia="Calibri" w:hAnsi="Calibri"/>
                <w:b w:val="false"/>
                <w:bCs w:val="false"/>
                <w:color w:val="222222"/>
                <w:sz w:val="19"/>
                <w:szCs w:val="19"/>
              </w:rPr>
              <w:t xml:space="preserve">+310%</w:t>
            </w:r>
          </w:p>
        </w:tc>
        <w:tc>
          <w:tcPr>
            <w:tcW w:type="dxa" w:w="3000"/>
            <w:tcBorders>
              <w:top w:val="single" w:color="D9D9D9" w:sz="4"/>
              <w:left w:val="none" w:color="FFFFFF" w:sz="0"/>
              <w:bottom w:val="single" w:color="D9D9D9" w:sz="4"/>
              <w:right w:val="none" w:color="FFFFFF" w:sz="0"/>
            </w:tcBorders>
            <w:shd w:fill="FFFFFF" w:color="auto" w:val="clear"/>
            <w:tcMar>
              <w:top w:type="dxa" w:w="90"/>
              <w:left w:type="dxa" w:w="110"/>
              <w:bottom w:type="dxa" w:w="90"/>
              <w:right w:type="dxa" w:w="110"/>
            </w:tcMar>
            <w:vAlign w:val="center"/>
          </w:tcPr>
          <w:p>
            <w:pPr>
              <w:jc w:val="left"/>
            </w:pPr>
            <w:r>
              <w:rPr>
                <w:rFonts w:ascii="Consolas" w:cs="Consolas" w:eastAsia="Consolas" w:hAnsi="Consolas"/>
                <w:b w:val="false"/>
                <w:bCs w:val="false"/>
                <w:color w:val="B08D57"/>
                <w:sz w:val="16"/>
                <w:szCs w:val="16"/>
              </w:rPr>
              <w:t xml:space="preserve">█████████████████████</w:t>
            </w:r>
          </w:p>
        </w:tc>
      </w:tr>
    </w:tbl>
    <w:p>
      <w:pPr>
        <w:spacing w:after="200"/>
      </w:pPr>
    </w:p>
    <w:p>
      <w:pPr>
        <w:pStyle w:val="Heading2"/>
        <w:spacing w:after="140" w:before="300"/>
      </w:pPr>
      <w:r>
        <w:rPr>
          <w:rFonts w:ascii="Calibri" w:cs="Calibri" w:eastAsia="Calibri" w:hAnsi="Calibri"/>
          <w:b/>
          <w:bCs/>
          <w:color w:val="13294B"/>
          <w:sz w:val="25"/>
          <w:szCs w:val="25"/>
        </w:rPr>
        <w:t xml:space="preserve">Chart B — Customer Engagement by Feature</w:t>
      </w:r>
    </w:p>
    <w:p>
      <w:pPr>
        <w:spacing w:after="160" w:before="0"/>
        <w:jc w:val="left"/>
      </w:pPr>
      <w:r>
        <w:rPr>
          <w:rFonts w:ascii="Calibri" w:cs="Calibri" w:eastAsia="Calibri" w:hAnsi="Calibri"/>
          <w:b w:val="false"/>
          <w:bCs w:val="false"/>
          <w:i/>
          <w:iCs/>
          <w:color w:val="5A6472"/>
          <w:sz w:val="22"/>
          <w:szCs w:val="22"/>
        </w:rPr>
        <w:t xml:space="preserve">Share of active accountholders who engaged with each feature at least once per month, twelve months post-launch.</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400"/>
        <w:gridCol w:w="1300"/>
        <w:gridCol w:w="4300"/>
      </w:tblGrid>
      <w:tr>
        <w:tc>
          <w:tcPr>
            <w:tcW w:type="dxa" w:w="3400"/>
            <w:tcBorders>
              <w:top w:val="single" w:color="D9D9D9" w:sz="4"/>
              <w:left w:val="none" w:color="FFFFFF" w:sz="0"/>
              <w:bottom w:val="single" w:color="D9D9D9" w:sz="4"/>
              <w:right w:val="none" w:color="FFFFFF" w:sz="0"/>
            </w:tcBorders>
            <w:shd w:fill="13294B" w:color="auto" w:val="clear"/>
            <w:tcMar>
              <w:top w:type="dxa" w:w="90"/>
              <w:left w:type="dxa" w:w="110"/>
              <w:bottom w:type="dxa" w:w="90"/>
              <w:right w:type="dxa" w:w="110"/>
            </w:tcMar>
            <w:vAlign w:val="center"/>
          </w:tcPr>
          <w:p>
            <w:pPr>
              <w:jc w:val="left"/>
            </w:pPr>
            <w:r>
              <w:rPr>
                <w:rFonts w:ascii="Calibri" w:cs="Calibri" w:eastAsia="Calibri" w:hAnsi="Calibri"/>
                <w:b/>
                <w:bCs/>
                <w:color w:val="FFFFFF"/>
                <w:sz w:val="19"/>
                <w:szCs w:val="19"/>
              </w:rPr>
              <w:t xml:space="preserve">Feature</w:t>
            </w:r>
          </w:p>
        </w:tc>
        <w:tc>
          <w:tcPr>
            <w:tcW w:type="dxa" w:w="1300"/>
            <w:tcBorders>
              <w:top w:val="single" w:color="D9D9D9" w:sz="4"/>
              <w:left w:val="none" w:color="FFFFFF" w:sz="0"/>
              <w:bottom w:val="single" w:color="D9D9D9" w:sz="4"/>
              <w:right w:val="none" w:color="FFFFFF" w:sz="0"/>
            </w:tcBorders>
            <w:shd w:fill="13294B" w:color="auto" w:val="clear"/>
            <w:tcMar>
              <w:top w:type="dxa" w:w="90"/>
              <w:left w:type="dxa" w:w="110"/>
              <w:bottom w:type="dxa" w:w="90"/>
              <w:right w:type="dxa" w:w="110"/>
            </w:tcMar>
            <w:vAlign w:val="center"/>
          </w:tcPr>
          <w:p>
            <w:pPr>
              <w:jc w:val="center"/>
            </w:pPr>
            <w:r>
              <w:rPr>
                <w:rFonts w:ascii="Calibri" w:cs="Calibri" w:eastAsia="Calibri" w:hAnsi="Calibri"/>
                <w:b/>
                <w:bCs/>
                <w:color w:val="FFFFFF"/>
                <w:sz w:val="19"/>
                <w:szCs w:val="19"/>
              </w:rPr>
              <w:t xml:space="preserve">Monthly Reach</w:t>
            </w:r>
          </w:p>
        </w:tc>
        <w:tc>
          <w:tcPr>
            <w:tcW w:type="dxa" w:w="4300"/>
            <w:tcBorders>
              <w:top w:val="single" w:color="D9D9D9" w:sz="4"/>
              <w:left w:val="none" w:color="FFFFFF" w:sz="0"/>
              <w:bottom w:val="single" w:color="D9D9D9" w:sz="4"/>
              <w:right w:val="none" w:color="FFFFFF" w:sz="0"/>
            </w:tcBorders>
            <w:shd w:fill="13294B" w:color="auto" w:val="clear"/>
            <w:tcMar>
              <w:top w:type="dxa" w:w="90"/>
              <w:left w:type="dxa" w:w="110"/>
              <w:bottom w:type="dxa" w:w="90"/>
              <w:right w:type="dxa" w:w="110"/>
            </w:tcMar>
            <w:vAlign w:val="center"/>
          </w:tcPr>
          <w:p>
            <w:pPr>
              <w:jc w:val="center"/>
            </w:pPr>
            <w:r>
              <w:rPr>
                <w:rFonts w:ascii="Calibri" w:cs="Calibri" w:eastAsia="Calibri" w:hAnsi="Calibri"/>
                <w:b/>
                <w:bCs/>
                <w:color w:val="FFFFFF"/>
                <w:sz w:val="19"/>
                <w:szCs w:val="19"/>
              </w:rPr>
              <w:t xml:space="preserve">Share of Active Accountholders</w:t>
            </w:r>
          </w:p>
        </w:tc>
      </w:tr>
      <w:tr>
        <w:tc>
          <w:tcPr>
            <w:tcW w:type="dxa" w:w="3400"/>
            <w:tcBorders>
              <w:top w:val="single" w:color="D9D9D9" w:sz="4"/>
              <w:left w:val="none" w:color="FFFFFF" w:sz="0"/>
              <w:bottom w:val="single" w:color="D9D9D9" w:sz="4"/>
              <w:right w:val="none" w:color="FFFFFF" w:sz="0"/>
            </w:tcBorders>
            <w:shd w:fill="F2F2F2" w:color="auto" w:val="clear"/>
            <w:tcMar>
              <w:top w:type="dxa" w:w="90"/>
              <w:left w:type="dxa" w:w="110"/>
              <w:bottom w:type="dxa" w:w="90"/>
              <w:right w:type="dxa" w:w="110"/>
            </w:tcMar>
            <w:vAlign w:val="center"/>
          </w:tcPr>
          <w:p>
            <w:pPr>
              <w:jc w:val="left"/>
            </w:pPr>
            <w:r>
              <w:rPr>
                <w:rFonts w:ascii="Calibri" w:cs="Calibri" w:eastAsia="Calibri" w:hAnsi="Calibri"/>
                <w:b/>
                <w:bCs/>
                <w:color w:val="222222"/>
                <w:sz w:val="19"/>
                <w:szCs w:val="19"/>
              </w:rPr>
              <w:t xml:space="preserve">Practice Trading Classrooms</w:t>
            </w:r>
          </w:p>
        </w:tc>
        <w:tc>
          <w:tcPr>
            <w:tcW w:type="dxa" w:w="1300"/>
            <w:tcBorders>
              <w:top w:val="single" w:color="D9D9D9" w:sz="4"/>
              <w:left w:val="none" w:color="FFFFFF" w:sz="0"/>
              <w:bottom w:val="single" w:color="D9D9D9" w:sz="4"/>
              <w:right w:val="none" w:color="FFFFFF" w:sz="0"/>
            </w:tcBorders>
            <w:shd w:fill="F2F2F2" w:color="auto" w:val="clear"/>
            <w:tcMar>
              <w:top w:type="dxa" w:w="90"/>
              <w:left w:type="dxa" w:w="110"/>
              <w:bottom w:type="dxa" w:w="90"/>
              <w:right w:type="dxa" w:w="110"/>
            </w:tcMar>
            <w:vAlign w:val="center"/>
          </w:tcPr>
          <w:p>
            <w:pPr>
              <w:jc w:val="center"/>
            </w:pPr>
            <w:r>
              <w:rPr>
                <w:rFonts w:ascii="Calibri" w:cs="Calibri" w:eastAsia="Calibri" w:hAnsi="Calibri"/>
                <w:b w:val="false"/>
                <w:bCs w:val="false"/>
                <w:color w:val="222222"/>
                <w:sz w:val="19"/>
                <w:szCs w:val="19"/>
              </w:rPr>
              <w:t xml:space="preserve">61%</w:t>
            </w:r>
          </w:p>
        </w:tc>
        <w:tc>
          <w:tcPr>
            <w:tcW w:type="dxa" w:w="4300"/>
            <w:tcBorders>
              <w:top w:val="single" w:color="D9D9D9" w:sz="4"/>
              <w:left w:val="none" w:color="FFFFFF" w:sz="0"/>
              <w:bottom w:val="single" w:color="D9D9D9" w:sz="4"/>
              <w:right w:val="none" w:color="FFFFFF" w:sz="0"/>
            </w:tcBorders>
            <w:shd w:fill="F2F2F2" w:color="auto" w:val="clear"/>
            <w:tcMar>
              <w:top w:type="dxa" w:w="90"/>
              <w:left w:type="dxa" w:w="110"/>
              <w:bottom w:type="dxa" w:w="90"/>
              <w:right w:type="dxa" w:w="110"/>
            </w:tcMar>
            <w:vAlign w:val="center"/>
          </w:tcPr>
          <w:p>
            <w:pPr>
              <w:jc w:val="left"/>
            </w:pPr>
            <w:r>
              <w:rPr>
                <w:rFonts w:ascii="Consolas" w:cs="Consolas" w:eastAsia="Consolas" w:hAnsi="Consolas"/>
                <w:b w:val="false"/>
                <w:bCs w:val="false"/>
                <w:color w:val="B08D57"/>
                <w:sz w:val="17"/>
                <w:szCs w:val="17"/>
              </w:rPr>
              <w:t xml:space="preserve">████████████████████</w:t>
            </w:r>
          </w:p>
        </w:tc>
      </w:tr>
      <w:tr>
        <w:tc>
          <w:tcPr>
            <w:tcW w:type="dxa" w:w="3400"/>
            <w:tcBorders>
              <w:top w:val="single" w:color="D9D9D9" w:sz="4"/>
              <w:left w:val="none" w:color="FFFFFF" w:sz="0"/>
              <w:bottom w:val="single" w:color="D9D9D9" w:sz="4"/>
              <w:right w:val="none" w:color="FFFFFF" w:sz="0"/>
            </w:tcBorders>
            <w:shd w:fill="FFFFFF" w:color="auto" w:val="clear"/>
            <w:tcMar>
              <w:top w:type="dxa" w:w="90"/>
              <w:left w:type="dxa" w:w="110"/>
              <w:bottom w:type="dxa" w:w="90"/>
              <w:right w:type="dxa" w:w="110"/>
            </w:tcMar>
            <w:vAlign w:val="center"/>
          </w:tcPr>
          <w:p>
            <w:pPr>
              <w:jc w:val="left"/>
            </w:pPr>
            <w:r>
              <w:rPr>
                <w:rFonts w:ascii="Calibri" w:cs="Calibri" w:eastAsia="Calibri" w:hAnsi="Calibri"/>
                <w:b/>
                <w:bCs/>
                <w:color w:val="222222"/>
                <w:sz w:val="19"/>
                <w:szCs w:val="19"/>
              </w:rPr>
              <w:t xml:space="preserve">AI Assistant</w:t>
            </w:r>
          </w:p>
        </w:tc>
        <w:tc>
          <w:tcPr>
            <w:tcW w:type="dxa" w:w="1300"/>
            <w:tcBorders>
              <w:top w:val="single" w:color="D9D9D9" w:sz="4"/>
              <w:left w:val="none" w:color="FFFFFF" w:sz="0"/>
              <w:bottom w:val="single" w:color="D9D9D9" w:sz="4"/>
              <w:right w:val="none" w:color="FFFFFF" w:sz="0"/>
            </w:tcBorders>
            <w:shd w:fill="FFFFFF" w:color="auto" w:val="clear"/>
            <w:tcMar>
              <w:top w:type="dxa" w:w="90"/>
              <w:left w:type="dxa" w:w="110"/>
              <w:bottom w:type="dxa" w:w="90"/>
              <w:right w:type="dxa" w:w="110"/>
            </w:tcMar>
            <w:vAlign w:val="center"/>
          </w:tcPr>
          <w:p>
            <w:pPr>
              <w:jc w:val="center"/>
            </w:pPr>
            <w:r>
              <w:rPr>
                <w:rFonts w:ascii="Calibri" w:cs="Calibri" w:eastAsia="Calibri" w:hAnsi="Calibri"/>
                <w:b w:val="false"/>
                <w:bCs w:val="false"/>
                <w:color w:val="222222"/>
                <w:sz w:val="19"/>
                <w:szCs w:val="19"/>
              </w:rPr>
              <w:t xml:space="preserve">54%</w:t>
            </w:r>
          </w:p>
        </w:tc>
        <w:tc>
          <w:tcPr>
            <w:tcW w:type="dxa" w:w="4300"/>
            <w:tcBorders>
              <w:top w:val="single" w:color="D9D9D9" w:sz="4"/>
              <w:left w:val="none" w:color="FFFFFF" w:sz="0"/>
              <w:bottom w:val="single" w:color="D9D9D9" w:sz="4"/>
              <w:right w:val="none" w:color="FFFFFF" w:sz="0"/>
            </w:tcBorders>
            <w:shd w:fill="FFFFFF" w:color="auto" w:val="clear"/>
            <w:tcMar>
              <w:top w:type="dxa" w:w="90"/>
              <w:left w:type="dxa" w:w="110"/>
              <w:bottom w:type="dxa" w:w="90"/>
              <w:right w:type="dxa" w:w="110"/>
            </w:tcMar>
            <w:vAlign w:val="center"/>
          </w:tcPr>
          <w:p>
            <w:pPr>
              <w:jc w:val="left"/>
            </w:pPr>
            <w:r>
              <w:rPr>
                <w:rFonts w:ascii="Consolas" w:cs="Consolas" w:eastAsia="Consolas" w:hAnsi="Consolas"/>
                <w:b w:val="false"/>
                <w:bCs w:val="false"/>
                <w:color w:val="13294B"/>
                <w:sz w:val="17"/>
                <w:szCs w:val="17"/>
              </w:rPr>
              <w:t xml:space="preserve">██████████████████</w:t>
            </w:r>
          </w:p>
        </w:tc>
      </w:tr>
      <w:tr>
        <w:tc>
          <w:tcPr>
            <w:tcW w:type="dxa" w:w="3400"/>
            <w:tcBorders>
              <w:top w:val="single" w:color="D9D9D9" w:sz="4"/>
              <w:left w:val="none" w:color="FFFFFF" w:sz="0"/>
              <w:bottom w:val="single" w:color="D9D9D9" w:sz="4"/>
              <w:right w:val="none" w:color="FFFFFF" w:sz="0"/>
            </w:tcBorders>
            <w:shd w:fill="F2F2F2" w:color="auto" w:val="clear"/>
            <w:tcMar>
              <w:top w:type="dxa" w:w="90"/>
              <w:left w:type="dxa" w:w="110"/>
              <w:bottom w:type="dxa" w:w="90"/>
              <w:right w:type="dxa" w:w="110"/>
            </w:tcMar>
            <w:vAlign w:val="center"/>
          </w:tcPr>
          <w:p>
            <w:pPr>
              <w:jc w:val="left"/>
            </w:pPr>
            <w:r>
              <w:rPr>
                <w:rFonts w:ascii="Calibri" w:cs="Calibri" w:eastAsia="Calibri" w:hAnsi="Calibri"/>
                <w:b/>
                <w:bCs/>
                <w:color w:val="222222"/>
                <w:sz w:val="19"/>
                <w:szCs w:val="19"/>
              </w:rPr>
              <w:t xml:space="preserve">Virtual Try-On Demos</w:t>
            </w:r>
          </w:p>
        </w:tc>
        <w:tc>
          <w:tcPr>
            <w:tcW w:type="dxa" w:w="1300"/>
            <w:tcBorders>
              <w:top w:val="single" w:color="D9D9D9" w:sz="4"/>
              <w:left w:val="none" w:color="FFFFFF" w:sz="0"/>
              <w:bottom w:val="single" w:color="D9D9D9" w:sz="4"/>
              <w:right w:val="none" w:color="FFFFFF" w:sz="0"/>
            </w:tcBorders>
            <w:shd w:fill="F2F2F2" w:color="auto" w:val="clear"/>
            <w:tcMar>
              <w:top w:type="dxa" w:w="90"/>
              <w:left w:type="dxa" w:w="110"/>
              <w:bottom w:type="dxa" w:w="90"/>
              <w:right w:type="dxa" w:w="110"/>
            </w:tcMar>
            <w:vAlign w:val="center"/>
          </w:tcPr>
          <w:p>
            <w:pPr>
              <w:jc w:val="center"/>
            </w:pPr>
            <w:r>
              <w:rPr>
                <w:rFonts w:ascii="Calibri" w:cs="Calibri" w:eastAsia="Calibri" w:hAnsi="Calibri"/>
                <w:b w:val="false"/>
                <w:bCs w:val="false"/>
                <w:color w:val="222222"/>
                <w:sz w:val="19"/>
                <w:szCs w:val="19"/>
              </w:rPr>
              <w:t xml:space="preserve">47%</w:t>
            </w:r>
          </w:p>
        </w:tc>
        <w:tc>
          <w:tcPr>
            <w:tcW w:type="dxa" w:w="4300"/>
            <w:tcBorders>
              <w:top w:val="single" w:color="D9D9D9" w:sz="4"/>
              <w:left w:val="none" w:color="FFFFFF" w:sz="0"/>
              <w:bottom w:val="single" w:color="D9D9D9" w:sz="4"/>
              <w:right w:val="none" w:color="FFFFFF" w:sz="0"/>
            </w:tcBorders>
            <w:shd w:fill="F2F2F2" w:color="auto" w:val="clear"/>
            <w:tcMar>
              <w:top w:type="dxa" w:w="90"/>
              <w:left w:type="dxa" w:w="110"/>
              <w:bottom w:type="dxa" w:w="90"/>
              <w:right w:type="dxa" w:w="110"/>
            </w:tcMar>
            <w:vAlign w:val="center"/>
          </w:tcPr>
          <w:p>
            <w:pPr>
              <w:jc w:val="left"/>
            </w:pPr>
            <w:r>
              <w:rPr>
                <w:rFonts w:ascii="Consolas" w:cs="Consolas" w:eastAsia="Consolas" w:hAnsi="Consolas"/>
                <w:b w:val="false"/>
                <w:bCs w:val="false"/>
                <w:color w:val="13294B"/>
                <w:sz w:val="17"/>
                <w:szCs w:val="17"/>
              </w:rPr>
              <w:t xml:space="preserve">████████████████</w:t>
            </w:r>
          </w:p>
        </w:tc>
      </w:tr>
      <w:tr>
        <w:tc>
          <w:tcPr>
            <w:tcW w:type="dxa" w:w="3400"/>
            <w:tcBorders>
              <w:top w:val="single" w:color="D9D9D9" w:sz="4"/>
              <w:left w:val="none" w:color="FFFFFF" w:sz="0"/>
              <w:bottom w:val="single" w:color="D9D9D9" w:sz="4"/>
              <w:right w:val="none" w:color="FFFFFF" w:sz="0"/>
            </w:tcBorders>
            <w:shd w:fill="FFFFFF" w:color="auto" w:val="clear"/>
            <w:tcMar>
              <w:top w:type="dxa" w:w="90"/>
              <w:left w:type="dxa" w:w="110"/>
              <w:bottom w:type="dxa" w:w="90"/>
              <w:right w:type="dxa" w:w="110"/>
            </w:tcMar>
            <w:vAlign w:val="center"/>
          </w:tcPr>
          <w:p>
            <w:pPr>
              <w:jc w:val="left"/>
            </w:pPr>
            <w:r>
              <w:rPr>
                <w:rFonts w:ascii="Calibri" w:cs="Calibri" w:eastAsia="Calibri" w:hAnsi="Calibri"/>
                <w:b/>
                <w:bCs/>
                <w:color w:val="222222"/>
                <w:sz w:val="19"/>
                <w:szCs w:val="19"/>
              </w:rPr>
              <w:t xml:space="preserve">Community Discussion Rooms</w:t>
            </w:r>
          </w:p>
        </w:tc>
        <w:tc>
          <w:tcPr>
            <w:tcW w:type="dxa" w:w="1300"/>
            <w:tcBorders>
              <w:top w:val="single" w:color="D9D9D9" w:sz="4"/>
              <w:left w:val="none" w:color="FFFFFF" w:sz="0"/>
              <w:bottom w:val="single" w:color="D9D9D9" w:sz="4"/>
              <w:right w:val="none" w:color="FFFFFF" w:sz="0"/>
            </w:tcBorders>
            <w:shd w:fill="FFFFFF" w:color="auto" w:val="clear"/>
            <w:tcMar>
              <w:top w:type="dxa" w:w="90"/>
              <w:left w:type="dxa" w:w="110"/>
              <w:bottom w:type="dxa" w:w="90"/>
              <w:right w:type="dxa" w:w="110"/>
            </w:tcMar>
            <w:vAlign w:val="center"/>
          </w:tcPr>
          <w:p>
            <w:pPr>
              <w:jc w:val="center"/>
            </w:pPr>
            <w:r>
              <w:rPr>
                <w:rFonts w:ascii="Calibri" w:cs="Calibri" w:eastAsia="Calibri" w:hAnsi="Calibri"/>
                <w:b w:val="false"/>
                <w:bCs w:val="false"/>
                <w:color w:val="222222"/>
                <w:sz w:val="19"/>
                <w:szCs w:val="19"/>
              </w:rPr>
              <w:t xml:space="preserve">33%</w:t>
            </w:r>
          </w:p>
        </w:tc>
        <w:tc>
          <w:tcPr>
            <w:tcW w:type="dxa" w:w="4300"/>
            <w:tcBorders>
              <w:top w:val="single" w:color="D9D9D9" w:sz="4"/>
              <w:left w:val="none" w:color="FFFFFF" w:sz="0"/>
              <w:bottom w:val="single" w:color="D9D9D9" w:sz="4"/>
              <w:right w:val="none" w:color="FFFFFF" w:sz="0"/>
            </w:tcBorders>
            <w:shd w:fill="FFFFFF" w:color="auto" w:val="clear"/>
            <w:tcMar>
              <w:top w:type="dxa" w:w="90"/>
              <w:left w:type="dxa" w:w="110"/>
              <w:bottom w:type="dxa" w:w="90"/>
              <w:right w:type="dxa" w:w="110"/>
            </w:tcMar>
            <w:vAlign w:val="center"/>
          </w:tcPr>
          <w:p>
            <w:pPr>
              <w:jc w:val="left"/>
            </w:pPr>
            <w:r>
              <w:rPr>
                <w:rFonts w:ascii="Consolas" w:cs="Consolas" w:eastAsia="Consolas" w:hAnsi="Consolas"/>
                <w:b w:val="false"/>
                <w:bCs w:val="false"/>
                <w:color w:val="13294B"/>
                <w:sz w:val="17"/>
                <w:szCs w:val="17"/>
              </w:rPr>
              <w:t xml:space="preserve">███████████</w:t>
            </w:r>
          </w:p>
        </w:tc>
      </w:tr>
    </w:tbl>
    <w:p>
      <w:pPr>
        <w:spacing w:after="100"/>
      </w:pPr>
    </w:p>
    <w:p>
      <w:pPr>
        <w:spacing w:after="160" w:before="0"/>
        <w:jc w:val="left"/>
      </w:pPr>
      <w:r>
        <w:rPr>
          <w:rFonts w:ascii="Calibri" w:cs="Calibri" w:eastAsia="Calibri" w:hAnsi="Calibri"/>
          <w:b w:val="false"/>
          <w:bCs w:val="false"/>
          <w:i w:val="false"/>
          <w:iCs w:val="false"/>
          <w:color w:val="222222"/>
          <w:sz w:val="22"/>
          <w:szCs w:val="22"/>
        </w:rPr>
        <w:t xml:space="preserve">Two things stood out beyond the topline metrics. First, traders who spent time in the practice classrooms before going live converted to funded accounts at a noticeably higher rate than those who skipped straight to a real account — the sandbox wasn't just a retention feature, it was doing real qualification work. Second, the community rooms turned into a quiet acquisition channel of their own: active participants referred new traders at a rate well above the account base average, at no additional acquisition cost to ValueStop.</w:t>
      </w:r>
    </w:p>
    <w:p>
      <w:pPr>
        <w:pStyle w:val="Heading1"/>
        <w:pBdr>
          <w:bottom w:val="single" w:color="B08D57" w:sz="6" w:space="6"/>
        </w:pBdr>
        <w:spacing w:after="200" w:before="420"/>
      </w:pPr>
      <w:r>
        <w:rPr>
          <w:rFonts w:ascii="Georgia" w:cs="Georgia" w:eastAsia="Georgia" w:hAnsi="Georgia"/>
          <w:b/>
          <w:bCs/>
          <w:color w:val="13294B"/>
          <w:sz w:val="30"/>
          <w:szCs w:val="30"/>
        </w:rPr>
        <w:t xml:space="preserve">What ValueStop's Traders Are Saying</w:t>
      </w:r>
    </w:p>
    <w:p>
      <w:pPr>
        <w:spacing w:after="160" w:before="0"/>
        <w:jc w:val="left"/>
      </w:pPr>
      <w:r>
        <w:rPr>
          <w:rFonts w:ascii="Calibri" w:cs="Calibri" w:eastAsia="Calibri" w:hAnsi="Calibri"/>
          <w:b w:val="false"/>
          <w:bCs w:val="false"/>
          <w:i w:val="false"/>
          <w:iCs w:val="false"/>
          <w:color w:val="222222"/>
          <w:sz w:val="22"/>
          <w:szCs w:val="22"/>
        </w:rPr>
        <w:t xml:space="preserve">None of this means much without hearing from the traders actually using it.</w:t>
      </w:r>
    </w:p>
    <w:p>
      <w:pPr>
        <w:spacing w:after="40" w:before="200"/>
      </w:pPr>
      <w:r>
        <w:rPr>
          <w:rFonts w:ascii="Calibri" w:cs="Calibri" w:eastAsia="Calibri" w:hAnsi="Calibri"/>
          <w:b/>
          <w:bCs/>
          <w:color w:val="13294B"/>
          <w:sz w:val="21"/>
          <w:szCs w:val="21"/>
        </w:rPr>
        <w:t xml:space="preserve">Ayesha Raza</w:t>
      </w:r>
    </w:p>
    <w:p>
      <w:pPr>
        <w:spacing w:after="100"/>
      </w:pPr>
      <w:r>
        <w:rPr>
          <w:rFonts w:ascii="Calibri" w:cs="Calibri" w:eastAsia="Calibri" w:hAnsi="Calibri"/>
          <w:i/>
          <w:iCs/>
          <w:color w:val="5A6472"/>
          <w:sz w:val="18"/>
          <w:szCs w:val="18"/>
        </w:rPr>
        <w:t xml:space="preserve">First-time investor, Lahore</w:t>
      </w:r>
    </w:p>
    <w:p>
      <w:pPr>
        <w:pBdr>
          <w:left w:val="single" w:color="B08D57" w:sz="12" w:space="10"/>
        </w:pBdr>
        <w:spacing w:after="160"/>
        <w:ind w:left="360"/>
      </w:pPr>
      <w:r>
        <w:rPr>
          <w:rFonts w:ascii="Georgia" w:cs="Georgia" w:eastAsia="Georgia" w:hAnsi="Georgia"/>
          <w:i/>
          <w:iCs/>
          <w:color w:val="222222"/>
          <w:sz w:val="21"/>
          <w:szCs w:val="21"/>
        </w:rPr>
        <w:t xml:space="preserve">“I'd been putting off opening an account for months because I didn't want to lose money figuring things out. The practice classroom let me mess up on fake trades first. By the time I put in real money, I actually knew what I was doing.”</w:t>
      </w:r>
    </w:p>
    <w:p>
      <w:pPr>
        <w:spacing w:after="40" w:before="200"/>
      </w:pPr>
      <w:r>
        <w:rPr>
          <w:rFonts w:ascii="Calibri" w:cs="Calibri" w:eastAsia="Calibri" w:hAnsi="Calibri"/>
          <w:b/>
          <w:bCs/>
          <w:color w:val="13294B"/>
          <w:sz w:val="21"/>
          <w:szCs w:val="21"/>
        </w:rPr>
        <w:t xml:space="preserve">Hamza Farooq</w:t>
      </w:r>
    </w:p>
    <w:p>
      <w:pPr>
        <w:spacing w:after="100"/>
      </w:pPr>
      <w:r>
        <w:rPr>
          <w:rFonts w:ascii="Calibri" w:cs="Calibri" w:eastAsia="Calibri" w:hAnsi="Calibri"/>
          <w:i/>
          <w:iCs/>
          <w:color w:val="5A6472"/>
          <w:sz w:val="18"/>
          <w:szCs w:val="18"/>
        </w:rPr>
        <w:t xml:space="preserve">Day trader, Karachi</w:t>
      </w:r>
    </w:p>
    <w:p>
      <w:pPr>
        <w:pBdr>
          <w:left w:val="single" w:color="B08D57" w:sz="12" w:space="10"/>
        </w:pBdr>
        <w:spacing w:after="160"/>
        <w:ind w:left="360"/>
      </w:pPr>
      <w:r>
        <w:rPr>
          <w:rFonts w:ascii="Georgia" w:cs="Georgia" w:eastAsia="Georgia" w:hAnsi="Georgia"/>
          <w:i/>
          <w:iCs/>
          <w:color w:val="222222"/>
          <w:sz w:val="21"/>
          <w:szCs w:val="21"/>
        </w:rPr>
        <w:t xml:space="preserve">“I don't have time to dig through five screens between meetings. I ask the assistant where a position stands or what a term means and I get an answer in seconds instead of hunting for it myself.”</w:t>
      </w:r>
    </w:p>
    <w:p>
      <w:pPr>
        <w:spacing w:after="40" w:before="200"/>
      </w:pPr>
      <w:r>
        <w:rPr>
          <w:rFonts w:ascii="Calibri" w:cs="Calibri" w:eastAsia="Calibri" w:hAnsi="Calibri"/>
          <w:b/>
          <w:bCs/>
          <w:color w:val="13294B"/>
          <w:sz w:val="21"/>
          <w:szCs w:val="21"/>
        </w:rPr>
        <w:t xml:space="preserve">Sana Malik</w:t>
      </w:r>
    </w:p>
    <w:p>
      <w:pPr>
        <w:spacing w:after="100"/>
      </w:pPr>
      <w:r>
        <w:rPr>
          <w:rFonts w:ascii="Calibri" w:cs="Calibri" w:eastAsia="Calibri" w:hAnsi="Calibri"/>
          <w:i/>
          <w:iCs/>
          <w:color w:val="5A6472"/>
          <w:sz w:val="18"/>
          <w:szCs w:val="18"/>
        </w:rPr>
        <w:t xml:space="preserve">Senior portfolio trader, Islamabad</w:t>
      </w:r>
    </w:p>
    <w:p>
      <w:pPr>
        <w:pBdr>
          <w:left w:val="single" w:color="B08D57" w:sz="12" w:space="10"/>
        </w:pBdr>
        <w:spacing w:after="160"/>
        <w:ind w:left="360"/>
      </w:pPr>
      <w:r>
        <w:rPr>
          <w:rFonts w:ascii="Georgia" w:cs="Georgia" w:eastAsia="Georgia" w:hAnsi="Georgia"/>
          <w:i/>
          <w:iCs/>
          <w:color w:val="222222"/>
          <w:sz w:val="21"/>
          <w:szCs w:val="21"/>
        </w:rPr>
        <w:t xml:space="preserve">“I've been trading for over a decade and I still check the discussion rooms most mornings. Other serious traders flag things worth watching that I'd have caught later on my own, or missed entirely.”</w:t>
      </w:r>
    </w:p>
    <w:p>
      <w:pPr>
        <w:pStyle w:val="Heading1"/>
        <w:pBdr>
          <w:bottom w:val="single" w:color="B08D57" w:sz="6" w:space="6"/>
        </w:pBdr>
        <w:spacing w:after="200" w:before="420"/>
      </w:pPr>
      <w:r>
        <w:rPr>
          <w:rFonts w:ascii="Georgia" w:cs="Georgia" w:eastAsia="Georgia" w:hAnsi="Georgia"/>
          <w:b/>
          <w:bCs/>
          <w:color w:val="13294B"/>
          <w:sz w:val="30"/>
          <w:szCs w:val="30"/>
        </w:rPr>
        <w:t xml:space="preserve">Final ROI &amp; Impact Summary</w:t>
      </w:r>
    </w:p>
    <w:p>
      <w:pPr>
        <w:spacing w:after="160" w:before="0"/>
        <w:jc w:val="left"/>
      </w:pPr>
      <w:r>
        <w:rPr>
          <w:rFonts w:ascii="Calibri" w:cs="Calibri" w:eastAsia="Calibri" w:hAnsi="Calibri"/>
          <w:b w:val="false"/>
          <w:bCs w:val="false"/>
          <w:i w:val="false"/>
          <w:iCs w:val="false"/>
          <w:color w:val="222222"/>
          <w:sz w:val="22"/>
          <w:szCs w:val="22"/>
        </w:rPr>
        <w:t xml:space="preserve">Combined, these changes contributed to a 38% increase in new funded accounts opened over the twelve months following launch, and a 44% increase in assets under management sourced from web-acquired clients. Twelve-month active trader retention improved as well, rising from 51% to 67% — a direct result of giving traders reasons to stay engaged with the platform beyond the trades themselves.</w:t>
      </w:r>
    </w:p>
    <w:p>
      <w:pPr>
        <w:spacing w:after="160" w:before="0"/>
        <w:jc w:val="left"/>
      </w:pPr>
      <w:r>
        <w:rPr>
          <w:rFonts w:ascii="Calibri" w:cs="Calibri" w:eastAsia="Calibri" w:hAnsi="Calibri"/>
          <w:b w:val="false"/>
          <w:bCs w:val="false"/>
          <w:i w:val="false"/>
          <w:iCs w:val="false"/>
          <w:color w:val="222222"/>
          <w:sz w:val="22"/>
          <w:szCs w:val="22"/>
        </w:rPr>
        <w:t xml:space="preserve">For a firm that didn't have a demand problem to begin with, the real return wasn't just new clients. It was finally having a digital front door that converted the attention ValueStop was already getting, instead of leaking it to competitors with less of a name and a better app.</w:t>
      </w:r>
    </w:p>
    <w:p>
      <w:pPr>
        <w:pStyle w:val="Heading1"/>
        <w:pBdr>
          <w:bottom w:val="single" w:color="B08D57" w:sz="6" w:space="6"/>
        </w:pBdr>
        <w:spacing w:after="200" w:before="420"/>
      </w:pPr>
      <w:r>
        <w:rPr>
          <w:rFonts w:ascii="Georgia" w:cs="Georgia" w:eastAsia="Georgia" w:hAnsi="Georgia"/>
          <w:b/>
          <w:bCs/>
          <w:color w:val="13294B"/>
          <w:sz w:val="30"/>
          <w:szCs w:val="30"/>
        </w:rPr>
        <w:t xml:space="preserve">Conclusion &amp; Client Takeaway</w:t>
      </w:r>
    </w:p>
    <w:p>
      <w:pPr>
        <w:spacing w:after="160" w:before="0"/>
        <w:jc w:val="left"/>
      </w:pPr>
      <w:r>
        <w:rPr>
          <w:rFonts w:ascii="Calibri" w:cs="Calibri" w:eastAsia="Calibri" w:hAnsi="Calibri"/>
          <w:b w:val="false"/>
          <w:bCs w:val="false"/>
          <w:i w:val="false"/>
          <w:iCs w:val="false"/>
          <w:color w:val="222222"/>
          <w:sz w:val="22"/>
          <w:szCs w:val="22"/>
        </w:rPr>
        <w:t xml:space="preserve">ValueStop's reputation and market position were never in question. What was missing was the connective tissue between “well-known trading firm” and “trader who's actually opened and funded an account” — a gap a lot of established institutions run into once a market shifts toward mobile-first, self-serve expectations.</w:t>
      </w:r>
    </w:p>
    <w:p>
      <w:pPr>
        <w:spacing w:after="160" w:before="0"/>
        <w:jc w:val="left"/>
      </w:pPr>
      <w:r>
        <w:rPr>
          <w:rFonts w:ascii="Calibri" w:cs="Calibri" w:eastAsia="Calibri" w:hAnsi="Calibri"/>
          <w:b w:val="false"/>
          <w:bCs w:val="false"/>
          <w:i w:val="false"/>
          <w:iCs w:val="false"/>
          <w:color w:val="222222"/>
          <w:sz w:val="22"/>
          <w:szCs w:val="22"/>
        </w:rPr>
        <w:t xml:space="preserve">What we built is now run entirely by ValueStop's own team: the onboarding engine, the AI assistant, the practice classrooms, and the community rooms are all live systems the firm owns, not a one-time project we handed off and left. That's consistent with how we approach this kind of work — the goal isn't a better-looking platform, it's a system that keeps performing after we're no longer the ones running it.</w:t>
      </w:r>
    </w:p>
    <w:sectPr>
      <w:pgSz w:w="11906" w:h="16838"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2026-08-05T08:26:46.326Z</dcterms:created>
  <dcterms:modified xsi:type="dcterms:W3CDTF">2026-08-05T08:26:46.326Z</dcterms:modified>
</cp:coreProperties>
</file>

<file path=docProps/custom.xml><?xml version="1.0" encoding="utf-8"?>
<Properties xmlns="http://schemas.openxmlformats.org/officeDocument/2006/custom-properties" xmlns:vt="http://schemas.openxmlformats.org/officeDocument/2006/docPropsVTypes"/>
</file>