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Module Structure and Task Distribution (8-Member Team)</w:t>
      </w:r>
    </w:p>
    <w:p>
      <w:pPr>
        <w:spacing w:before="60"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project is organized into 6 technical modules. The table below shows the role distribution across all 8 team members. Primary members lead and own their module; Secondary members contribute and provide cross-module support.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32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M1
Voice Comm.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M2
Digital Twin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M3
HW &amp; Motor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M4
SLAM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M5
NAV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M6
Sensor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GÖKHAN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Primary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HİCRAN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Primary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FATİH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Primary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SAMET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Primary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MERVAN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Primary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ERTUĞRUL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Primary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SAYED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Primary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ÖMER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19"/>
                <w:szCs w:val="19"/>
              </w:rPr>
              <w:t xml:space="preserve">–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Primary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Secondary</w:t>
            </w:r>
          </w:p>
        </w:tc>
      </w:tr>
    </w:tbl>
    <w:p>
      <w:pPr>
        <w:spacing w:before="80" w:after="0"/>
      </w:pPr>
    </w:p>
    <w:p>
      <w:pPr>
        <w:spacing w:before="60" w:after="10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Primary = module lead and owner   |   Secondary = contributing support role   |   – = not assigned</w:t>
      </w:r>
    </w:p>
    <w:p>
      <w:pPr>
        <w:spacing w:before="24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Responsibilities</w:t>
      </w:r>
    </w:p>
    <w:p>
      <w:pPr>
        <w:spacing w:before="6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1: Voice Communication (3 People)</w:t>
      </w:r>
    </w:p>
    <w:p>
      <w:pPr>
        <w:spacing w:before="60"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Responsible for audio-based interaction between the robot and its environment. The module integrates a USB microphone (e.g., Youmi Mini USB 2.0 Microphone) for capturing ambient sound and spoken operator commands, processes the audio input to perform speech-to-text conversion, and produces spoken responses through a mini speaker (e.g., MakerHawk Mini Speaker) driven by an audio amplifier board (e.g., DROK 5W+5W Mini Audio Amplifier Board PAM8406). Handles distress sound detection and voice command parsing for operator control. Delivers a voice interface to other modules for triggering audio alerts and receiving transcribed commands.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2: Digital Twin &amp; Visualization (3 People)</w:t>
      </w:r>
    </w:p>
    <w:p>
      <w:pPr>
        <w:spacing w:before="60"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Develops a real-time 3D visualization of the robot's state and surroundings using a simulation and visualization environment (e.g., Unity or Gazebo). Receives live telemetry (position, heading, sensor readings) from the robot and renders them on a digital floor map. Implements a priority-based pin-drop system to mark detected points of interest and reflect the robot's current status in the virtual environment.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3: Hardware &amp; Motor Control (4 People)</w:t>
      </w:r>
    </w:p>
    <w:p>
      <w:pPr>
        <w:spacing w:before="60"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Handles all physical assembly and low-level hardware interfacing. Manages DC motor driving via PWM through the motor driver, encoder reading for odometry, and IMU (MPU-6050) integration for heading and stuck detection. Responsible for power distribution and UART communication between the microcontroller and the main compute unit. Provides a motion API (forward, backward, turn, stop) to higher-level modules.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4: SLAM – Mapping &amp; Localization (4 People)</w:t>
      </w:r>
    </w:p>
    <w:p>
      <w:pPr>
        <w:spacing w:before="60"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Implements the Simultaneous Localization and Mapping (SLAM) pipeline. Processes LiDAR scan data to build and update a 2D occupancy grid map of the environment in real time. Maintains the robot's estimated pose (x, y, θ) and provides a localization interface for the navigation module. Handles map correction to minimize drift over longer exploration runs.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5: NAV – Path Planning &amp; Control (4 People)</w:t>
      </w:r>
    </w:p>
    <w:p>
      <w:pPr>
        <w:spacing w:before="60"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Responsible for high-level autonomous movement. Consumes the map and pose from the SLAM module to plan collision-free paths to target waypoints. Implements the path-following controller, obstacle avoidance logic, and recovery behaviors such as stuck detection and re-routing. Delivers a navigation interface used by other modules to command and monitor the robot's movement.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6: Sensor Integration &amp; Control (3 People)</w:t>
      </w:r>
    </w:p>
    <w:p>
      <w:pPr>
        <w:spacing w:before="60" w:after="10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Manages all onboard sensors beyond the primary LiDAR: ultrasonic range sensors, IR obstacle sensors, and any additional environmental sensors. Responsible for sensor placement decisions, calibration, noise filtering, and publishing clean sensor readings to a shared data bus. Provides a unified sensor API that other modules (navigation, SLAM, hardware) can query for obstacle proximity and environmental data.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 w:after="0"/>
    </w:pPr>
    <w:r>
      <w:rPr>
        <w:rFonts w:ascii="Arial" w:cs="Arial" w:eastAsia="Arial" w:hAnsi="Arial"/>
        <w:color w:val="595959"/>
        <w:sz w:val="18"/>
        <w:szCs w:val="18"/>
      </w:rPr>
      <w:t xml:space="preserve">Department of Computer Engineering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00"/>
    </w:pPr>
    <w:r>
      <w:rPr>
        <w:rFonts w:ascii="Arial" w:cs="Arial" w:eastAsia="Arial" w:hAnsi="Arial"/>
        <w:color w:val="595959"/>
        <w:sz w:val="18"/>
        <w:szCs w:val="18"/>
      </w:rPr>
      <w:t xml:space="preserve">LiDAR-Guided Indoor Navigation Robot  |  Module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2026-03-15T14:00:06.231Z</dcterms:created>
  <dcterms:modified xsi:type="dcterms:W3CDTF">2026-03-15T14:00:06.232Z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