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Basic Troubleshooting — Battery / Power Faults</w:t>
      </w:r>
    </w:p>
    <w:p>
      <w:pPr>
        <w:jc w:val="center"/>
      </w:pPr>
      <w:r>
        <w:rPr>
          <w:i/>
          <w:sz w:val="18"/>
        </w:rPr>
        <w:t>Document Type: procedure_guide | Category: basic_troubleshooting</w:t>
      </w:r>
    </w:p>
    <w:p/>
    <w:p>
      <w:r>
        <w:t>Standard pre-check procedure for battery and power errors on Desoutter cordless tools (EPBC, EABC, EABS, EIBS series).</w:t>
      </w:r>
    </w:p>
    <w:p/>
    <w:p>
      <w:pPr>
        <w:pStyle w:val="Heading2"/>
      </w:pPr>
      <w:r>
        <w:t>Related Error Codes</w:t>
      </w:r>
    </w:p>
    <w:p>
      <w:pPr>
        <w:pStyle w:val="ListBullet"/>
      </w:pPr>
      <w:r>
        <w:t>E029 (Battery empty)</w:t>
      </w:r>
    </w:p>
    <w:p>
      <w:pPr>
        <w:pStyle w:val="ListBullet"/>
      </w:pPr>
      <w:r>
        <w:t>E031 (Battery error)</w:t>
      </w:r>
    </w:p>
    <w:p>
      <w:pPr>
        <w:pStyle w:val="ListBullet"/>
      </w:pPr>
      <w:r>
        <w:t>E045 (Abnormal battery voltage)</w:t>
      </w:r>
    </w:p>
    <w:p>
      <w:pPr>
        <w:pStyle w:val="ListBullet"/>
      </w:pPr>
      <w:r>
        <w:t>E047 (Battery too low)</w:t>
      </w:r>
    </w:p>
    <w:p>
      <w:pPr>
        <w:pStyle w:val="ListBullet"/>
      </w:pPr>
      <w:r>
        <w:t>E048 (Battery type not allowed)</w:t>
      </w:r>
    </w:p>
    <w:p>
      <w:pPr>
        <w:pStyle w:val="ListBullet"/>
      </w:pPr>
      <w:r>
        <w:t>E230 (DC bus high)</w:t>
      </w:r>
    </w:p>
    <w:p>
      <w:pPr>
        <w:pStyle w:val="ListBullet"/>
      </w:pPr>
      <w:r>
        <w:t>E231 (DC bus too low)</w:t>
      </w:r>
    </w:p>
    <w:p/>
    <w:p>
      <w:pPr>
        <w:pStyle w:val="Heading2"/>
      </w:pPr>
      <w:r>
        <w:t>Pre-Check Procedure</w:t>
      </w:r>
    </w:p>
    <w:p>
      <w:pPr>
        <w:pStyle w:val="ListNumber"/>
      </w:pPr>
      <w:r>
        <w:t>Confirm the battery pack is fully seated in the tool grip — click should be heard/felt when locked.</w:t>
      </w:r>
    </w:p>
    <w:p>
      <w:pPr>
        <w:pStyle w:val="ListNumber"/>
      </w:pPr>
      <w:r>
        <w:t>Place the battery on a calibrated eDOCK charger and verify the charge LED sequence; a flashing red LED indicates a faulty cell.</w:t>
      </w:r>
    </w:p>
    <w:p>
      <w:pPr>
        <w:pStyle w:val="ListNumber"/>
      </w:pPr>
      <w:r>
        <w:t>Check battery firmware version in S-Center under Battery Info — update if the version is below the minimum required for the tool series.</w:t>
      </w:r>
    </w:p>
    <w:p>
      <w:pPr>
        <w:pStyle w:val="ListNumber"/>
      </w:pPr>
      <w:r>
        <w:t>Measure battery terminal voltage with a multimeter; nominal range is 20–21 V (fully charged). Below 18 V indicates deep discharge — recondition or replace.</w:t>
      </w:r>
    </w:p>
    <w:p>
      <w:pPr>
        <w:pStyle w:val="ListNumber"/>
      </w:pPr>
      <w:r>
        <w:t>For E048 (Battery type not allowed), confirm the battery part number matches the tool compatibility table in the product datasheet.</w:t>
      </w:r>
    </w:p>
    <w:p>
      <w:pPr>
        <w:pStyle w:val="ListNumber"/>
      </w:pPr>
      <w:r>
        <w:t>Inspect battery contacts on both the tool and battery pack for oxidation; clean with isopropyl alcohol and a contact brush.</w:t>
      </w:r>
    </w:p>
    <w:p>
      <w:pPr>
        <w:pStyle w:val="ListNumber"/>
      </w:pPr>
      <w:r>
        <w:t>For E230/E231 (DC bus high/low), check the charger output voltage with a multimeter — replace the charger if outside 21–25 V range.</w:t>
      </w:r>
    </w:p>
    <w:p>
      <w:pPr>
        <w:pStyle w:val="ListNumber"/>
      </w:pPr>
      <w:r>
        <w:t>If the battery fails three consecutive charge cycles, mark it as defective and initiate battery replacement through the service management system.</w:t>
      </w:r>
    </w:p>
    <w:p/>
    <w:p>
      <w:r>
        <w:rPr>
          <w:i/>
          <w:sz w:val="20"/>
        </w:rPr>
        <w:t>Note: These steps must be performed before escalating to component-level repair. Document findings in the service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