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1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4120"/>
        <w:gridCol w:w="622"/>
        <w:gridCol w:w="675"/>
        <w:gridCol w:w="1194"/>
        <w:gridCol w:w="1239"/>
      </w:tblGrid>
      <w:tr w:rsidR="004414C0" w:rsidRPr="002E4003" w:rsidTr="009F0249">
        <w:trPr>
          <w:trHeight w:val="1320"/>
        </w:trPr>
        <w:tc>
          <w:tcPr>
            <w:tcW w:w="8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t>T.C.</w:t>
            </w:r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br/>
              <w:t>SAĞLIK BAKANLIĞI</w:t>
            </w:r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br/>
              <w:t>TÜRKİYE KAMU HASTANELERİ KURUMU</w:t>
            </w:r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br/>
              <w:t xml:space="preserve">Ankara İli 3. Bölge Kamu Hastaneleri Birliği </w:t>
            </w:r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br/>
              <w:t>Gaziler Fizik Tedavi, Rehabilitasyon Eğitim ve Araştırma Hastanesi</w:t>
            </w:r>
          </w:p>
        </w:tc>
      </w:tr>
      <w:tr w:rsidR="004414C0" w:rsidRPr="002E4003" w:rsidTr="009F0249">
        <w:trPr>
          <w:trHeight w:val="300"/>
        </w:trPr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t>Sayı :</w:t>
            </w:r>
            <w:proofErr w:type="gramEnd"/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t xml:space="preserve"> 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195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TARİH: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195DBD" w:rsidP="00195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04</w:t>
            </w:r>
            <w:r w:rsidR="004414C0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4</w:t>
            </w:r>
            <w:r w:rsidR="004414C0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.2017</w:t>
            </w:r>
          </w:p>
        </w:tc>
      </w:tr>
      <w:tr w:rsidR="004414C0" w:rsidRPr="002E4003" w:rsidTr="009F0249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t>Konu: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TEKLİF VERMEYE DAVET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300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S.NO</w:t>
            </w:r>
          </w:p>
        </w:tc>
        <w:tc>
          <w:tcPr>
            <w:tcW w:w="4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İşin/ Malzemenin Adı/ Cinsi </w:t>
            </w:r>
          </w:p>
        </w:tc>
        <w:tc>
          <w:tcPr>
            <w:tcW w:w="1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Miktarı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Birim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SUT KODU</w:t>
            </w:r>
          </w:p>
        </w:tc>
      </w:tr>
      <w:tr w:rsidR="004414C0" w:rsidRPr="002E4003" w:rsidTr="009F0249">
        <w:trPr>
          <w:trHeight w:val="300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C0" w:rsidRPr="002E4003" w:rsidRDefault="009F0249" w:rsidP="009F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ÇAMAŞIR KURUTMA ASKILIĞI 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C0" w:rsidRPr="002E4003" w:rsidRDefault="009F0249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75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ADET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YOKTUR</w:t>
            </w:r>
          </w:p>
        </w:tc>
      </w:tr>
      <w:tr w:rsidR="004414C0" w:rsidRPr="002E4003" w:rsidTr="009F0249">
        <w:trPr>
          <w:trHeight w:val="300"/>
        </w:trPr>
        <w:tc>
          <w:tcPr>
            <w:tcW w:w="8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4734 Sayılı Kamu İhale Kanunu'nun 22.maddesinin</w:t>
            </w:r>
            <w:r w:rsidRPr="002E4003">
              <w:rPr>
                <w:rFonts w:ascii="Arial" w:eastAsia="Times New Roman" w:hAnsi="Arial" w:cs="Arial"/>
                <w:color w:val="FF0000"/>
                <w:sz w:val="16"/>
                <w:szCs w:val="16"/>
                <w:lang w:eastAsia="tr-TR"/>
              </w:rPr>
              <w:t xml:space="preserve"> (d) </w:t>
            </w: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bendi gereğince (</w:t>
            </w:r>
            <w:r w:rsidRPr="002E4003">
              <w:rPr>
                <w:rFonts w:ascii="Arial" w:eastAsia="Times New Roman" w:hAnsi="Arial" w:cs="Arial"/>
                <w:color w:val="FF0000"/>
                <w:sz w:val="16"/>
                <w:szCs w:val="16"/>
                <w:lang w:eastAsia="tr-TR"/>
              </w:rPr>
              <w:t>Sözleşme yapılmayacaktır</w:t>
            </w: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.)</w:t>
            </w:r>
          </w:p>
        </w:tc>
      </w:tr>
      <w:tr w:rsidR="004414C0" w:rsidRPr="002E4003" w:rsidTr="009F0249">
        <w:trPr>
          <w:trHeight w:val="10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750"/>
        </w:trPr>
        <w:tc>
          <w:tcPr>
            <w:tcW w:w="8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4C0" w:rsidRPr="002E4003" w:rsidRDefault="009F0249" w:rsidP="002E40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Hastanemiz kliniklerinde</w:t>
            </w:r>
            <w:r w:rsidR="004414C0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 kullanılmak üzere </w:t>
            </w: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Çamaşır Kurutma Askılığı alımı yapılacaktır.  Bu </w:t>
            </w:r>
            <w:r w:rsidR="004414C0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işe ilişkin olarak hazırlayacağı</w:t>
            </w:r>
            <w:r w:rsidR="002E4003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nız, birim fiyatları da içeren </w:t>
            </w:r>
            <w:r w:rsidR="004414C0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asıl proforma teklifinizi en geç</w:t>
            </w:r>
            <w:r w:rsidR="004414C0" w:rsidRPr="002E4003">
              <w:rPr>
                <w:rFonts w:ascii="Arial" w:eastAsia="Times New Roman" w:hAnsi="Arial" w:cs="Arial"/>
                <w:color w:val="FF0000"/>
                <w:sz w:val="16"/>
                <w:szCs w:val="16"/>
                <w:lang w:eastAsia="tr-TR"/>
              </w:rPr>
              <w:t xml:space="preserve"> </w:t>
            </w:r>
            <w:r w:rsidR="002E4003" w:rsidRPr="002E4003">
              <w:rPr>
                <w:rFonts w:ascii="Arial" w:eastAsia="Times New Roman" w:hAnsi="Arial" w:cs="Arial"/>
                <w:color w:val="FF0000"/>
                <w:sz w:val="16"/>
                <w:szCs w:val="16"/>
                <w:lang w:eastAsia="tr-TR"/>
              </w:rPr>
              <w:t>14</w:t>
            </w:r>
            <w:r w:rsidR="004414C0" w:rsidRPr="002E4003">
              <w:rPr>
                <w:rFonts w:ascii="Arial" w:eastAsia="Times New Roman" w:hAnsi="Arial" w:cs="Arial"/>
                <w:color w:val="FF0000"/>
                <w:sz w:val="16"/>
                <w:szCs w:val="16"/>
                <w:lang w:eastAsia="tr-TR"/>
              </w:rPr>
              <w:t>.04</w:t>
            </w:r>
            <w:r w:rsidR="004414C0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.2017 tarihli, saat: </w:t>
            </w:r>
            <w:proofErr w:type="gramStart"/>
            <w:r w:rsidR="004414C0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10:00'a</w:t>
            </w:r>
            <w:proofErr w:type="gramEnd"/>
            <w:r w:rsidR="004414C0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 kadar hastanemiz doğrudan temin birimi, ilgili memur </w:t>
            </w:r>
            <w:r w:rsidR="004414C0" w:rsidRPr="002E4003">
              <w:rPr>
                <w:rFonts w:ascii="Arial" w:eastAsia="Times New Roman" w:hAnsi="Arial" w:cs="Arial"/>
                <w:color w:val="FF0000"/>
                <w:sz w:val="16"/>
                <w:szCs w:val="16"/>
                <w:lang w:eastAsia="tr-TR"/>
              </w:rPr>
              <w:t xml:space="preserve">Gülay </w:t>
            </w:r>
            <w:proofErr w:type="spellStart"/>
            <w:r w:rsidR="004414C0" w:rsidRPr="002E4003">
              <w:rPr>
                <w:rFonts w:ascii="Arial" w:eastAsia="Times New Roman" w:hAnsi="Arial" w:cs="Arial"/>
                <w:color w:val="FF0000"/>
                <w:sz w:val="16"/>
                <w:szCs w:val="16"/>
                <w:lang w:eastAsia="tr-TR"/>
              </w:rPr>
              <w:t>KARACABEY'e</w:t>
            </w:r>
            <w:proofErr w:type="spellEnd"/>
            <w:r w:rsidR="004414C0"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 ulaştırmanızı rica ederim.</w:t>
            </w:r>
          </w:p>
        </w:tc>
      </w:tr>
      <w:tr w:rsidR="004414C0" w:rsidRPr="002E4003" w:rsidTr="009F0249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300"/>
        </w:trPr>
        <w:tc>
          <w:tcPr>
            <w:tcW w:w="8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2E40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t>DİKKAT EDİLECEK HUSUSLAR VE ALIM ŞARTLARI</w:t>
            </w:r>
          </w:p>
        </w:tc>
      </w:tr>
      <w:tr w:rsidR="004414C0" w:rsidRPr="002E4003" w:rsidTr="00795E8B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2E4003">
            <w:pPr>
              <w:pStyle w:val="AralkYok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</w:tr>
      <w:tr w:rsidR="004414C0" w:rsidRPr="002E4003" w:rsidTr="00795E8B">
        <w:trPr>
          <w:trHeight w:val="22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2E4003">
            <w:pPr>
              <w:pStyle w:val="AralkYok"/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  <w:t>1.</w:t>
            </w:r>
          </w:p>
        </w:tc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>Teklife esas malzemelerin markası mutlaka belirtilecektir.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ind w:left="69" w:firstLine="268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</w:tr>
      <w:tr w:rsidR="004414C0" w:rsidRPr="002E4003" w:rsidTr="002E4003">
        <w:trPr>
          <w:trHeight w:val="22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2E4003">
            <w:pPr>
              <w:pStyle w:val="AralkYok"/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  <w:t>2.</w:t>
            </w:r>
          </w:p>
        </w:tc>
        <w:tc>
          <w:tcPr>
            <w:tcW w:w="7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>Satın</w:t>
            </w:r>
            <w:r w:rsidR="009F0249" w:rsidRPr="002E4003">
              <w:rPr>
                <w:rFonts w:ascii="Arial" w:hAnsi="Arial" w:cs="Arial"/>
                <w:sz w:val="16"/>
                <w:szCs w:val="16"/>
                <w:lang w:eastAsia="tr-TR"/>
              </w:rPr>
              <w:t xml:space="preserve"> </w:t>
            </w:r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 xml:space="preserve">alma gerçekleştirildikten sonra, verilen işe derhal başlanacaktır. </w:t>
            </w:r>
          </w:p>
        </w:tc>
      </w:tr>
      <w:tr w:rsidR="004414C0" w:rsidRPr="002E4003" w:rsidTr="002E4003">
        <w:trPr>
          <w:trHeight w:val="417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2E4003">
            <w:pPr>
              <w:pStyle w:val="AralkYok"/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  <w:t>3.</w:t>
            </w:r>
          </w:p>
        </w:tc>
        <w:tc>
          <w:tcPr>
            <w:tcW w:w="7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 xml:space="preserve">Teklifler faks </w:t>
            </w:r>
            <w:proofErr w:type="gramStart"/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>ile,</w:t>
            </w:r>
            <w:proofErr w:type="gramEnd"/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 xml:space="preserve"> e-posta ile veya elden birim fiyat teklif mektubu şeklinde verilecektir. Teklif üzerinde Dosya No, Hasta adı ve ilgili memur adı belirtilecektir.</w:t>
            </w:r>
          </w:p>
        </w:tc>
      </w:tr>
      <w:tr w:rsidR="004414C0" w:rsidRPr="002E4003" w:rsidTr="002E4003">
        <w:trPr>
          <w:trHeight w:val="22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2E4003">
            <w:pPr>
              <w:pStyle w:val="AralkYok"/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  <w:t>4.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>Fiyatlara KDV</w:t>
            </w:r>
            <w:r w:rsidR="002E4003" w:rsidRPr="002E4003">
              <w:rPr>
                <w:rFonts w:ascii="Arial" w:hAnsi="Arial" w:cs="Arial"/>
                <w:sz w:val="16"/>
                <w:szCs w:val="16"/>
                <w:lang w:eastAsia="tr-TR"/>
              </w:rPr>
              <w:t xml:space="preserve"> </w:t>
            </w:r>
            <w:proofErr w:type="gramStart"/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>dahil</w:t>
            </w:r>
            <w:proofErr w:type="gramEnd"/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 xml:space="preserve"> edilmeyecektir. 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</w:tr>
      <w:tr w:rsidR="004414C0" w:rsidRPr="002E4003" w:rsidTr="002E4003">
        <w:trPr>
          <w:trHeight w:val="22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2E4003">
            <w:pPr>
              <w:pStyle w:val="AralkYok"/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  <w:t>5.</w:t>
            </w:r>
          </w:p>
        </w:tc>
        <w:tc>
          <w:tcPr>
            <w:tcW w:w="5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>Teklif veren bütün firmalar, belirtilen tüm şartları aynen kabul etmiş sayılır.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</w:p>
        </w:tc>
      </w:tr>
      <w:tr w:rsidR="004414C0" w:rsidRPr="002E4003" w:rsidTr="002E4003">
        <w:trPr>
          <w:trHeight w:val="699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2E4003">
            <w:pPr>
              <w:pStyle w:val="AralkYok"/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  <w:t>6.</w:t>
            </w:r>
          </w:p>
        </w:tc>
        <w:tc>
          <w:tcPr>
            <w:tcW w:w="7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>Verilecek tekliflerde tıbbi cihaz durumu dokümanı getirilecektir. Tıbbi Cihaz Kapsamındaki Ürünler için UBB numarası tekliflerinde belirtilecek ve T</w:t>
            </w:r>
            <w:r w:rsidR="00ED785A" w:rsidRPr="002E4003">
              <w:rPr>
                <w:rFonts w:ascii="Arial" w:hAnsi="Arial" w:cs="Arial"/>
                <w:sz w:val="16"/>
                <w:szCs w:val="16"/>
                <w:lang w:eastAsia="tr-TR"/>
              </w:rPr>
              <w:t>İ</w:t>
            </w:r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 xml:space="preserve">TCK tarafından düzenlenmiş yeterlilik belgesini teklifleriyle birlikte sunacaktır. (Yeterlilik başvurusu yapıp işlemleri devam eden istekliler tekliflerinde belirtmek şartıyla malzeme tesliminde TİTCK belgesini sunacaktır.) </w:t>
            </w:r>
          </w:p>
        </w:tc>
      </w:tr>
      <w:tr w:rsidR="004414C0" w:rsidRPr="002E4003" w:rsidTr="002E4003">
        <w:trPr>
          <w:trHeight w:val="42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2E4003">
            <w:pPr>
              <w:pStyle w:val="AralkYok"/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b/>
                <w:bCs/>
                <w:sz w:val="16"/>
                <w:szCs w:val="16"/>
                <w:lang w:eastAsia="tr-TR"/>
              </w:rPr>
              <w:t>7.</w:t>
            </w:r>
          </w:p>
        </w:tc>
        <w:tc>
          <w:tcPr>
            <w:tcW w:w="7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14C0" w:rsidRPr="002E4003" w:rsidRDefault="004414C0" w:rsidP="00795E8B">
            <w:pPr>
              <w:pStyle w:val="AralkYok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 xml:space="preserve">Tel: (312)- 291 11 18 ( SANTRAL), (312)- 291 10 37, 1038 </w:t>
            </w:r>
            <w:proofErr w:type="spellStart"/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>Fax</w:t>
            </w:r>
            <w:proofErr w:type="spellEnd"/>
            <w:r w:rsidRPr="002E4003">
              <w:rPr>
                <w:rFonts w:ascii="Arial" w:hAnsi="Arial" w:cs="Arial"/>
                <w:sz w:val="16"/>
                <w:szCs w:val="16"/>
                <w:lang w:eastAsia="tr-TR"/>
              </w:rPr>
              <w:t>: (312) 291 10 39, Elektronik Posta Adresi:gaziftrsatinalma@gmail.com</w:t>
            </w:r>
          </w:p>
        </w:tc>
      </w:tr>
      <w:tr w:rsidR="004414C0" w:rsidRPr="002E4003" w:rsidTr="002E4003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14C0" w:rsidRPr="002E4003" w:rsidRDefault="004414C0" w:rsidP="002E40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300"/>
        </w:trPr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2E400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  <w:t xml:space="preserve">GAZİLER FİZİK TEDAVİ VE REHABİLİTASYON HASTANESİ 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300"/>
        </w:trPr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Tel: (312)- 291 11 18( SANTRAL),(312) 291 1037-1038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Adres: </w:t>
            </w:r>
          </w:p>
        </w:tc>
        <w:tc>
          <w:tcPr>
            <w:tcW w:w="2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Lodumlu</w:t>
            </w:r>
            <w:proofErr w:type="spellEnd"/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 Yolu Bilkent/ Ankara</w:t>
            </w:r>
          </w:p>
        </w:tc>
      </w:tr>
      <w:tr w:rsidR="004414C0" w:rsidRPr="002E4003" w:rsidTr="009F0249">
        <w:trPr>
          <w:trHeight w:val="300"/>
        </w:trPr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Fax</w:t>
            </w:r>
            <w:proofErr w:type="spellEnd"/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 xml:space="preserve">: (312) - 2911039 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300"/>
        </w:trPr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795E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Elektr</w:t>
            </w:r>
            <w:r w:rsidR="00795E8B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o</w:t>
            </w:r>
            <w:r w:rsidRPr="002E4003"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  <w:t>nik Posta:gaziftrsatinalma@gmail.com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  <w:tr w:rsidR="004414C0" w:rsidRPr="002E4003" w:rsidTr="009F0249">
        <w:trPr>
          <w:trHeight w:val="22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4C0" w:rsidRPr="002E4003" w:rsidRDefault="004414C0" w:rsidP="00441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tr-TR"/>
              </w:rPr>
            </w:pPr>
          </w:p>
        </w:tc>
      </w:tr>
    </w:tbl>
    <w:p w:rsidR="00DD7C72" w:rsidRDefault="00DD7C72">
      <w:bookmarkStart w:id="0" w:name="_GoBack"/>
      <w:bookmarkEnd w:id="0"/>
    </w:p>
    <w:sectPr w:rsidR="00DD7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27"/>
    <w:rsid w:val="00195DBD"/>
    <w:rsid w:val="002E4003"/>
    <w:rsid w:val="004414C0"/>
    <w:rsid w:val="006E2B00"/>
    <w:rsid w:val="00795E8B"/>
    <w:rsid w:val="009F0249"/>
    <w:rsid w:val="00BE7C27"/>
    <w:rsid w:val="00DD7C72"/>
    <w:rsid w:val="00E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E40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E4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GATA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Gülay KARACABEY (SVL.ME.)</dc:creator>
  <cp:keywords/>
  <dc:description/>
  <cp:lastModifiedBy>Gülay KARACABEY (SVL.ME.)</cp:lastModifiedBy>
  <cp:revision>6</cp:revision>
  <dcterms:created xsi:type="dcterms:W3CDTF">2017-03-31T12:51:00Z</dcterms:created>
  <dcterms:modified xsi:type="dcterms:W3CDTF">2017-04-07T10:32:00Z</dcterms:modified>
</cp:coreProperties>
</file>