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4B1" w:rsidRDefault="008E209A">
      <w:pPr>
        <w:pStyle w:val="Gvdemetni2"/>
        <w:framePr w:w="1291" w:h="1218" w:wrap="around" w:vAnchor="text" w:hAnchor="margin" w:x="103" w:yAlign="bottom"/>
        <w:shd w:val="clear" w:color="auto" w:fill="auto"/>
        <w:spacing w:line="1300" w:lineRule="exact"/>
        <w:ind w:left="140"/>
      </w:pPr>
      <w:r>
        <w:t>(b</w:t>
      </w:r>
    </w:p>
    <w:p w:rsidR="009614B1" w:rsidRDefault="008E209A">
      <w:pPr>
        <w:pStyle w:val="Gvdemetni3"/>
        <w:framePr w:w="1291" w:h="1218" w:wrap="around" w:vAnchor="text" w:hAnchor="margin" w:x="103" w:yAlign="bottom"/>
        <w:shd w:val="clear" w:color="auto" w:fill="auto"/>
        <w:spacing w:line="110" w:lineRule="exact"/>
        <w:ind w:left="140"/>
      </w:pPr>
      <w:r>
        <w:rPr>
          <w:spacing w:val="0"/>
        </w:rPr>
        <w:t>TC Sağlık Bakanlığı</w:t>
      </w:r>
    </w:p>
    <w:p w:rsidR="009614B1" w:rsidRDefault="008E209A">
      <w:pPr>
        <w:pStyle w:val="Gvdemetni0"/>
        <w:shd w:val="clear" w:color="auto" w:fill="auto"/>
        <w:ind w:right="60"/>
      </w:pPr>
      <w:bookmarkStart w:id="0" w:name="_GoBack"/>
      <w:bookmarkEnd w:id="0"/>
      <w:r>
        <w:t>T.C.</w:t>
      </w:r>
    </w:p>
    <w:p w:rsidR="009614B1" w:rsidRDefault="008E209A">
      <w:pPr>
        <w:pStyle w:val="Gvdemetni0"/>
        <w:shd w:val="clear" w:color="auto" w:fill="auto"/>
        <w:spacing w:after="587"/>
        <w:ind w:right="60"/>
      </w:pPr>
      <w:r>
        <w:t>SAĞLIK BAKANLIĞI TÜRKİYE KAMU HASTANELERİ KURUMU Ankara İli 3. Bölge Kamu Hastaneleri Birliği Genel Sekreterliği Polatlı Duatepe İlçe Devlet Hastanesi</w:t>
      </w:r>
    </w:p>
    <w:p w:rsidR="009614B1" w:rsidRDefault="008E209A">
      <w:pPr>
        <w:pStyle w:val="Gvdemetni0"/>
        <w:shd w:val="clear" w:color="auto" w:fill="auto"/>
        <w:spacing w:after="498" w:line="210" w:lineRule="exact"/>
        <w:ind w:left="4120"/>
        <w:jc w:val="left"/>
      </w:pPr>
      <w:r>
        <w:t>ŞARTNAME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6"/>
        <w:gridCol w:w="3048"/>
        <w:gridCol w:w="691"/>
        <w:gridCol w:w="686"/>
        <w:gridCol w:w="5122"/>
      </w:tblGrid>
      <w:tr w:rsidR="009614B1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100"/>
              <w:jc w:val="left"/>
            </w:pPr>
            <w:r>
              <w:rPr>
                <w:rStyle w:val="GvdemetniCalibri9ptKaln"/>
              </w:rPr>
              <w:t>1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ÇİFT KANAT PANİK BAR SETİ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ADET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1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jc w:val="both"/>
            </w:pPr>
            <w:r>
              <w:rPr>
                <w:rStyle w:val="GvdemetniCalibri9ptKaln"/>
              </w:rPr>
              <w:t xml:space="preserve">1480X2110X450 MM ebatlarında </w:t>
            </w:r>
            <w:r>
              <w:rPr>
                <w:rStyle w:val="GvdemetniCalibri9ptKaln"/>
              </w:rPr>
              <w:t>olmalıdır.</w:t>
            </w:r>
          </w:p>
        </w:tc>
      </w:tr>
      <w:tr w:rsidR="009614B1">
        <w:tblPrEx>
          <w:tblCellMar>
            <w:top w:w="0" w:type="dxa"/>
            <w:bottom w:w="0" w:type="dxa"/>
          </w:tblCellMar>
        </w:tblPrEx>
        <w:trPr>
          <w:trHeight w:hRule="exact" w:val="1910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100"/>
              <w:jc w:val="left"/>
            </w:pPr>
            <w:r>
              <w:rPr>
                <w:rStyle w:val="GvdemetniCalibri9ptKaln"/>
              </w:rPr>
              <w:t>2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HİDROLİK KAPI KAPATICI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ADET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100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69"/>
              </w:tabs>
              <w:jc w:val="both"/>
            </w:pPr>
            <w:r>
              <w:rPr>
                <w:rStyle w:val="Gvdemetni1"/>
              </w:rPr>
              <w:t>Demir ve çelik hammaddeden üretilmiş olmalıdır.</w:t>
            </w:r>
          </w:p>
          <w:p w:rsidR="009614B1" w:rsidRDefault="008E209A">
            <w:pPr>
              <w:pStyle w:val="Gvdemetni0"/>
              <w:framePr w:w="10243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93"/>
              </w:tabs>
              <w:jc w:val="both"/>
            </w:pPr>
            <w:r>
              <w:rPr>
                <w:rStyle w:val="Gvdemetni1"/>
              </w:rPr>
              <w:t>Kapama gücü 2-5 arasında olmalıdır.</w:t>
            </w:r>
          </w:p>
          <w:p w:rsidR="009614B1" w:rsidRDefault="008E209A">
            <w:pPr>
              <w:pStyle w:val="Gvdemetni0"/>
              <w:framePr w:w="10243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368"/>
              </w:tabs>
              <w:ind w:left="80"/>
              <w:jc w:val="left"/>
            </w:pPr>
            <w:r>
              <w:rPr>
                <w:rStyle w:val="Gvdemetni1"/>
              </w:rPr>
              <w:t>25 kg ağırlıktan 120 kg ağırlığa kadar tüm kapılarda kullanılabilmelidir.</w:t>
            </w:r>
          </w:p>
          <w:p w:rsidR="009614B1" w:rsidRDefault="008E209A">
            <w:pPr>
              <w:pStyle w:val="Gvdemetni0"/>
              <w:framePr w:w="10243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98"/>
              </w:tabs>
              <w:jc w:val="both"/>
            </w:pPr>
            <w:r>
              <w:rPr>
                <w:rStyle w:val="Gvdemetni1"/>
              </w:rPr>
              <w:t>Güç ayarlı tip olmalıdır.</w:t>
            </w:r>
          </w:p>
          <w:p w:rsidR="009614B1" w:rsidRDefault="008E209A">
            <w:pPr>
              <w:pStyle w:val="Gvdemetni0"/>
              <w:framePr w:w="10243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88"/>
              </w:tabs>
              <w:jc w:val="both"/>
            </w:pPr>
            <w:r>
              <w:rPr>
                <w:rStyle w:val="Gvdemetni1"/>
              </w:rPr>
              <w:t xml:space="preserve">En az 2 yıl garantisi </w:t>
            </w:r>
            <w:r>
              <w:rPr>
                <w:rStyle w:val="Gvdemetni1"/>
              </w:rPr>
              <w:t>olmalıdır.</w:t>
            </w:r>
          </w:p>
          <w:p w:rsidR="009614B1" w:rsidRDefault="008E209A">
            <w:pPr>
              <w:pStyle w:val="Gvdemetni0"/>
              <w:framePr w:w="10243" w:wrap="notBeside" w:vAnchor="text" w:hAnchor="text" w:xAlign="center" w:y="1"/>
              <w:numPr>
                <w:ilvl w:val="0"/>
                <w:numId w:val="1"/>
              </w:numPr>
              <w:shd w:val="clear" w:color="auto" w:fill="auto"/>
              <w:tabs>
                <w:tab w:val="left" w:pos="293"/>
              </w:tabs>
              <w:jc w:val="both"/>
            </w:pPr>
            <w:r>
              <w:rPr>
                <w:rStyle w:val="Gvdemetni1"/>
              </w:rPr>
              <w:t>Cihaz yerinde montaj yapılarak teslim edilecektir.</w:t>
            </w:r>
          </w:p>
        </w:tc>
      </w:tr>
      <w:tr w:rsidR="009614B1">
        <w:tblPrEx>
          <w:tblCellMar>
            <w:top w:w="0" w:type="dxa"/>
            <w:bottom w:w="0" w:type="dxa"/>
          </w:tblCellMar>
        </w:tblPrEx>
        <w:trPr>
          <w:trHeight w:hRule="exact" w:val="1589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210" w:lineRule="exact"/>
              <w:ind w:left="100"/>
              <w:jc w:val="left"/>
            </w:pPr>
            <w:r>
              <w:rPr>
                <w:rStyle w:val="Gvdemetni1"/>
              </w:rPr>
              <w:t>3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ŞİFRELİ KART OKUYUCU ÜNİTESİ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ADET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70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264" w:lineRule="exact"/>
              <w:ind w:left="80"/>
              <w:jc w:val="left"/>
            </w:pPr>
            <w:r>
              <w:rPr>
                <w:rStyle w:val="GvdemetniCalibri9ptKaln"/>
              </w:rPr>
              <w:t xml:space="preserve">Makron marka otomatik kapılarda kullanıma uygun olmalıdır. 2000 adet kullanıcıya kadar pın olmalıdır, kart okuma özelliğine sahip olmalıdır, darbe ve dış </w:t>
            </w:r>
            <w:r>
              <w:rPr>
                <w:rStyle w:val="GvdemetniCalibri9ptKaln"/>
              </w:rPr>
              <w:t>etkenlere karşı dayanıklı ünite ve ünitenin kullanılacağı kapının zorlamaya karşı elktromekanik olarak kilitli kalmasının sağlayacak sistem takılacaktır.</w:t>
            </w:r>
          </w:p>
        </w:tc>
      </w:tr>
      <w:tr w:rsidR="009614B1">
        <w:tblPrEx>
          <w:tblCellMar>
            <w:top w:w="0" w:type="dxa"/>
            <w:bottom w:w="0" w:type="dxa"/>
          </w:tblCellMar>
        </w:tblPrEx>
        <w:trPr>
          <w:trHeight w:hRule="exact" w:val="317"/>
          <w:jc w:val="center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100"/>
              <w:jc w:val="left"/>
            </w:pPr>
            <w:r>
              <w:rPr>
                <w:rStyle w:val="GvdemetniCalibri9ptKaln"/>
              </w:rPr>
              <w:t>4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PROXİMİTY KART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ADET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rPr>
                <w:rStyle w:val="GvdemetniCalibri9ptKaln"/>
              </w:rPr>
              <w:t>800</w:t>
            </w:r>
          </w:p>
        </w:tc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14B1" w:rsidRDefault="008E209A">
            <w:pPr>
              <w:pStyle w:val="Gvdemetni0"/>
              <w:framePr w:w="10243" w:wrap="notBeside" w:vAnchor="text" w:hAnchor="text" w:xAlign="center" w:y="1"/>
              <w:shd w:val="clear" w:color="auto" w:fill="auto"/>
              <w:spacing w:line="180" w:lineRule="exact"/>
              <w:jc w:val="both"/>
            </w:pPr>
            <w:r>
              <w:rPr>
                <w:rStyle w:val="GvdemetniCalibri9ptKaln"/>
              </w:rPr>
              <w:t>Baskısız olmalıdır.</w:t>
            </w:r>
          </w:p>
        </w:tc>
      </w:tr>
    </w:tbl>
    <w:p w:rsidR="009614B1" w:rsidRDefault="009614B1">
      <w:pPr>
        <w:rPr>
          <w:sz w:val="2"/>
          <w:szCs w:val="2"/>
        </w:rPr>
      </w:pPr>
    </w:p>
    <w:p w:rsidR="009614B1" w:rsidRDefault="008E209A">
      <w:pPr>
        <w:pStyle w:val="Gvdemetni0"/>
        <w:numPr>
          <w:ilvl w:val="0"/>
          <w:numId w:val="2"/>
        </w:numPr>
        <w:shd w:val="clear" w:color="auto" w:fill="auto"/>
        <w:spacing w:before="493"/>
        <w:ind w:left="400"/>
        <w:jc w:val="left"/>
      </w:pPr>
      <w:r>
        <w:t xml:space="preserve"> Montaj ve işçilik yüklenici firmaya aittir.</w:t>
      </w:r>
    </w:p>
    <w:p w:rsidR="009614B1" w:rsidRDefault="008E209A">
      <w:pPr>
        <w:pStyle w:val="Gvdemetni0"/>
        <w:numPr>
          <w:ilvl w:val="0"/>
          <w:numId w:val="2"/>
        </w:numPr>
        <w:shd w:val="clear" w:color="auto" w:fill="auto"/>
        <w:ind w:left="400"/>
        <w:jc w:val="left"/>
      </w:pPr>
      <w:r>
        <w:t xml:space="preserve"> Tüm iş sağlığı ve güvenliği önlemlerini almak yükleniciye aittir.</w:t>
      </w:r>
    </w:p>
    <w:p w:rsidR="009614B1" w:rsidRDefault="008E209A">
      <w:pPr>
        <w:pStyle w:val="Gvdemetni0"/>
        <w:numPr>
          <w:ilvl w:val="0"/>
          <w:numId w:val="2"/>
        </w:numPr>
        <w:shd w:val="clear" w:color="auto" w:fill="auto"/>
        <w:ind w:left="400"/>
        <w:jc w:val="left"/>
      </w:pPr>
      <w:r>
        <w:t xml:space="preserve"> Sistem çalışır vaziyette teslim edilecektir.</w:t>
      </w:r>
    </w:p>
    <w:p w:rsidR="009614B1" w:rsidRDefault="008E209A">
      <w:pPr>
        <w:pStyle w:val="Gvdemetni0"/>
        <w:numPr>
          <w:ilvl w:val="0"/>
          <w:numId w:val="2"/>
        </w:numPr>
        <w:shd w:val="clear" w:color="auto" w:fill="auto"/>
        <w:ind w:left="400"/>
        <w:jc w:val="left"/>
      </w:pPr>
      <w:r>
        <w:t xml:space="preserve"> Tüm tamir ve tadilat giderleri yükleniciye aittir.</w:t>
      </w:r>
    </w:p>
    <w:sectPr w:rsidR="009614B1">
      <w:type w:val="continuous"/>
      <w:pgSz w:w="11909" w:h="16838"/>
      <w:pgMar w:top="3960" w:right="782" w:bottom="3960" w:left="78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09A" w:rsidRDefault="008E209A">
      <w:r>
        <w:separator/>
      </w:r>
    </w:p>
  </w:endnote>
  <w:endnote w:type="continuationSeparator" w:id="0">
    <w:p w:rsidR="008E209A" w:rsidRDefault="008E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09A" w:rsidRDefault="008E209A"/>
  </w:footnote>
  <w:footnote w:type="continuationSeparator" w:id="0">
    <w:p w:rsidR="008E209A" w:rsidRDefault="008E209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3C34"/>
    <w:multiLevelType w:val="multilevel"/>
    <w:tmpl w:val="92FE9B46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0F30BB"/>
    <w:multiLevelType w:val="multilevel"/>
    <w:tmpl w:val="4874D7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B1"/>
    <w:rsid w:val="00423E61"/>
    <w:rsid w:val="008E209A"/>
    <w:rsid w:val="009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7CC80C-A8E4-4A63-B821-6AB42F9C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Exact">
    <w:name w:val="Gövde metni (2) Exact"/>
    <w:basedOn w:val="VarsaylanParagrafYazTipi"/>
    <w:link w:val="Gvdemetni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30"/>
      <w:szCs w:val="130"/>
      <w:u w:val="none"/>
    </w:rPr>
  </w:style>
  <w:style w:type="character" w:customStyle="1" w:styleId="Gvdemetni3Exact">
    <w:name w:val="Gövde metni (3) Exact"/>
    <w:basedOn w:val="VarsaylanParagrafYazTipi"/>
    <w:link w:val="Gvdemetni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11"/>
      <w:szCs w:val="11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GvdemetniCalibri9ptKaln">
    <w:name w:val="Gövde metni + Calibri;9 pt;Kalın"/>
    <w:basedOn w:val="Gvdemetni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tr-TR" w:eastAsia="tr-TR" w:bidi="tr-TR"/>
    </w:rPr>
  </w:style>
  <w:style w:type="character" w:customStyle="1" w:styleId="Gvdemetni1">
    <w:name w:val="Gövde metni"/>
    <w:basedOn w:val="Gvdemetni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tr-TR" w:eastAsia="tr-TR" w:bidi="tr-TR"/>
    </w:rPr>
  </w:style>
  <w:style w:type="paragraph" w:customStyle="1" w:styleId="Gvdemetni2">
    <w:name w:val="Gövde metni (2)"/>
    <w:basedOn w:val="Normal"/>
    <w:link w:val="Gvdemetni2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i/>
      <w:iCs/>
      <w:spacing w:val="-30"/>
      <w:sz w:val="130"/>
      <w:szCs w:val="130"/>
    </w:rPr>
  </w:style>
  <w:style w:type="paragraph" w:customStyle="1" w:styleId="Gvdemetni3">
    <w:name w:val="Gövde metni (3)"/>
    <w:basedOn w:val="Normal"/>
    <w:link w:val="Gvdemetni3Exact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pacing w:val="1"/>
      <w:sz w:val="11"/>
      <w:szCs w:val="11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line="269" w:lineRule="exact"/>
      <w:jc w:val="right"/>
    </w:pPr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2016-02-23T09:08:00Z</dcterms:created>
  <dcterms:modified xsi:type="dcterms:W3CDTF">2016-02-23T09:09:00Z</dcterms:modified>
</cp:coreProperties>
</file>