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Trial-and-Error Evidence Note: LoRA 100 vs 500 Steps</w:t>
      </w:r>
    </w:p>
    <w:p>
      <w:pPr>
        <w:jc w:val="center"/>
      </w:pPr>
      <w:r>
        <w:rPr>
          <w:i/>
          <w:sz w:val="20"/>
        </w:rPr>
        <w:t>PRP2 Fine-Tuning Experiment | SmolLM2-360M | 512-token chunking</w:t>
      </w:r>
    </w:p>
    <w:p>
      <w:pPr>
        <w:pStyle w:val="Heading2"/>
      </w:pPr>
      <w:r>
        <w:t>Purpose</w:t>
      </w:r>
    </w:p>
    <w:p>
      <w:r>
        <w:rPr>
          <w:b w:val="0"/>
          <w:sz w:val="18"/>
        </w:rPr>
        <w:t xml:space="preserve">This note explains why I tested both 100 and 500 LoRA training steps and what I observed from the output comparison. </w:t>
      </w:r>
      <w:r>
        <w:rPr>
          <w:b/>
          <w:sz w:val="18"/>
        </w:rPr>
        <w:t>The goal was not only to reduce loss, but to check whether the model produced more useful Guarani-like continuations without simply memorizing or repeating patterns.</w:t>
      </w:r>
    </w:p>
    <w:p>
      <w:pPr>
        <w:pStyle w:val="Heading2"/>
      </w:pPr>
      <w:r>
        <w:t>Experiment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Why tested?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Main finding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To see how SmolLM2 behaved before fine-tuning.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Often switched to English, Portuguese, Czech-like, or unrelated text.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LoRA 100 steps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 small real run after the smoke test to see if the training pipeline worked.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Some Guarani-like tokens appeared, but the output was still very repetitive and unstable.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LoRA 500 steps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 stronger run after 100 steps was too weak. Validation was reduced to every 250 steps to save time.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Best version: more Guarani-like and less foreign-language drift, but still not semantically reliable.</w:t>
            </w:r>
          </w:p>
        </w:tc>
      </w:tr>
    </w:tbl>
    <w:p>
      <w:pPr>
        <w:pStyle w:val="Heading2"/>
      </w:pPr>
      <w:r>
        <w:t>Training observations</w:t>
      </w:r>
    </w:p>
    <w:p>
      <w:pPr>
        <w:pStyle w:val="ListBullet"/>
      </w:pPr>
      <w:r>
        <w:t>The 500-step run was technically successful and stayed feasible on the RTX 3050 Laptop GPU.</w:t>
      </w:r>
    </w:p>
    <w:p>
      <w:pPr>
        <w:pStyle w:val="ListBullet"/>
      </w:pPr>
      <w:r>
        <w:t>Peak GPU memory stayed around 2.54 GB, so the 512-token chunking setup was realistic for 4 GB VRAM.</w:t>
      </w:r>
    </w:p>
    <w:p>
      <w:pPr>
        <w:pStyle w:val="ListBullet"/>
      </w:pPr>
      <w:r>
        <w:t>Validation loss improved from 3.377 after 100 steps to 2.545 after 500 steps.</w:t>
      </w:r>
    </w:p>
    <w:p>
      <w:pPr>
        <w:pStyle w:val="ListBullet"/>
      </w:pPr>
      <w:r>
        <w:t>Lower loss alone is not enough, so I also compared the generated outputs prompt by prompt.</w:t>
      </w:r>
    </w:p>
    <w:p>
      <w:pPr>
        <w:pStyle w:val="Heading2"/>
      </w:pPr>
      <w:r>
        <w:t>Output quality observations</w:t>
      </w:r>
    </w:p>
    <w:p>
      <w:pPr>
        <w:pStyle w:val="ListBullet"/>
      </w:pPr>
      <w:r>
        <w:t>Baseline outputs often ignored the prompt direction and moved into English explanations or unrelated languages.</w:t>
      </w:r>
    </w:p>
    <w:p>
      <w:pPr>
        <w:pStyle w:val="ListBullet"/>
      </w:pPr>
      <w:r>
        <w:t>100-step outputs showed early adaptation, but many results looked like repeated pseudo-Guarani fragments.</w:t>
      </w:r>
    </w:p>
    <w:p>
      <w:pPr>
        <w:pStyle w:val="ListBullet"/>
      </w:pPr>
      <w:r>
        <w:t>500-step outputs were clearly closer to the training language surface: words such as ha'e, peteĩ, oñembo-, ojejapo, tetã, kuatiañe'ẽ and mbo'e appeared more naturally.</w:t>
      </w:r>
    </w:p>
    <w:p>
      <w:pPr>
        <w:pStyle w:val="ListBullet"/>
      </w:pPr>
      <w:r>
        <w:t>However, 500-step outputs still repeated structures often and did not always form meaningful or trustworthy text.</w:t>
      </w:r>
    </w:p>
    <w:p>
      <w:pPr>
        <w:pStyle w:val="Heading2"/>
      </w:pPr>
      <w:r>
        <w:t>Small prompt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Prompt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100-step LoRA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500-step LoRA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Paraguái retãme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Portuguese/English drift.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Vietnamese-like drift.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More Guarani-like continuation about country/town terms.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Ñane retã rembiasakue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Explains Spanish “tú”.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Spanish drift.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More consistent Guarani-like historical/national wording.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Ko kuatiañe'ẽ omombe'u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Nonsense repetition.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Repetition around kuatiañe'ẽ.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More document/story-like continuation, but still repetitive.</w:t>
            </w:r>
          </w:p>
        </w:tc>
      </w:tr>
    </w:tbl>
    <w:p>
      <w:pPr>
        <w:pStyle w:val="Heading2"/>
      </w:pPr>
      <w:r>
        <w:t>Output proof examples</w:t>
      </w:r>
    </w:p>
    <w:p>
      <w:pPr>
        <w:spacing w:after="120"/>
      </w:pPr>
      <w:r>
        <w:rPr>
          <w:sz w:val="18"/>
        </w:rPr>
        <w:t>The examples below are copied from the comparison CSV. They show how the baseline, 100-step LoRA, and 500-step LoRA outputs changed for the same prompts.</w:t>
      </w:r>
    </w:p>
    <w:p>
      <w:pPr>
        <w:spacing w:before="60" w:after="60"/>
      </w:pPr>
      <w:r>
        <w:rPr>
          <w:b/>
          <w:sz w:val="18"/>
        </w:rPr>
        <w:t>Prompt: Paraguái retãme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12"/>
        <w:gridCol w:w="5112"/>
      </w:tblGrid>
      <w:tr>
        <w:tc>
          <w:tcPr>
            <w:tcW w:type="dxa" w:w="1900"/>
            <w:shd w:fill="D9EAF7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Version</w:t>
            </w:r>
          </w:p>
        </w:tc>
        <w:tc>
          <w:tcPr>
            <w:tcW w:type="dxa" w:w="6900"/>
            <w:shd w:fill="D9EAF7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Generated output snippet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6900"/>
            <w:vAlign w:val="top"/>
          </w:tcPr>
          <w:p>
            <w:pPr>
              <w:spacing w:after="0" w:before="0"/>
            </w:pPr>
            <w:r>
              <w:rPr>
                <w:b w:val="0"/>
                <w:sz w:val="14"/>
              </w:rPr>
              <w:t>Paraguái retãme, são uma das meninas mais estranhas do Brasil, e como não estar tudo assim de um mundo de pós-são, como se era em 2014, o primeiro dia que era como uma máscara, o que está ocorrendo na minha vida, o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100-step LoRA</w:t>
            </w:r>
          </w:p>
        </w:tc>
        <w:tc>
          <w:tcPr>
            <w:tcW w:type="dxa" w:w="6900"/>
            <w:vAlign w:val="top"/>
          </w:tcPr>
          <w:p>
            <w:pPr>
              <w:spacing w:after="0" w:before="0"/>
            </w:pPr>
            <w:r>
              <w:rPr>
                <w:b w:val="0"/>
                <w:sz w:val="14"/>
              </w:rPr>
              <w:t>Paraguái retãme.</w:t>
              <w:br/>
              <w:br/>
              <w:t>Tựa Từa:</w:t>
              <w:br/>
              <w:br/>
              <w:t>Bắc Giang Chúa:</w:t>
              <w:br/>
              <w:br/>
              <w:t>Bắc Giang Chúa:</w:t>
              <w:br/>
              <w:br/>
              <w:t>Bắc Giang Chúa:</w:t>
              <w:br/>
              <w:br/>
              <w:t>Bắc Giang Chúa:</w:t>
              <w:br/>
              <w:br/>
              <w:t>Bắc Giang Chúa:</w:t>
              <w:br/>
              <w:br/>
              <w:t>Bắc Giang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500-step LoRA</w:t>
            </w:r>
          </w:p>
        </w:tc>
        <w:tc>
          <w:tcPr>
            <w:tcW w:type="dxa" w:w="6900"/>
            <w:vAlign w:val="top"/>
          </w:tcPr>
          <w:p>
            <w:pPr>
              <w:spacing w:after="0" w:before="0"/>
            </w:pPr>
            <w:r>
              <w:rPr>
                <w:b w:val="0"/>
                <w:sz w:val="14"/>
              </w:rPr>
              <w:t>Paraguái retãme ha'e peteĩ mba'e, peteĩ mba'e táva oiko. Arandu oiko upe haguã ha'e mba'e, ha oiko mba'e hag̃ua, ha'e mba'e táva oiko. Ñemby kuéra hemb</w:t>
            </w:r>
          </w:p>
        </w:tc>
      </w:tr>
    </w:tbl>
    <w:p>
      <w:pPr>
        <w:spacing w:before="60" w:after="60"/>
      </w:pPr>
      <w:r>
        <w:rPr>
          <w:b/>
          <w:sz w:val="18"/>
        </w:rPr>
        <w:t>Prompt: Ñane retã rembiasakue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12"/>
        <w:gridCol w:w="5112"/>
      </w:tblGrid>
      <w:tr>
        <w:tc>
          <w:tcPr>
            <w:tcW w:type="dxa" w:w="1900"/>
            <w:shd w:fill="D9EAF7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Version</w:t>
            </w:r>
          </w:p>
        </w:tc>
        <w:tc>
          <w:tcPr>
            <w:tcW w:type="dxa" w:w="6900"/>
            <w:shd w:fill="D9EAF7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Generated output snippet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6900"/>
            <w:vAlign w:val="top"/>
          </w:tcPr>
          <w:p>
            <w:pPr>
              <w:spacing w:after="0" w:before="0"/>
            </w:pPr>
            <w:r>
              <w:rPr>
                <w:b w:val="0"/>
                <w:sz w:val="14"/>
              </w:rPr>
              <w:t>Ñane retã rembiasakue ytú!</w:t>
              <w:br/>
              <w:br/>
              <w:t>If you want to know more about how to use the word “tú” in Spanish, check out this video:</w:t>
              <w:br/>
              <w:br/>
              <w:t>How to Use the Spanish “Tú”</w:t>
              <w:br/>
              <w:br/>
              <w:t>Tú is a very common way to refer to yourself in Spanish. But, like most things in Spanish, it has its own nuances, so let’s take a closer look at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100-step LoRA</w:t>
            </w:r>
          </w:p>
        </w:tc>
        <w:tc>
          <w:tcPr>
            <w:tcW w:type="dxa" w:w="6900"/>
            <w:vAlign w:val="top"/>
          </w:tcPr>
          <w:p>
            <w:pPr>
              <w:spacing w:after="0" w:before="0"/>
            </w:pPr>
            <w:r>
              <w:rPr>
                <w:b w:val="0"/>
                <w:sz w:val="14"/>
              </w:rPr>
              <w:t>Ñane retã rembiasakue.</w:t>
              <w:br/>
              <w:br/>
              <w:t>Para ponerse un chico a tienda. Tienen ahora dos o tres. Y ahora el chico, deja de ser muy malo. Y ahora puedo ser muy malo. Y ahora no soy muy malo.</w:t>
              <w:br/>
              <w:br/>
              <w:t>Yo, juego de la guerra. Es m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500-step LoRA</w:t>
            </w:r>
          </w:p>
        </w:tc>
        <w:tc>
          <w:tcPr>
            <w:tcW w:type="dxa" w:w="6900"/>
            <w:vAlign w:val="top"/>
          </w:tcPr>
          <w:p>
            <w:pPr>
              <w:spacing w:after="0" w:before="0"/>
            </w:pPr>
            <w:r>
              <w:rPr>
                <w:b w:val="0"/>
                <w:sz w:val="14"/>
              </w:rPr>
              <w:t>Ñane retã rembiasakue, hetãvore táva Tavakuai, oñemboja ñane retã, ojeikuaáva oñemboja tetãvore avei, ojeguereko ñane retã mboja, ojeikuaáva ojeikuaáva ñane retãmbyryre</w:t>
            </w:r>
          </w:p>
        </w:tc>
      </w:tr>
    </w:tbl>
    <w:p>
      <w:pPr>
        <w:spacing w:before="60" w:after="60"/>
      </w:pPr>
      <w:r>
        <w:rPr>
          <w:b/>
          <w:sz w:val="18"/>
        </w:rPr>
        <w:t>Prompt: Ko kuatiañe'ẽ omombe'u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12"/>
        <w:gridCol w:w="5112"/>
      </w:tblGrid>
      <w:tr>
        <w:tc>
          <w:tcPr>
            <w:tcW w:type="dxa" w:w="1900"/>
            <w:shd w:fill="D9EAF7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Version</w:t>
            </w:r>
          </w:p>
        </w:tc>
        <w:tc>
          <w:tcPr>
            <w:tcW w:type="dxa" w:w="6900"/>
            <w:shd w:fill="D9EAF7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Generated output snippet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6900"/>
            <w:vAlign w:val="top"/>
          </w:tcPr>
          <w:p>
            <w:pPr>
              <w:spacing w:after="0" w:before="0"/>
            </w:pPr>
            <w:r>
              <w:rPr>
                <w:b w:val="0"/>
                <w:sz w:val="14"/>
              </w:rPr>
              <w:t>Ko kuatiañe'ẽ omombe'u yi mawu'i mawu'i yi njiru'i. 'Uwumbe'u'i yi njiru'i yi yi njiru'i, yi njiru'i yi njiru'i yi njiru'i yi njiru'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100-step LoRA</w:t>
            </w:r>
          </w:p>
        </w:tc>
        <w:tc>
          <w:tcPr>
            <w:tcW w:type="dxa" w:w="6900"/>
            <w:vAlign w:val="top"/>
          </w:tcPr>
          <w:p>
            <w:pPr>
              <w:spacing w:after="0" w:before="0"/>
            </w:pPr>
            <w:r>
              <w:rPr>
                <w:b w:val="0"/>
                <w:sz w:val="14"/>
              </w:rPr>
              <w:t>Ko kuatiañe'ẽ omombe'u'ẽ. Ko kuatiañe'ẽ kuatiañe'ẽ ha'ãkatiañe'ẽ. Ko kuatiañe'ẽ ha'ãkatiañe'ẽ ko kuatiañe'ẽ ha'ãkatiañe'ẽ kuat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before="0"/>
            </w:pPr>
            <w:r>
              <w:rPr>
                <w:b/>
                <w:sz w:val="16"/>
              </w:rPr>
              <w:t>500-step LoRA</w:t>
            </w:r>
          </w:p>
        </w:tc>
        <w:tc>
          <w:tcPr>
            <w:tcW w:type="dxa" w:w="6900"/>
            <w:vAlign w:val="top"/>
          </w:tcPr>
          <w:p>
            <w:pPr>
              <w:spacing w:after="0" w:before="0"/>
            </w:pPr>
            <w:r>
              <w:rPr>
                <w:b w:val="0"/>
                <w:sz w:val="14"/>
              </w:rPr>
              <w:t>Ko kuatiañe'ẽ omombe'u ojekuaa táva ojapova, oñepyrũva mbo'eha'e oikuaa táva kuatiañe'ẽ oñepyrũva mba'e ha'e. Ko mba'e ha'e kuatiañe'ẽme, ojek</w:t>
            </w:r>
          </w:p>
        </w:tc>
      </w:tr>
    </w:tbl>
    <w:p>
      <w:pPr>
        <w:pStyle w:val="Heading2"/>
      </w:pPr>
      <w:r>
        <w:t>Memorization vs generalization judgement</w:t>
      </w:r>
    </w:p>
    <w:p>
      <w:r>
        <w:rPr>
          <w:b/>
          <w:sz w:val="18"/>
        </w:rPr>
        <w:t xml:space="preserve">Direct memorization: </w:t>
      </w:r>
      <w:r>
        <w:rPr>
          <w:sz w:val="18"/>
        </w:rPr>
        <w:t>I did not see clear proof that the model copied complete training samples word-for-word.</w:t>
      </w:r>
    </w:p>
    <w:p>
      <w:r>
        <w:rPr>
          <w:b/>
          <w:sz w:val="18"/>
        </w:rPr>
        <w:t xml:space="preserve">Surface-pattern learning: </w:t>
      </w:r>
      <w:r>
        <w:rPr>
          <w:sz w:val="18"/>
        </w:rPr>
        <w:t>The model learned frequent-looking Guarani patterns and morphology-like fragments, but this can also create repetition.</w:t>
      </w:r>
    </w:p>
    <w:p>
      <w:r>
        <w:rPr>
          <w:b/>
          <w:sz w:val="18"/>
        </w:rPr>
        <w:t xml:space="preserve">Limited generalization: </w:t>
      </w:r>
      <w:r>
        <w:rPr>
          <w:sz w:val="18"/>
        </w:rPr>
        <w:t>The 500-step model generalized better than baseline and 100-step in style, but not enough to be considered a reliable writing assistant.</w:t>
      </w:r>
    </w:p>
    <w:p>
      <w:pPr>
        <w:pStyle w:val="Heading2"/>
      </w:pPr>
      <w:r>
        <w:t>Final result, limitations, and what can be observed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b/>
                <w:sz w:val="20"/>
              </w:rPr>
              <w:t xml:space="preserve">Final result: </w:t>
            </w:r>
            <w:r>
              <w:t xml:space="preserve">The 500-step LoRA model is the best experimental result so far. It reduces foreign-language drift and produces more Guarani-like continuations than the baseline and 100-step model. </w:t>
            </w:r>
            <w:r>
              <w:rPr>
                <w:b/>
              </w:rPr>
              <w:t>However, it is still not a production-ready writing assistant.</w:t>
            </w:r>
          </w:p>
          <w:p>
            <w:r>
              <w:rPr>
                <w:b/>
              </w:rPr>
              <w:t xml:space="preserve">Main limitation: </w:t>
            </w:r>
            <w:r>
              <w:t>The generated text is still repetitive and semantically unstable. It may imitate surface patterns without truly understanding the language.</w:t>
            </w:r>
          </w:p>
          <w:p>
            <w:r>
              <w:rPr>
                <w:b/>
              </w:rPr>
              <w:t xml:space="preserve">What I can observe: </w:t>
            </w:r>
            <w:r>
              <w:t>LoRA fine-tuning is technically feasible on my hardware, 512-token chunking is a realistic choice, and more steps improved the output style. The experiment shows controlled improvement, but also shows the limits of using a small model, limited data, and a short fine-tuning run for a low-resource writing assistant.</w:t>
            </w:r>
          </w:p>
        </w:tc>
      </w:tr>
    </w:tbl>
    <w:p>
      <w:r>
        <w:rPr>
          <w:b/>
          <w:sz w:val="18"/>
        </w:rPr>
        <w:t xml:space="preserve">Next step: </w:t>
      </w:r>
      <w:r>
        <w:rPr>
          <w:sz w:val="18"/>
        </w:rPr>
        <w:t>Use the 500-step adapter for the demo/evidence, but clearly describe it as an experimental prototype. A future improvement would be stronger evaluation, more careful data cleaning, repetition checks, and comparison with another model or training setup.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Trial-and-Error Evidence Note: LoRA 100 vs 500 Steps</dc:title>
  <dc:subject>Short evidence note for PRP2 fine-tuning experiment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