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666666"/>
          <w:sz w:val="20"/>
          <w:szCs w:val="20"/>
        </w:rPr>
        <w:t xml:space="preserve">Professional Research Project 2 | Design Evidence</w:t>
      </w:r>
    </w:p>
    <w:p>
      <w:pPr>
        <w:spacing w:after="60" w:before="0"/>
      </w:pPr>
      <w:r>
        <w:rPr>
          <w:rFonts w:ascii="Arial" w:cs="Arial" w:eastAsia="Arial" w:hAnsi="Arial"/>
          <w:b/>
          <w:bCs/>
          <w:sz w:val="32"/>
          <w:szCs w:val="32"/>
        </w:rPr>
        <w:t xml:space="preserve">Design – Fine-Tuning Data Pipeline</w:t>
      </w:r>
    </w:p>
    <w:p>
      <w:pPr>
        <w:spacing w:after="240" w:before="0"/>
      </w:pPr>
      <w:r>
        <w:rPr>
          <w:rFonts w:ascii="Arial" w:cs="Arial" w:eastAsia="Arial" w:hAnsi="Arial"/>
          <w:i/>
          <w:iCs/>
          <w:color w:val="666666"/>
          <w:sz w:val="20"/>
          <w:szCs w:val="20"/>
        </w:rPr>
        <w:t xml:space="preserve">Professional Research Project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66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Fine-Tuning for Guarani Mbya</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Evidence</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Learning Outcome</w:t>
            </w:r>
          </w:p>
        </w:tc>
        <w:tc>
          <w:tcPr>
            <w:tcW w:type="dxa" w:w="66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LO3 – Designing</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Related artifacts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Cleaning &amp; Splitting notebook, DL2 – Choosing the Training Dataset, Dataset Selection Flow</w:t>
            </w:r>
          </w:p>
        </w:tc>
      </w:tr>
    </w:tbl>
    <w:p>
      <w:pPr>
        <w:spacing w:after="240" w:before="0"/>
      </w:pPr>
    </w:p>
    <w:p>
      <w:pPr>
        <w:pStyle w:val="Heading1"/>
        <w:spacing w:after="120" w:before="300"/>
      </w:pPr>
      <w:r>
        <w:rPr>
          <w:rFonts w:ascii="Arial" w:cs="Arial" w:eastAsia="Arial" w:hAnsi="Arial"/>
          <w:b/>
          <w:bCs/>
          <w:color w:val="2E75B6"/>
          <w:sz w:val="28"/>
          <w:szCs w:val="28"/>
        </w:rPr>
        <w:t xml:space="preserve">1. Purpose of this document</w:t>
      </w:r>
    </w:p>
    <w:p>
      <w:pPr>
        <w:spacing w:after="80" w:before="60"/>
      </w:pPr>
      <w:r>
        <w:rPr>
          <w:rFonts w:ascii="Arial" w:cs="Arial" w:eastAsia="Arial" w:hAnsi="Arial"/>
          <w:sz w:val="20"/>
          <w:szCs w:val="20"/>
        </w:rPr>
        <w:t xml:space="preserve">This document explains the design behind my data preparation pipeline for the low-resource fine-tuning experiment. I created this pipeline because the fine-tuning result depends heavily on how the dataset is prepared. If the dataset contains very short, empty, duplicate, or noisy examples, the model may learn weak patterns or memorize poor-quality text. Therefore, I first designed a clear data flow before moving further into model training.</w:t>
      </w:r>
    </w:p>
    <w:p>
      <w:pPr>
        <w:pStyle w:val="Heading1"/>
        <w:spacing w:after="120" w:before="300"/>
      </w:pPr>
      <w:r>
        <w:rPr>
          <w:rFonts w:ascii="Arial" w:cs="Arial" w:eastAsia="Arial" w:hAnsi="Arial"/>
          <w:b/>
          <w:bCs/>
          <w:color w:val="2E75B6"/>
          <w:sz w:val="28"/>
          <w:szCs w:val="28"/>
        </w:rPr>
        <w:t xml:space="preserve">2. Pipeline Design</w:t>
      </w:r>
    </w:p>
    <w:p>
      <w:pPr>
        <w:spacing w:after="120" w:before="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CCCCC" w:sz="1"/>
              <w:left w:val="single" w:color="CCCCCC" w:sz="1"/>
              <w:bottom w:val="single" w:color="CCCCCC" w:sz="1"/>
              <w:right w:val="single" w:color="CCCCCC" w:sz="1"/>
            </w:tcBorders>
            <w:shd w:fill="E3F2FD" w:val="clear"/>
            <w:tcMar>
              <w:top w:type="dxa" w:w="100"/>
              <w:left w:type="dxa" w:w="200"/>
              <w:bottom w:type="dxa" w:w="100"/>
              <w:right w:type="dxa" w:w="200"/>
            </w:tcMar>
          </w:tcPr>
          <w:p>
            <w:pPr>
              <w:jc w:val="center"/>
            </w:pPr>
            <w:r>
              <w:rPr>
                <w:rFonts w:ascii="Arial" w:cs="Arial" w:eastAsia="Arial" w:hAnsi="Arial"/>
                <w:b/>
                <w:bCs/>
                <w:sz w:val="20"/>
                <w:szCs w:val="20"/>
              </w:rPr>
              <w:t xml:space="preserve">Raw Guarani Wikipedia dataset</w:t>
            </w:r>
          </w:p>
        </w:tc>
      </w:tr>
    </w:tbl>
    <w:p>
      <w:pPr>
        <w:spacing w:after="4" w:before="4"/>
        <w:jc w:val="center"/>
      </w:pPr>
      <w:r>
        <w:rPr>
          <w:rFonts w:ascii="Arial" w:cs="Arial" w:eastAsia="Arial" w:hAnsi="Arial"/>
          <w:b/>
          <w:bCs/>
          <w:color w:val="2E75B6"/>
          <w:sz w:val="24"/>
          <w:szCs w:val="24"/>
        </w:rPr>
        <w:t xml:space="preserv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jc w:val="center"/>
            </w:pPr>
            <w:r>
              <w:rPr>
                <w:rFonts w:ascii="Arial" w:cs="Arial" w:eastAsia="Arial" w:hAnsi="Arial"/>
                <w:b/>
                <w:bCs/>
                <w:sz w:val="20"/>
                <w:szCs w:val="20"/>
              </w:rPr>
              <w:t xml:space="preserve">Load dataset (5,519 rows)</w:t>
            </w:r>
          </w:p>
        </w:tc>
      </w:tr>
    </w:tbl>
    <w:p>
      <w:pPr>
        <w:spacing w:after="4" w:before="4"/>
        <w:jc w:val="center"/>
      </w:pPr>
      <w:r>
        <w:rPr>
          <w:rFonts w:ascii="Arial" w:cs="Arial" w:eastAsia="Arial" w:hAnsi="Arial"/>
          <w:b/>
          <w:bCs/>
          <w:color w:val="2E75B6"/>
          <w:sz w:val="24"/>
          <w:szCs w:val="24"/>
        </w:rPr>
        <w:t xml:space="preserv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jc w:val="center"/>
            </w:pPr>
            <w:r>
              <w:rPr>
                <w:rFonts w:ascii="Arial" w:cs="Arial" w:eastAsia="Arial" w:hAnsi="Arial"/>
                <w:b/>
                <w:bCs/>
                <w:sz w:val="20"/>
                <w:szCs w:val="20"/>
              </w:rPr>
              <w:t xml:space="preserve">Inspect structure and sample rows</w:t>
            </w:r>
          </w:p>
        </w:tc>
      </w:tr>
    </w:tbl>
    <w:p>
      <w:pPr>
        <w:spacing w:after="4" w:before="4"/>
        <w:jc w:val="center"/>
      </w:pPr>
      <w:r>
        <w:rPr>
          <w:rFonts w:ascii="Arial" w:cs="Arial" w:eastAsia="Arial" w:hAnsi="Arial"/>
          <w:b/>
          <w:bCs/>
          <w:color w:val="2E75B6"/>
          <w:sz w:val="24"/>
          <w:szCs w:val="24"/>
        </w:rPr>
        <w:t xml:space="preserv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jc w:val="center"/>
            </w:pPr>
            <w:r>
              <w:rPr>
                <w:rFonts w:ascii="Arial" w:cs="Arial" w:eastAsia="Arial" w:hAnsi="Arial"/>
                <w:b/>
                <w:bCs/>
                <w:sz w:val="20"/>
                <w:szCs w:val="20"/>
              </w:rPr>
              <w:t xml:space="preserve">Keep title and text columns only</w:t>
            </w:r>
          </w:p>
        </w:tc>
      </w:tr>
    </w:tbl>
    <w:p>
      <w:pPr>
        <w:spacing w:after="4" w:before="4"/>
        <w:jc w:val="center"/>
      </w:pPr>
      <w:r>
        <w:rPr>
          <w:rFonts w:ascii="Arial" w:cs="Arial" w:eastAsia="Arial" w:hAnsi="Arial"/>
          <w:b/>
          <w:bCs/>
          <w:color w:val="2E75B6"/>
          <w:sz w:val="24"/>
          <w:szCs w:val="24"/>
        </w:rPr>
        <w:t xml:space="preserv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pPr>
              <w:jc w:val="center"/>
            </w:pPr>
            <w:r>
              <w:rPr>
                <w:rFonts w:ascii="Arial" w:cs="Arial" w:eastAsia="Arial" w:hAnsi="Arial"/>
                <w:b/>
                <w:bCs/>
                <w:sz w:val="20"/>
                <w:szCs w:val="20"/>
              </w:rPr>
              <w:t xml:space="preserve">Remove missing, empty, short (&lt;200 chars), and duplicate rows</w:t>
            </w:r>
          </w:p>
        </w:tc>
      </w:tr>
    </w:tbl>
    <w:p>
      <w:pPr>
        <w:spacing w:after="4" w:before="4"/>
        <w:jc w:val="center"/>
      </w:pPr>
      <w:r>
        <w:rPr>
          <w:rFonts w:ascii="Arial" w:cs="Arial" w:eastAsia="Arial" w:hAnsi="Arial"/>
          <w:b/>
          <w:bCs/>
          <w:color w:val="2E75B6"/>
          <w:sz w:val="24"/>
          <w:szCs w:val="24"/>
        </w:rPr>
        <w:t xml:space="preserv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jc w:val="center"/>
            </w:pPr>
            <w:r>
              <w:rPr>
                <w:rFonts w:ascii="Arial" w:cs="Arial" w:eastAsia="Arial" w:hAnsi="Arial"/>
                <w:b/>
                <w:bCs/>
                <w:sz w:val="20"/>
                <w:szCs w:val="20"/>
              </w:rPr>
              <w:t xml:space="preserve">Cleaned dataset: 3,535 rows</w:t>
            </w:r>
          </w:p>
        </w:tc>
      </w:tr>
    </w:tbl>
    <w:p>
      <w:pPr>
        <w:spacing w:after="4" w:before="4"/>
        <w:jc w:val="center"/>
      </w:pPr>
      <w:r>
        <w:rPr>
          <w:rFonts w:ascii="Arial" w:cs="Arial" w:eastAsia="Arial" w:hAnsi="Arial"/>
          <w:b/>
          <w:bCs/>
          <w:color w:val="2E75B6"/>
          <w:sz w:val="24"/>
          <w:szCs w:val="24"/>
        </w:rPr>
        <w:t xml:space="preserv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jc w:val="center"/>
            </w:pPr>
            <w:r>
              <w:rPr>
                <w:rFonts w:ascii="Arial" w:cs="Arial" w:eastAsia="Arial" w:hAnsi="Arial"/>
                <w:b/>
                <w:bCs/>
                <w:sz w:val="20"/>
                <w:szCs w:val="20"/>
              </w:rPr>
              <w:t xml:space="preserve">Select 3,000 examples (random_state=42)</w:t>
            </w:r>
          </w:p>
        </w:tc>
      </w:tr>
    </w:tbl>
    <w:p>
      <w:pPr>
        <w:spacing w:after="4" w:before="4"/>
        <w:jc w:val="center"/>
      </w:pPr>
      <w:r>
        <w:rPr>
          <w:rFonts w:ascii="Arial" w:cs="Arial" w:eastAsia="Arial" w:hAnsi="Arial"/>
          <w:b/>
          <w:bCs/>
          <w:color w:val="2E75B6"/>
          <w:sz w:val="24"/>
          <w:szCs w:val="24"/>
        </w:rPr>
        <w:t xml:space="preserv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CCCCC" w:sz="1"/>
              <w:left w:val="single" w:color="CCCCCC" w:sz="1"/>
              <w:bottom w:val="single" w:color="CCCCCC" w:sz="1"/>
              <w:right w:val="single" w:color="CCCCCC" w:sz="1"/>
            </w:tcBorders>
            <w:shd w:fill="EAF2FB" w:val="clear"/>
            <w:tcMar>
              <w:top w:type="dxa" w:w="100"/>
              <w:left w:type="dxa" w:w="200"/>
              <w:bottom w:type="dxa" w:w="100"/>
              <w:right w:type="dxa" w:w="200"/>
            </w:tcMar>
          </w:tcPr>
          <w:p>
            <w:pPr>
              <w:jc w:val="center"/>
            </w:pPr>
            <w:r>
              <w:rPr>
                <w:rFonts w:ascii="Arial" w:cs="Arial" w:eastAsia="Arial" w:hAnsi="Arial"/>
                <w:b/>
                <w:bCs/>
                <w:sz w:val="20"/>
                <w:szCs w:val="20"/>
              </w:rPr>
              <w:t xml:space="preserve">Split: 80 / 10 / 10</w:t>
            </w:r>
          </w:p>
        </w:tc>
      </w:tr>
    </w:tbl>
    <w:p>
      <w:pPr>
        <w:spacing w:after="4" w:before="4"/>
        <w:jc w:val="center"/>
      </w:pPr>
      <w:r>
        <w:rPr>
          <w:rFonts w:ascii="Arial" w:cs="Arial" w:eastAsia="Arial" w:hAnsi="Arial"/>
          <w:b/>
          <w:bCs/>
          <w:color w:val="2E75B6"/>
          <w:sz w:val="24"/>
          <w:szCs w:val="24"/>
        </w:rPr>
        <w:t xml:space="preserv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125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w:t>
            </w:r>
          </w:p>
        </w:tc>
        <w:tc>
          <w:tcPr>
            <w:tcW w:type="dxa" w:w="12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12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Train</w:t>
            </w:r>
          </w:p>
        </w:tc>
        <w:tc>
          <w:tcPr>
            <w:tcW w:type="dxa" w:w="12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2,400</w:t>
            </w:r>
          </w:p>
        </w:tc>
        <w:tc>
          <w:tcPr>
            <w:tcW w:type="dxa" w:w="12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Fine-tuning</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Validation</w:t>
            </w:r>
          </w:p>
        </w:tc>
        <w:tc>
          <w:tcPr>
            <w:tcW w:type="dxa" w:w="125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300</w:t>
            </w:r>
          </w:p>
        </w:tc>
        <w:tc>
          <w:tcPr>
            <w:tcW w:type="dxa" w:w="125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Monitor training</w:t>
            </w:r>
          </w:p>
        </w:tc>
      </w:tr>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Test</w:t>
            </w:r>
          </w:p>
        </w:tc>
        <w:tc>
          <w:tcPr>
            <w:tcW w:type="dxa" w:w="125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300</w:t>
            </w:r>
          </w:p>
        </w:tc>
        <w:tc>
          <w:tcPr>
            <w:tcW w:type="dxa" w:w="125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Held-out evaluation only</w:t>
            </w:r>
          </w:p>
        </w:tc>
      </w:tr>
    </w:tbl>
    <w:p>
      <w:pPr>
        <w:spacing w:after="4" w:before="4"/>
        <w:jc w:val="center"/>
      </w:pPr>
      <w:r>
        <w:rPr>
          <w:rFonts w:ascii="Arial" w:cs="Arial" w:eastAsia="Arial" w:hAnsi="Arial"/>
          <w:b/>
          <w:bCs/>
          <w:color w:val="2E75B6"/>
          <w:sz w:val="24"/>
          <w:szCs w:val="24"/>
        </w:rPr>
        <w:t xml:space="preserv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CCCCC" w:sz="1"/>
              <w:left w:val="single" w:color="CCCCCC" w:sz="1"/>
              <w:bottom w:val="single" w:color="CCCCCC" w:sz="1"/>
              <w:right w:val="single" w:color="CCCCCC" w:sz="1"/>
            </w:tcBorders>
            <w:shd w:fill="E3F2FD" w:val="clear"/>
            <w:tcMar>
              <w:top w:type="dxa" w:w="100"/>
              <w:left w:type="dxa" w:w="200"/>
              <w:bottom w:type="dxa" w:w="100"/>
              <w:right w:type="dxa" w:w="200"/>
            </w:tcMar>
          </w:tcPr>
          <w:p>
            <w:pPr>
              <w:jc w:val="center"/>
            </w:pPr>
            <w:r>
              <w:rPr>
                <w:rFonts w:ascii="Arial" w:cs="Arial" w:eastAsia="Arial" w:hAnsi="Arial"/>
                <w:b/>
                <w:bCs/>
                <w:sz w:val="20"/>
                <w:szCs w:val="20"/>
              </w:rPr>
              <w:t xml:space="preserve">Fine-tuning dataset ready → Model training and evaluation</w:t>
            </w:r>
          </w:p>
        </w:tc>
      </w:tr>
    </w:tbl>
    <w:p>
      <w:pPr>
        <w:spacing w:after="240" w:before="0"/>
      </w:pPr>
    </w:p>
    <w:p>
      <w:pPr>
        <w:pStyle w:val="Heading1"/>
        <w:spacing w:after="120" w:before="300"/>
      </w:pPr>
      <w:r>
        <w:rPr>
          <w:rFonts w:ascii="Arial" w:cs="Arial" w:eastAsia="Arial" w:hAnsi="Arial"/>
          <w:b/>
          <w:bCs/>
          <w:color w:val="2E75B6"/>
          <w:sz w:val="28"/>
          <w:szCs w:val="28"/>
        </w:rPr>
        <w:t xml:space="preserve">3. Design decisions explained</w:t>
      </w:r>
    </w:p>
    <w:p>
      <w:pPr>
        <w:pStyle w:val="Heading2"/>
        <w:spacing w:after="80" w:before="200"/>
      </w:pPr>
      <w:r>
        <w:rPr>
          <w:rFonts w:ascii="Arial" w:cs="Arial" w:eastAsia="Arial" w:hAnsi="Arial"/>
          <w:b/>
          <w:bCs/>
          <w:color w:val="1F4E79"/>
          <w:sz w:val="24"/>
          <w:szCs w:val="24"/>
        </w:rPr>
        <w:t xml:space="preserve">Why keep only title and text?</w:t>
      </w:r>
    </w:p>
    <w:p>
      <w:pPr>
        <w:spacing w:after="80" w:before="60"/>
      </w:pPr>
      <w:r>
        <w:rPr>
          <w:rFonts w:ascii="Arial" w:cs="Arial" w:eastAsia="Arial" w:hAnsi="Arial"/>
          <w:sz w:val="20"/>
          <w:szCs w:val="20"/>
        </w:rPr>
        <w:t xml:space="preserve">The original dataset has four columns: id, url, title, and text. The id and url columns are metadata and do not contain language material. For a language model fine-tuning experiment, only the actual text content matters. Keeping unnecessary columns adds noise without adding value.</w:t>
      </w:r>
    </w:p>
    <w:p>
      <w:pPr>
        <w:pStyle w:val="Heading2"/>
        <w:spacing w:after="80" w:before="200"/>
      </w:pPr>
      <w:r>
        <w:rPr>
          <w:rFonts w:ascii="Arial" w:cs="Arial" w:eastAsia="Arial" w:hAnsi="Arial"/>
          <w:b/>
          <w:bCs/>
          <w:color w:val="1F4E79"/>
          <w:sz w:val="24"/>
          <w:szCs w:val="24"/>
        </w:rPr>
        <w:t xml:space="preserve">Why remove short texts?</w:t>
      </w:r>
    </w:p>
    <w:p>
      <w:pPr>
        <w:spacing w:after="80" w:before="60"/>
      </w:pPr>
      <w:r>
        <w:rPr>
          <w:rFonts w:ascii="Arial" w:cs="Arial" w:eastAsia="Arial" w:hAnsi="Arial"/>
          <w:sz w:val="20"/>
          <w:szCs w:val="20"/>
        </w:rPr>
        <w:t xml:space="preserve">Texts shorter than 200 characters are usually stub articles or redirect pages. These do not provide enough language context for the model to learn from. Including them would increase the chance of the model memorizing very short, low-information patterns instead of learning real Guarani language structure.</w:t>
      </w:r>
    </w:p>
    <w:p>
      <w:pPr>
        <w:pStyle w:val="Heading2"/>
        <w:spacing w:after="80" w:before="200"/>
      </w:pPr>
      <w:r>
        <w:rPr>
          <w:rFonts w:ascii="Arial" w:cs="Arial" w:eastAsia="Arial" w:hAnsi="Arial"/>
          <w:b/>
          <w:bCs/>
          <w:color w:val="1F4E79"/>
          <w:sz w:val="24"/>
          <w:szCs w:val="24"/>
        </w:rPr>
        <w:t xml:space="preserve">Why 3,000 examples and not all 3,535?</w:t>
      </w:r>
    </w:p>
    <w:p>
      <w:pPr>
        <w:spacing w:after="80" w:before="60"/>
      </w:pPr>
      <w:r>
        <w:rPr>
          <w:rFonts w:ascii="Arial" w:cs="Arial" w:eastAsia="Arial" w:hAnsi="Arial"/>
          <w:sz w:val="20"/>
          <w:szCs w:val="20"/>
        </w:rPr>
        <w:t xml:space="preserve">Using a round number with a fixed random seed (random_state=42) makes the experiment reproducible. 3,000 also stays comfortably within the expected low-resource range of 1,000 to 5,000 examples. Keeping a small buffer of unused clean rows means I can expand the dataset later if needed without recleaning.</w:t>
      </w:r>
    </w:p>
    <w:p>
      <w:pPr>
        <w:pStyle w:val="Heading2"/>
        <w:spacing w:after="80" w:before="200"/>
      </w:pPr>
      <w:r>
        <w:rPr>
          <w:rFonts w:ascii="Arial" w:cs="Arial" w:eastAsia="Arial" w:hAnsi="Arial"/>
          <w:b/>
          <w:bCs/>
          <w:color w:val="1F4E79"/>
          <w:sz w:val="24"/>
          <w:szCs w:val="24"/>
        </w:rPr>
        <w:t xml:space="preserve">Why is the test set kept completely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before="0"/>
            </w:pPr>
            <w:r>
              <w:rPr>
                <w:rFonts w:ascii="Arial" w:cs="Arial" w:eastAsia="Arial" w:hAnsi="Arial"/>
                <w:b/>
                <w:bCs/>
                <w:sz w:val="20"/>
                <w:szCs w:val="20"/>
              </w:rPr>
              <w:t xml:space="preserve">This is the most critical design choice in the pipeline.</w:t>
            </w:r>
          </w:p>
          <w:p>
            <w:pPr>
              <w:spacing w:after="0" w:before="0"/>
            </w:pPr>
            <w:r>
              <w:rPr>
                <w:rFonts w:ascii="Arial" w:cs="Arial" w:eastAsia="Arial" w:hAnsi="Arial"/>
                <w:sz w:val="20"/>
                <w:szCs w:val="20"/>
              </w:rPr>
              <w:t xml:space="preserve">The central research question of this project is whether the fine-tuned model generalizes to new examples or only memorizes the training data. If the test set were used during training or validation, it would no longer be a fair measure of generalization. The 300 test rows must never be seen by the model before evaluation. This design choice directly supports the evaluation method in the next project phase.</w:t>
            </w:r>
          </w:p>
        </w:tc>
      </w:tr>
    </w:tbl>
    <w:p>
      <w:pPr>
        <w:spacing w:after="240" w:before="0"/>
      </w:pPr>
    </w:p>
    <w:p>
      <w:pPr>
        <w:pStyle w:val="Heading1"/>
        <w:spacing w:after="120" w:before="300"/>
      </w:pPr>
      <w:r>
        <w:rPr>
          <w:rFonts w:ascii="Arial" w:cs="Arial" w:eastAsia="Arial" w:hAnsi="Arial"/>
          <w:b/>
          <w:bCs/>
          <w:color w:val="2E75B6"/>
          <w:sz w:val="28"/>
          <w:szCs w:val="28"/>
        </w:rPr>
        <w:t xml:space="preserve">4. What this design unlocks</w:t>
      </w:r>
    </w:p>
    <w:p>
      <w:pPr>
        <w:spacing w:after="80" w:before="60"/>
      </w:pPr>
      <w:r>
        <w:rPr>
          <w:rFonts w:ascii="Arial" w:cs="Arial" w:eastAsia="Arial" w:hAnsi="Arial"/>
          <w:sz w:val="20"/>
          <w:szCs w:val="20"/>
        </w:rPr>
        <w:t xml:space="preserve">This pipeline design guides the next implementation steps. With train, validation, and test sets ready as CSV files, the next phase can focus on base model selection, LoRA fine-tuning configuration, demo creation, and evaluation of memorization versus generalization. The design ensures that evaluation results are meaningful because the test set was never part of the training process.</w:t>
      </w:r>
    </w:p>
    <w:p>
      <w:pPr>
        <w:pStyle w:val="Heading1"/>
        <w:spacing w:after="120" w:before="300"/>
      </w:pPr>
      <w:r>
        <w:rPr>
          <w:rFonts w:ascii="Arial" w:cs="Arial" w:eastAsia="Arial" w:hAnsi="Arial"/>
          <w:b/>
          <w:bCs/>
          <w:color w:val="2E75B6"/>
          <w:sz w:val="28"/>
          <w:szCs w:val="28"/>
        </w:rPr>
        <w:t xml:space="preserve">5. Linked evidence</w:t>
      </w:r>
    </w:p>
    <w:p>
      <w:pPr>
        <w:pStyle w:val="ListParagraph"/>
        <w:numPr>
          <w:ilvl w:val="0"/>
          <w:numId w:val="2"/>
        </w:numPr>
        <w:spacing w:after="40" w:before="40"/>
      </w:pPr>
      <w:r>
        <w:rPr>
          <w:rFonts w:ascii="Arial" w:cs="Arial" w:eastAsia="Arial" w:hAnsi="Arial"/>
          <w:sz w:val="20"/>
          <w:szCs w:val="20"/>
        </w:rPr>
        <w:t xml:space="preserve">Data Cleaning &amp; Splitting notebook – shows the implementation of every step in this pipeline</w:t>
      </w:r>
    </w:p>
    <w:p>
      <w:pPr>
        <w:pStyle w:val="ListParagraph"/>
        <w:numPr>
          <w:ilvl w:val="0"/>
          <w:numId w:val="2"/>
        </w:numPr>
        <w:spacing w:after="40" w:before="40"/>
      </w:pPr>
      <w:r>
        <w:rPr>
          <w:rFonts w:ascii="Arial" w:cs="Arial" w:eastAsia="Arial" w:hAnsi="Arial"/>
          <w:sz w:val="20"/>
          <w:szCs w:val="20"/>
        </w:rPr>
        <w:t xml:space="preserve">DL2 – Choosing the Training Dataset – explains why Guarani Wikipedia was selected as the source</w:t>
      </w:r>
    </w:p>
    <w:p>
      <w:pPr>
        <w:pStyle w:val="ListParagraph"/>
        <w:numPr>
          <w:ilvl w:val="0"/>
          <w:numId w:val="2"/>
        </w:numPr>
        <w:spacing w:after="40" w:before="40"/>
      </w:pPr>
      <w:r>
        <w:rPr>
          <w:rFonts w:ascii="Arial" w:cs="Arial" w:eastAsia="Arial" w:hAnsi="Arial"/>
          <w:sz w:val="20"/>
          <w:szCs w:val="20"/>
        </w:rPr>
        <w:t xml:space="preserve">Dataset Selection Flow – shows the earlier decision process that led to this dataset</w:t>
      </w:r>
    </w:p>
    <w:p>
      <w:pPr>
        <w:pBdr>
          <w:bottom w:val="single" w:color="2E75B6" w:sz="4" w:space="1"/>
        </w:pBdr>
        <w:spacing w:after="0" w:before="120"/>
      </w:pPr>
      <w:r>
        <w:rPr>
          <w:rFonts w:ascii="Arial" w:cs="Arial" w:eastAsia="Arial" w:hAnsi="Arial"/>
          <w:i/>
          <w:iCs/>
          <w:color w:val="666666"/>
          <w:sz w:val="18"/>
          <w:szCs w:val="18"/>
        </w:rPr>
        <w:t xml:space="preserve">Design – Fine-Tuning Data Pipeline | LO3 Designing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2026-06-11T11:01:31.922Z</dcterms:created>
  <dcterms:modified xsi:type="dcterms:W3CDTF">2026-06-11T11:01:31.934Z</dcterms:modified>
</cp:coreProperties>
</file>

<file path=docProps/custom.xml><?xml version="1.0" encoding="utf-8"?>
<Properties xmlns="http://schemas.openxmlformats.org/officeDocument/2006/custom-properties" xmlns:vt="http://schemas.openxmlformats.org/officeDocument/2006/docPropsVTypes"/>
</file>