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F4E79"/>
          <w:sz w:val="44"/>
        </w:rPr>
        <w:t>Decision Log 4 - API Setup and First Benchmark Prototype</w:t>
      </w:r>
    </w:p>
    <w:p>
      <w:pPr>
        <w:jc w:val="center"/>
      </w:pPr>
      <w:r>
        <w:rPr>
          <w:i/>
          <w:color w:val="5B6573"/>
          <w:sz w:val="22"/>
        </w:rPr>
        <w:t>Recreating StackEval - Real-World LLM Benchmark</w:t>
      </w:r>
    </w:p>
    <w:tbl>
      <w:tblPr>
        <w:tblStyle w:val="TableGrid"/>
        <w:tblW w:type="auto" w:w="0"/>
        <w:jc w:val="center"/>
        <w:tblLook w:firstColumn="1" w:firstRow="1" w:lastColumn="0" w:lastRow="0" w:noHBand="0" w:noVBand="1" w:val="04A0"/>
      </w:tblPr>
      <w:tblGrid>
        <w:gridCol w:w="4873"/>
        <w:gridCol w:w="4873"/>
      </w:tblGrid>
      <w:tr>
        <w:tc>
          <w:tcPr>
            <w:tcW w:type="dxa" w:w="2835"/>
            <w:tcMar>
              <w:top w:w="80" w:type="dxa"/>
              <w:start w:w="120" w:type="dxa"/>
              <w:bottom w:w="80" w:type="dxa"/>
              <w:end w:w="120" w:type="dxa"/>
            </w:tcMar>
            <w:vAlign w:val="center"/>
            <w:shd w:fill="D9EAF7"/>
          </w:tcPr>
          <w:p>
            <w:r>
              <w:rPr>
                <w:b/>
              </w:rPr>
              <w:t>Project</w:t>
            </w:r>
          </w:p>
        </w:tc>
        <w:tc>
          <w:tcPr>
            <w:tcW w:type="dxa" w:w="5102"/>
            <w:tcMar>
              <w:top w:w="80" w:type="dxa"/>
              <w:start w:w="120" w:type="dxa"/>
              <w:bottom w:w="80" w:type="dxa"/>
              <w:end w:w="120" w:type="dxa"/>
            </w:tcMar>
            <w:vAlign w:val="center"/>
            <w:shd w:fill="F8FBFE"/>
          </w:tcPr>
          <w:p>
            <w:r>
              <w:t>StackEval Benchmark - Professional Research Project</w:t>
            </w:r>
          </w:p>
        </w:tc>
      </w:tr>
      <w:tr>
        <w:tc>
          <w:tcPr>
            <w:tcW w:type="dxa" w:w="2835"/>
            <w:tcMar>
              <w:top w:w="80" w:type="dxa"/>
              <w:start w:w="120" w:type="dxa"/>
              <w:bottom w:w="80" w:type="dxa"/>
              <w:end w:w="120" w:type="dxa"/>
            </w:tcMar>
            <w:vAlign w:val="center"/>
            <w:shd w:fill="D9EAF7"/>
          </w:tcPr>
          <w:p>
            <w:r>
              <w:rPr>
                <w:b/>
              </w:rPr>
              <w:t>Document type</w:t>
            </w:r>
          </w:p>
        </w:tc>
        <w:tc>
          <w:tcPr>
            <w:tcW w:type="dxa" w:w="5102"/>
            <w:tcMar>
              <w:top w:w="80" w:type="dxa"/>
              <w:start w:w="120" w:type="dxa"/>
              <w:bottom w:w="80" w:type="dxa"/>
              <w:end w:w="120" w:type="dxa"/>
            </w:tcMar>
            <w:vAlign w:val="center"/>
            <w:shd w:fill="F8FBFE"/>
          </w:tcPr>
          <w:p>
            <w:r>
              <w:t>Decision Log</w:t>
            </w:r>
          </w:p>
        </w:tc>
      </w:tr>
      <w:tr>
        <w:tc>
          <w:tcPr>
            <w:tcW w:type="dxa" w:w="2835"/>
            <w:tcMar>
              <w:top w:w="80" w:type="dxa"/>
              <w:start w:w="120" w:type="dxa"/>
              <w:bottom w:w="80" w:type="dxa"/>
              <w:end w:w="120" w:type="dxa"/>
            </w:tcMar>
            <w:vAlign w:val="center"/>
            <w:shd w:fill="D9EAF7"/>
          </w:tcPr>
          <w:p>
            <w:r>
              <w:rPr>
                <w:b/>
              </w:rPr>
              <w:t>Prepared for</w:t>
            </w:r>
          </w:p>
        </w:tc>
        <w:tc>
          <w:tcPr>
            <w:tcW w:type="dxa" w:w="5102"/>
            <w:tcMar>
              <w:top w:w="80" w:type="dxa"/>
              <w:start w:w="120" w:type="dxa"/>
              <w:bottom w:w="80" w:type="dxa"/>
              <w:end w:w="120" w:type="dxa"/>
            </w:tcMar>
            <w:vAlign w:val="center"/>
            <w:shd w:fill="F8FBFE"/>
          </w:tcPr>
          <w:p>
            <w:r>
              <w:t>Portfolio evidence / GenAI project documentation</w:t>
            </w:r>
          </w:p>
        </w:tc>
      </w:tr>
      <w:tr>
        <w:tc>
          <w:tcPr>
            <w:tcW w:type="dxa" w:w="2835"/>
            <w:tcMar>
              <w:top w:w="80" w:type="dxa"/>
              <w:start w:w="120" w:type="dxa"/>
              <w:bottom w:w="80" w:type="dxa"/>
              <w:end w:w="120" w:type="dxa"/>
            </w:tcMar>
            <w:vAlign w:val="center"/>
            <w:shd w:fill="D9EAF7"/>
          </w:tcPr>
          <w:p>
            <w:r>
              <w:rPr>
                <w:b/>
              </w:rPr>
              <w:t>Date</w:t>
            </w:r>
          </w:p>
        </w:tc>
        <w:tc>
          <w:tcPr>
            <w:tcW w:type="dxa" w:w="5102"/>
            <w:tcMar>
              <w:top w:w="80" w:type="dxa"/>
              <w:start w:w="120" w:type="dxa"/>
              <w:bottom w:w="80" w:type="dxa"/>
              <w:end w:w="120" w:type="dxa"/>
            </w:tcMar>
            <w:vAlign w:val="center"/>
            <w:shd w:fill="F8FBFE"/>
          </w:tcPr>
          <w:p>
            <w:r>
              <w:t>30 March 2026</w:t>
            </w:r>
          </w:p>
        </w:tc>
      </w:tr>
    </w:tbl>
    <w:p/>
    <w:tbl>
      <w:tblPr>
        <w:tblW w:type="auto" w:w="0"/>
        <w:jc w:val="center"/>
        <w:tblLook w:firstColumn="1" w:firstRow="1" w:lastColumn="0" w:lastRow="0" w:noHBand="0" w:noVBand="1" w:val="04A0"/>
      </w:tblPr>
      <w:tblGrid>
        <w:gridCol w:w="9746"/>
      </w:tblGrid>
      <w:tr>
        <w:tc>
          <w:tcPr>
            <w:tcW w:type="dxa" w:w="9746"/>
            <w:shd w:fill="EEF5FB"/>
            <w:tcMar>
              <w:top w:w="120" w:type="dxa"/>
              <w:start w:w="160" w:type="dxa"/>
              <w:bottom w:w="120" w:type="dxa"/>
              <w:end w:w="160" w:type="dxa"/>
            </w:tcMar>
          </w:tcPr>
          <w:p>
            <w:pPr>
              <w:pStyle w:val="BoxText"/>
              <w:jc w:val="left"/>
            </w:pPr>
            <w:r>
              <w:rPr>
                <w:b/>
              </w:rPr>
              <w:t>Research question:</w:t>
              <w:br/>
            </w:r>
            <w:r>
              <w:t>How can I implement a reproducible API-based setup to query multiple LLM models with identical inputs and collect their outputs for benchmarking?</w:t>
            </w:r>
          </w:p>
        </w:tc>
      </w:tr>
    </w:tbl>
    <w:p>
      <w:r>
        <w:br w:type="page"/>
      </w:r>
    </w:p>
    <w:p>
      <w:pPr>
        <w:pStyle w:val="Heading1"/>
      </w:pPr>
      <w:r>
        <w:t>0. Context - Why does this question exist?</w:t>
      </w:r>
    </w:p>
    <w:p>
      <w:r>
        <w:rPr>
          <w:b/>
        </w:rPr>
        <w:t xml:space="preserve">Project / assignment this belongs to: </w:t>
      </w:r>
      <w:r>
        <w:t>StackEval Benchmark - Professional Research Project</w:t>
      </w:r>
    </w:p>
    <w:p>
      <w:r>
        <w:rPr>
          <w:b/>
        </w:rPr>
        <w:t xml:space="preserve">Why this matters right now: </w:t>
      </w:r>
      <w:r>
        <w:t>After selecting the benchmark topic, the model categories, and the API-based querying strategy, the next blocking step was to prove that a working multi-model setup could be implemented in practice. Without a functioning API pipeline, the benchmark would remain only a design idea. I needed to verify that I could connect multiple providers, send the same question to each model, receive usable answers, and store those answers in a developer-readable format for later human scoring.</w:t>
      </w:r>
    </w:p>
    <w:p>
      <w:r>
        <w:rPr>
          <w:b/>
        </w:rPr>
        <w:t xml:space="preserve">Where this fits: </w:t>
      </w:r>
      <w:r>
        <w:t>This decision log sits between Decision Log 3 (API vs manual querying) and the full benchmark execution stage. It documents the transition from methodology to implementation.</w:t>
      </w:r>
    </w:p>
    <w:p>
      <w:pPr>
        <w:pStyle w:val="Heading1"/>
      </w:pPr>
      <w:r>
        <w:t>1. My research question</w:t>
      </w:r>
    </w:p>
    <w:p>
      <w:r>
        <w:t>How can I implement a reproducible API-based setup to query multiple LLM models with identical inputs and collect their outputs for benchmarking?</w:t>
      </w:r>
    </w:p>
    <w:p>
      <w:pPr>
        <w:pStyle w:val="Heading1"/>
      </w:pPr>
      <w:r>
        <w:t>2. Current LO stage</w:t>
      </w:r>
    </w:p>
    <w:p>
      <w:pPr>
        <w:ind w:left="283" w:hanging="170"/>
      </w:pPr>
      <w:r>
        <w:rPr>
          <w:b/>
        </w:rPr>
        <w:t xml:space="preserve">• </w:t>
      </w:r>
      <w:r>
        <w:t>Analyzing - I investigated provider platforms, model availability, API feasibility, billing constraints, and output requirements.</w:t>
      </w:r>
    </w:p>
    <w:p>
      <w:pPr>
        <w:ind w:left="283" w:hanging="170"/>
      </w:pPr>
      <w:r>
        <w:rPr>
          <w:b/>
        </w:rPr>
        <w:t xml:space="preserve">• </w:t>
      </w:r>
      <w:r>
        <w:t>Designing - I designed a simple but reusable benchmark pipeline: one input question, multiple provider calls, and dual output formats (JSON and readable TXT).</w:t>
      </w:r>
    </w:p>
    <w:p>
      <w:pPr>
        <w:ind w:left="283" w:hanging="170"/>
      </w:pPr>
      <w:r>
        <w:rPr>
          <w:b/>
        </w:rPr>
        <w:t xml:space="preserve">• </w:t>
      </w:r>
      <w:r>
        <w:t>Realizing - I implemented working Python scripts, connected the APIs, handled environment variables, and produced saved outputs.</w:t>
      </w:r>
    </w:p>
    <w:p>
      <w:pPr>
        <w:ind w:left="283" w:hanging="170"/>
      </w:pPr>
      <w:r>
        <w:rPr>
          <w:b/>
        </w:rPr>
        <w:t xml:space="preserve">• </w:t>
      </w:r>
      <w:r>
        <w:t>Managing - I monitored failures during setup, diagnosed errors, and improved the pipeline step by step until it became stable.</w:t>
      </w:r>
    </w:p>
    <w:p>
      <w:pPr>
        <w:pStyle w:val="Heading1"/>
      </w:pPr>
      <w:r>
        <w:t>3. What makes a good decision here?</w:t>
      </w:r>
    </w:p>
    <w:p>
      <w:pPr>
        <w:ind w:left="283" w:hanging="170"/>
      </w:pPr>
      <w:r>
        <w:rPr>
          <w:b/>
        </w:rPr>
        <w:t xml:space="preserve">• </w:t>
      </w:r>
      <w:r>
        <w:t>The setup must support at least four benchmark models representing the categories selected earlier.</w:t>
      </w:r>
    </w:p>
    <w:p>
      <w:pPr>
        <w:ind w:left="283" w:hanging="170"/>
      </w:pPr>
      <w:r>
        <w:rPr>
          <w:b/>
        </w:rPr>
        <w:t xml:space="preserve">• </w:t>
      </w:r>
      <w:r>
        <w:t>The same question must be sent programmatically to each model in a controlled and reproducible way.</w:t>
      </w:r>
    </w:p>
    <w:p>
      <w:pPr>
        <w:ind w:left="283" w:hanging="170"/>
      </w:pPr>
      <w:r>
        <w:rPr>
          <w:b/>
        </w:rPr>
        <w:t xml:space="preserve">• </w:t>
      </w:r>
      <w:r>
        <w:t>The outputs must be saved in a machine-readable format for later analysis.</w:t>
      </w:r>
    </w:p>
    <w:p>
      <w:pPr>
        <w:ind w:left="283" w:hanging="170"/>
      </w:pPr>
      <w:r>
        <w:rPr>
          <w:b/>
        </w:rPr>
        <w:t xml:space="preserve">• </w:t>
      </w:r>
      <w:r>
        <w:t>The outputs must also be saved in a human-readable format so software developers can score them comfortably.</w:t>
      </w:r>
    </w:p>
    <w:p>
      <w:pPr>
        <w:ind w:left="283" w:hanging="170"/>
      </w:pPr>
      <w:r>
        <w:rPr>
          <w:b/>
        </w:rPr>
        <w:t xml:space="preserve">• </w:t>
      </w:r>
      <w:r>
        <w:t>The setup process must be feasible for a student project, including account creation, billing, and debugging effort.</w:t>
      </w:r>
    </w:p>
    <w:p>
      <w:pPr>
        <w:ind w:left="283" w:hanging="170"/>
      </w:pPr>
      <w:r>
        <w:rPr>
          <w:b/>
        </w:rPr>
        <w:t xml:space="preserve">• </w:t>
      </w:r>
      <w:r>
        <w:t>The final solution must be simple enough to extend from one test question to multiple Stack Overflow questions later.</w:t>
      </w:r>
    </w:p>
    <w:p>
      <w:pPr>
        <w:pStyle w:val="Heading1"/>
      </w:pPr>
      <w:r>
        <w:t>4. What I decided</w:t>
      </w:r>
    </w:p>
    <w:p>
      <w:r>
        <w:t>I decided to implement a multi-provider API pipeline using official provider APIs where possible and OpenRouter for the open model route. The final test setup used the following four models:</w:t>
      </w:r>
    </w:p>
    <w:p>
      <w:pPr>
        <w:ind w:left="283" w:hanging="170"/>
      </w:pPr>
      <w:r>
        <w:rPr>
          <w:b/>
        </w:rPr>
        <w:t xml:space="preserve">• </w:t>
      </w:r>
      <w:r>
        <w:t>Frontier proprietary model - GPT-5.4 (OpenAI)</w:t>
      </w:r>
    </w:p>
    <w:p>
      <w:pPr>
        <w:ind w:left="283" w:hanging="170"/>
      </w:pPr>
      <w:r>
        <w:rPr>
          <w:b/>
        </w:rPr>
        <w:t xml:space="preserve">• </w:t>
      </w:r>
      <w:r>
        <w:t>Frontier competitor - Claude Sonnet 4.6 (Anthropic)</w:t>
      </w:r>
    </w:p>
    <w:p>
      <w:pPr>
        <w:ind w:left="283" w:hanging="170"/>
      </w:pPr>
      <w:r>
        <w:rPr>
          <w:b/>
        </w:rPr>
        <w:t xml:space="preserve">• </w:t>
      </w:r>
      <w:r>
        <w:t>Open-source model - Llama 4 Maverick (Meta AI, accessed through OpenRouter)</w:t>
      </w:r>
    </w:p>
    <w:p>
      <w:pPr>
        <w:ind w:left="283" w:hanging="170"/>
      </w:pPr>
      <w:r>
        <w:rPr>
          <w:b/>
        </w:rPr>
        <w:t xml:space="preserve">• </w:t>
      </w:r>
      <w:r>
        <w:t>Budget / lightweight model - GPT-5.4-mini (OpenAI)</w:t>
      </w:r>
    </w:p>
    <w:p>
      <w:r>
        <w:t>I also decided to save results in two formats: JSON for structured benchmark data, and TXT for developer readability during human scoring.</w:t>
      </w:r>
    </w:p>
    <w:p>
      <w:pPr>
        <w:pStyle w:val="Heading1"/>
      </w:pPr>
      <w:r>
        <w:t>5. Why this decision</w:t>
      </w:r>
    </w:p>
    <w:p>
      <w:r>
        <w:rPr>
          <w:b/>
        </w:rPr>
        <w:t xml:space="preserve">Method I used: </w:t>
      </w:r>
    </w:p>
    <w:p>
      <w:r>
        <w:t>I used a combination of product analysis, implementation experimentation, and iterative debugging. The product analysis part involved checking the official documentation and provider pages for OpenAI, Anthropic, and OpenRouter. The experimentation part involved actually creating accounts, generating API keys, writing Python scripts, testing one model at a time, and then combining them into a single script. This method fits the GenAI Engineer role well because it focuses on feasibility, working code, and controlled technical comparisons.</w:t>
      </w:r>
    </w:p>
    <w:p>
      <w:r>
        <w:rPr>
          <w:b/>
        </w:rPr>
        <w:t xml:space="preserve">What I found: </w:t>
      </w:r>
    </w:p>
    <w:p>
      <w:pPr>
        <w:ind w:left="283" w:hanging="170"/>
      </w:pPr>
      <w:r>
        <w:rPr>
          <w:b/>
        </w:rPr>
        <w:t xml:space="preserve">• </w:t>
      </w:r>
      <w:r>
        <w:t>OpenAI API access worked after generating a key, storing it in a .env file, and activating billing. ChatGPT subscription access did not automatically provide API quota; separate API billing was required.</w:t>
      </w:r>
    </w:p>
    <w:p>
      <w:pPr>
        <w:ind w:left="283" w:hanging="170"/>
      </w:pPr>
      <w:r>
        <w:rPr>
          <w:b/>
        </w:rPr>
        <w:t xml:space="preserve">• </w:t>
      </w:r>
      <w:r>
        <w:t>The first implementation failed because the Python package was not installed in the active environment. Installing packages through the same Python interpreter resolved the issue.</w:t>
      </w:r>
    </w:p>
    <w:p>
      <w:pPr>
        <w:ind w:left="283" w:hanging="170"/>
      </w:pPr>
      <w:r>
        <w:rPr>
          <w:b/>
        </w:rPr>
        <w:t xml:space="preserve">• </w:t>
      </w:r>
      <w:r>
        <w:t>The next failure happened because the environment variable name in the .env file did not match the name expected in code. Changing it to OPENAI_API_KEY resolved the authentication issue.</w:t>
      </w:r>
    </w:p>
    <w:p>
      <w:pPr>
        <w:ind w:left="283" w:hanging="170"/>
      </w:pPr>
      <w:r>
        <w:rPr>
          <w:b/>
        </w:rPr>
        <w:t xml:space="preserve">• </w:t>
      </w:r>
      <w:r>
        <w:t>The first API call then failed with an insufficient_quota error. This showed that the technical code path was correct, but billing still needed to be configured.</w:t>
      </w:r>
    </w:p>
    <w:p>
      <w:pPr>
        <w:ind w:left="283" w:hanging="170"/>
      </w:pPr>
      <w:r>
        <w:rPr>
          <w:b/>
        </w:rPr>
        <w:t xml:space="preserve">• </w:t>
      </w:r>
      <w:r>
        <w:t>Because a credit card was not available, Revolut was used to create a virtual Visa card that could be attached to OpenAI billing. This allowed the first successful OpenAI call.</w:t>
      </w:r>
    </w:p>
    <w:p>
      <w:pPr>
        <w:ind w:left="283" w:hanging="170"/>
      </w:pPr>
      <w:r>
        <w:rPr>
          <w:b/>
        </w:rPr>
        <w:t xml:space="preserve">• </w:t>
      </w:r>
      <w:r>
        <w:t>After the OpenAI connection worked, I upgraded the test from terminal-only output to JSON plus readable TXT output. This matched the later need for human evaluation by developers.</w:t>
      </w:r>
    </w:p>
    <w:p>
      <w:pPr>
        <w:ind w:left="283" w:hanging="170"/>
      </w:pPr>
      <w:r>
        <w:rPr>
          <w:b/>
        </w:rPr>
        <w:t xml:space="preserve">• </w:t>
      </w:r>
      <w:r>
        <w:t>The same step-by-step process was then repeated for Anthropic. The Claude setup worked after adding the API key, installing the anthropic package, and aligning the script to the correct model call format.</w:t>
      </w:r>
    </w:p>
    <w:p>
      <w:pPr>
        <w:ind w:left="283" w:hanging="170"/>
      </w:pPr>
      <w:r>
        <w:rPr>
          <w:b/>
        </w:rPr>
        <w:t xml:space="preserve">• </w:t>
      </w:r>
      <w:r>
        <w:t>There was uncertainty about Claude Sonnet 4.5 versus 4.6. I checked Anthropic's release information and model documentation, then tested the model naming in practice. The chosen project model remained Claude Sonnet 4.6, aligned with the updated model-selection strategy.</w:t>
      </w:r>
    </w:p>
    <w:p>
      <w:pPr>
        <w:ind w:left="283" w:hanging="170"/>
      </w:pPr>
      <w:r>
        <w:rPr>
          <w:b/>
        </w:rPr>
        <w:t xml:space="preserve">• </w:t>
      </w:r>
      <w:r>
        <w:t>For the open model, I used OpenRouter rather than a direct Meta API route, because it provided an accessible API layer for Llama 4 Maverick and matched the project's need for practical API access.</w:t>
      </w:r>
    </w:p>
    <w:p>
      <w:pPr>
        <w:ind w:left="283" w:hanging="170"/>
      </w:pPr>
      <w:r>
        <w:rPr>
          <w:b/>
        </w:rPr>
        <w:t xml:space="preserve">• </w:t>
      </w:r>
      <w:r>
        <w:t>Once all providers worked separately, I combined them into one script that asks one question and returns four outputs in a row while saving the combined results to files. This created the first working benchmark prototype.</w:t>
      </w:r>
    </w:p>
    <w:p>
      <w:r>
        <w:rPr>
          <w:b/>
        </w:rPr>
        <w:t xml:space="preserve">Evidence and artifacts: </w:t>
      </w:r>
    </w:p>
    <w:p>
      <w:pPr>
        <w:ind w:left="283" w:hanging="170"/>
      </w:pPr>
      <w:r>
        <w:rPr>
          <w:b/>
        </w:rPr>
        <w:t xml:space="preserve">• </w:t>
      </w:r>
      <w:r>
        <w:t>Working Python scripts for OpenAI, Anthropic, OpenRouter, and the combined multi-model script.</w:t>
      </w:r>
    </w:p>
    <w:p>
      <w:pPr>
        <w:ind w:left="283" w:hanging="170"/>
      </w:pPr>
      <w:r>
        <w:rPr>
          <w:b/>
        </w:rPr>
        <w:t xml:space="preserve">• </w:t>
      </w:r>
      <w:r>
        <w:t>Saved output files: JSON and readable TXT.</w:t>
      </w:r>
    </w:p>
    <w:p>
      <w:pPr>
        <w:ind w:left="283" w:hanging="170"/>
      </w:pPr>
      <w:r>
        <w:rPr>
          <w:b/>
        </w:rPr>
        <w:t xml:space="preserve">• </w:t>
      </w:r>
      <w:r>
        <w:t>Terminal errors encountered during setup, including module installation issues, environment variable mismatch, and insufficient quota.</w:t>
      </w:r>
    </w:p>
    <w:p>
      <w:pPr>
        <w:ind w:left="283" w:hanging="170"/>
      </w:pPr>
      <w:r>
        <w:rPr>
          <w:b/>
        </w:rPr>
        <w:t xml:space="preserve">• </w:t>
      </w:r>
      <w:r>
        <w:t>Git history can be used to show the implementation sequence, which aligns with the Git usage strategy already defined for the project.</w:t>
      </w:r>
    </w:p>
    <w:p>
      <w:pPr>
        <w:ind w:left="283" w:hanging="170"/>
      </w:pPr>
      <w:r>
        <w:rPr>
          <w:b/>
        </w:rPr>
        <w:t xml:space="preserve">• </w:t>
      </w:r>
      <w:r>
        <w:t>Current project documents already support this implementation direction: the portfolio guide emphasizes evidence-based decisions and visible development, the Decision Log template requires reasoning plus artifacts, and the LO guide explicitly links API testing and working prototypes to the Engineer pathway.</w:t>
      </w:r>
    </w:p>
    <w:p>
      <w:r>
        <w:rPr>
          <w:b/>
        </w:rPr>
        <w:t xml:space="preserve">What this means: </w:t>
      </w:r>
    </w:p>
    <w:p>
      <w:r>
        <w:t>This means the benchmark is no longer a theoretical design. I now have proof that I can programmatically query multiple LLMs with identical inputs and preserve the outputs in a format suitable for later developer scoring. The practical difficulties I faced were not side issues; they were part of the real engineering work needed to make the benchmark executable.</w:t>
      </w:r>
    </w:p>
    <w:p>
      <w:r>
        <w:rPr>
          <w:b/>
        </w:rPr>
        <w:t xml:space="preserve">So I decided: </w:t>
      </w:r>
    </w:p>
    <w:p>
      <w:r>
        <w:t>I decided to continue the StackEval recreation with an API-based, multi-provider, file-saving pipeline because it is reproducible, benchmark-ready, and already validated through live implementation.</w:t>
      </w:r>
    </w:p>
    <w:p>
      <w:pPr>
        <w:pStyle w:val="Heading1"/>
      </w:pPr>
      <w:r>
        <w:t>6. Does this hold up?</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Mar>
              <w:top w:w="80" w:type="dxa"/>
              <w:start w:w="120" w:type="dxa"/>
              <w:bottom w:w="80" w:type="dxa"/>
              <w:end w:w="120" w:type="dxa"/>
            </w:tcMar>
          </w:tcPr>
          <w:p>
            <w:r>
              <w:rPr>
                <w:b/>
              </w:rPr>
              <w:t>Criterion</w:t>
            </w:r>
          </w:p>
        </w:tc>
        <w:tc>
          <w:tcPr>
            <w:tcW w:type="dxa" w:w="3249"/>
            <w:shd w:fill="D9EAF7"/>
            <w:tcMar>
              <w:top w:w="80" w:type="dxa"/>
              <w:start w:w="120" w:type="dxa"/>
              <w:bottom w:w="80" w:type="dxa"/>
              <w:end w:w="120" w:type="dxa"/>
            </w:tcMar>
          </w:tcPr>
          <w:p>
            <w:r>
              <w:rPr>
                <w:b/>
              </w:rPr>
              <w:t>Result</w:t>
            </w:r>
          </w:p>
        </w:tc>
        <w:tc>
          <w:tcPr>
            <w:tcW w:type="dxa" w:w="3249"/>
            <w:shd w:fill="D9EAF7"/>
            <w:tcMar>
              <w:top w:w="80" w:type="dxa"/>
              <w:start w:w="120" w:type="dxa"/>
              <w:bottom w:w="80" w:type="dxa"/>
              <w:end w:w="120" w:type="dxa"/>
            </w:tcMar>
          </w:tcPr>
          <w:p>
            <w:r>
              <w:rPr>
                <w:b/>
              </w:rPr>
              <w:t>Notes</w:t>
            </w:r>
          </w:p>
        </w:tc>
      </w:tr>
      <w:tr>
        <w:tc>
          <w:tcPr>
            <w:tcW w:type="dxa" w:w="3249"/>
            <w:tcMar>
              <w:top w:w="100" w:type="dxa"/>
              <w:start w:w="120" w:type="dxa"/>
              <w:bottom w:w="100" w:type="dxa"/>
              <w:end w:w="120" w:type="dxa"/>
            </w:tcMar>
            <w:vAlign w:val="center"/>
          </w:tcPr>
          <w:p>
            <w:r>
              <w:t>Four benchmark categories supported</w:t>
            </w:r>
          </w:p>
        </w:tc>
        <w:tc>
          <w:tcPr>
            <w:tcW w:type="dxa" w:w="3249"/>
            <w:tcMar>
              <w:top w:w="100" w:type="dxa"/>
              <w:start w:w="120" w:type="dxa"/>
              <w:bottom w:w="100" w:type="dxa"/>
              <w:end w:w="120" w:type="dxa"/>
            </w:tcMar>
            <w:vAlign w:val="center"/>
          </w:tcPr>
          <w:p>
            <w:r>
              <w:t>Yes</w:t>
            </w:r>
          </w:p>
        </w:tc>
        <w:tc>
          <w:tcPr>
            <w:tcW w:type="dxa" w:w="3249"/>
            <w:tcMar>
              <w:top w:w="100" w:type="dxa"/>
              <w:start w:w="120" w:type="dxa"/>
              <w:bottom w:w="100" w:type="dxa"/>
              <w:end w:w="120" w:type="dxa"/>
            </w:tcMar>
            <w:vAlign w:val="center"/>
          </w:tcPr>
          <w:p>
            <w:r>
              <w:t>Four project models were connected successfully.</w:t>
            </w:r>
          </w:p>
        </w:tc>
      </w:tr>
      <w:tr>
        <w:tc>
          <w:tcPr>
            <w:tcW w:type="dxa" w:w="3249"/>
            <w:tcMar>
              <w:top w:w="100" w:type="dxa"/>
              <w:start w:w="120" w:type="dxa"/>
              <w:bottom w:w="100" w:type="dxa"/>
              <w:end w:w="120" w:type="dxa"/>
            </w:tcMar>
            <w:vAlign w:val="center"/>
          </w:tcPr>
          <w:p>
            <w:r>
              <w:t>Controlled identical input</w:t>
            </w:r>
          </w:p>
        </w:tc>
        <w:tc>
          <w:tcPr>
            <w:tcW w:type="dxa" w:w="3249"/>
            <w:tcMar>
              <w:top w:w="100" w:type="dxa"/>
              <w:start w:w="120" w:type="dxa"/>
              <w:bottom w:w="100" w:type="dxa"/>
              <w:end w:w="120" w:type="dxa"/>
            </w:tcMar>
            <w:vAlign w:val="center"/>
          </w:tcPr>
          <w:p>
            <w:r>
              <w:t>Yes</w:t>
            </w:r>
          </w:p>
        </w:tc>
        <w:tc>
          <w:tcPr>
            <w:tcW w:type="dxa" w:w="3249"/>
            <w:tcMar>
              <w:top w:w="100" w:type="dxa"/>
              <w:start w:w="120" w:type="dxa"/>
              <w:bottom w:w="100" w:type="dxa"/>
              <w:end w:w="120" w:type="dxa"/>
            </w:tcMar>
            <w:vAlign w:val="center"/>
          </w:tcPr>
          <w:p>
            <w:r>
              <w:t>The same question was sent programmatically to each provider.</w:t>
            </w:r>
          </w:p>
        </w:tc>
      </w:tr>
      <w:tr>
        <w:tc>
          <w:tcPr>
            <w:tcW w:type="dxa" w:w="3249"/>
            <w:tcMar>
              <w:top w:w="100" w:type="dxa"/>
              <w:start w:w="120" w:type="dxa"/>
              <w:bottom w:w="100" w:type="dxa"/>
              <w:end w:w="120" w:type="dxa"/>
            </w:tcMar>
            <w:vAlign w:val="center"/>
          </w:tcPr>
          <w:p>
            <w:r>
              <w:t>Machine-readable storage</w:t>
            </w:r>
          </w:p>
        </w:tc>
        <w:tc>
          <w:tcPr>
            <w:tcW w:type="dxa" w:w="3249"/>
            <w:tcMar>
              <w:top w:w="100" w:type="dxa"/>
              <w:start w:w="120" w:type="dxa"/>
              <w:bottom w:w="100" w:type="dxa"/>
              <w:end w:w="120" w:type="dxa"/>
            </w:tcMar>
            <w:vAlign w:val="center"/>
          </w:tcPr>
          <w:p>
            <w:r>
              <w:t>Yes</w:t>
            </w:r>
          </w:p>
        </w:tc>
        <w:tc>
          <w:tcPr>
            <w:tcW w:type="dxa" w:w="3249"/>
            <w:tcMar>
              <w:top w:w="100" w:type="dxa"/>
              <w:start w:w="120" w:type="dxa"/>
              <w:bottom w:w="100" w:type="dxa"/>
              <w:end w:w="120" w:type="dxa"/>
            </w:tcMar>
            <w:vAlign w:val="center"/>
          </w:tcPr>
          <w:p>
            <w:r>
              <w:t>Results were saved to JSON files.</w:t>
            </w:r>
          </w:p>
        </w:tc>
      </w:tr>
      <w:tr>
        <w:tc>
          <w:tcPr>
            <w:tcW w:type="dxa" w:w="3249"/>
            <w:tcMar>
              <w:top w:w="100" w:type="dxa"/>
              <w:start w:w="120" w:type="dxa"/>
              <w:bottom w:w="100" w:type="dxa"/>
              <w:end w:w="120" w:type="dxa"/>
            </w:tcMar>
            <w:vAlign w:val="center"/>
          </w:tcPr>
          <w:p>
            <w:r>
              <w:t>Human-readable scoring format</w:t>
            </w:r>
          </w:p>
        </w:tc>
        <w:tc>
          <w:tcPr>
            <w:tcW w:type="dxa" w:w="3249"/>
            <w:tcMar>
              <w:top w:w="100" w:type="dxa"/>
              <w:start w:w="120" w:type="dxa"/>
              <w:bottom w:w="100" w:type="dxa"/>
              <w:end w:w="120" w:type="dxa"/>
            </w:tcMar>
            <w:vAlign w:val="center"/>
          </w:tcPr>
          <w:p>
            <w:r>
              <w:t>Yes</w:t>
            </w:r>
          </w:p>
        </w:tc>
        <w:tc>
          <w:tcPr>
            <w:tcW w:type="dxa" w:w="3249"/>
            <w:tcMar>
              <w:top w:w="100" w:type="dxa"/>
              <w:start w:w="120" w:type="dxa"/>
              <w:bottom w:w="100" w:type="dxa"/>
              <w:end w:w="120" w:type="dxa"/>
            </w:tcMar>
            <w:vAlign w:val="center"/>
          </w:tcPr>
          <w:p>
            <w:r>
              <w:t>Readable TXT output was generated for developers.</w:t>
            </w:r>
          </w:p>
        </w:tc>
      </w:tr>
      <w:tr>
        <w:tc>
          <w:tcPr>
            <w:tcW w:type="dxa" w:w="3249"/>
            <w:tcMar>
              <w:top w:w="100" w:type="dxa"/>
              <w:start w:w="120" w:type="dxa"/>
              <w:bottom w:w="100" w:type="dxa"/>
              <w:end w:w="120" w:type="dxa"/>
            </w:tcMar>
            <w:vAlign w:val="center"/>
          </w:tcPr>
          <w:p>
            <w:r>
              <w:t>Feasible project scope</w:t>
            </w:r>
          </w:p>
        </w:tc>
        <w:tc>
          <w:tcPr>
            <w:tcW w:type="dxa" w:w="3249"/>
            <w:tcMar>
              <w:top w:w="100" w:type="dxa"/>
              <w:start w:w="120" w:type="dxa"/>
              <w:bottom w:w="100" w:type="dxa"/>
              <w:end w:w="120" w:type="dxa"/>
            </w:tcMar>
            <w:vAlign w:val="center"/>
          </w:tcPr>
          <w:p>
            <w:r>
              <w:t>Yes</w:t>
            </w:r>
          </w:p>
        </w:tc>
        <w:tc>
          <w:tcPr>
            <w:tcW w:type="dxa" w:w="3249"/>
            <w:tcMar>
              <w:top w:w="100" w:type="dxa"/>
              <w:start w:w="120" w:type="dxa"/>
              <w:bottom w:w="100" w:type="dxa"/>
              <w:end w:w="120" w:type="dxa"/>
            </w:tcMar>
            <w:vAlign w:val="center"/>
          </w:tcPr>
          <w:p>
            <w:r>
              <w:t>The setup required effort but remained manageable with one model at a time.</w:t>
            </w:r>
          </w:p>
        </w:tc>
      </w:tr>
      <w:tr>
        <w:tc>
          <w:tcPr>
            <w:tcW w:type="dxa" w:w="3249"/>
            <w:tcMar>
              <w:top w:w="100" w:type="dxa"/>
              <w:start w:w="120" w:type="dxa"/>
              <w:bottom w:w="100" w:type="dxa"/>
              <w:end w:w="120" w:type="dxa"/>
            </w:tcMar>
            <w:vAlign w:val="center"/>
          </w:tcPr>
          <w:p>
            <w:r>
              <w:t>Extensible to later benchmark phase</w:t>
            </w:r>
          </w:p>
        </w:tc>
        <w:tc>
          <w:tcPr>
            <w:tcW w:type="dxa" w:w="3249"/>
            <w:tcMar>
              <w:top w:w="100" w:type="dxa"/>
              <w:start w:w="120" w:type="dxa"/>
              <w:bottom w:w="100" w:type="dxa"/>
              <w:end w:w="120" w:type="dxa"/>
            </w:tcMar>
            <w:vAlign w:val="center"/>
          </w:tcPr>
          <w:p>
            <w:r>
              <w:t>Yes</w:t>
            </w:r>
          </w:p>
        </w:tc>
        <w:tc>
          <w:tcPr>
            <w:tcW w:type="dxa" w:w="3249"/>
            <w:tcMar>
              <w:top w:w="100" w:type="dxa"/>
              <w:start w:w="120" w:type="dxa"/>
              <w:bottom w:w="100" w:type="dxa"/>
              <w:end w:w="120" w:type="dxa"/>
            </w:tcMar>
            <w:vAlign w:val="center"/>
          </w:tcPr>
          <w:p>
            <w:r>
              <w:t>The combined script can be adapted from one question to many questions later.</w:t>
            </w:r>
          </w:p>
        </w:tc>
      </w:tr>
    </w:tbl>
    <w:p>
      <w:r>
        <w:rPr>
          <w:b/>
        </w:rPr>
        <w:t xml:space="preserve">Assumptions: </w:t>
      </w:r>
    </w:p>
    <w:p>
      <w:pPr>
        <w:ind w:left="283" w:hanging="170"/>
      </w:pPr>
      <w:r>
        <w:rPr>
          <w:b/>
        </w:rPr>
        <w:t xml:space="preserve">• </w:t>
      </w:r>
      <w:r>
        <w:t>Provider APIs will remain available during the later benchmark phase.</w:t>
      </w:r>
    </w:p>
    <w:p>
      <w:pPr>
        <w:ind w:left="283" w:hanging="170"/>
      </w:pPr>
      <w:r>
        <w:rPr>
          <w:b/>
        </w:rPr>
        <w:t xml:space="preserve">• </w:t>
      </w:r>
      <w:r>
        <w:t>Costs will remain manageable for a small student-scale experiment.</w:t>
      </w:r>
    </w:p>
    <w:p>
      <w:pPr>
        <w:ind w:left="283" w:hanging="170"/>
      </w:pPr>
      <w:r>
        <w:rPr>
          <w:b/>
        </w:rPr>
        <w:t xml:space="preserve">• </w:t>
      </w:r>
      <w:r>
        <w:t>Developers will prefer readable output formatting over raw JSON when scoring answers.</w:t>
      </w:r>
    </w:p>
    <w:p>
      <w:pPr>
        <w:ind w:left="283" w:hanging="170"/>
      </w:pPr>
      <w:r>
        <w:rPr>
          <w:b/>
        </w:rPr>
        <w:t xml:space="preserve">• </w:t>
      </w:r>
      <w:r>
        <w:t>The same pipeline can be expanded from one question to a larger Stack Overflow dataset without major architectural changes.</w:t>
      </w:r>
    </w:p>
    <w:p>
      <w:r>
        <w:rPr>
          <w:b/>
        </w:rPr>
        <w:t xml:space="preserve">What surprised me: </w:t>
      </w:r>
    </w:p>
    <w:p>
      <w:pPr>
        <w:ind w:left="283" w:hanging="170"/>
      </w:pPr>
      <w:r>
        <w:rPr>
          <w:b/>
        </w:rPr>
        <w:t xml:space="preserve">• </w:t>
      </w:r>
      <w:r>
        <w:t>The biggest blocking problem was not writing the API call itself but solving operational issues such as billing and environment configuration.</w:t>
      </w:r>
    </w:p>
    <w:p>
      <w:pPr>
        <w:ind w:left="283" w:hanging="170"/>
      </w:pPr>
      <w:r>
        <w:rPr>
          <w:b/>
        </w:rPr>
        <w:t xml:space="preserve">• </w:t>
      </w:r>
      <w:r>
        <w:t>ChatGPT access and API access are separate in practice, which became visible only during testing.</w:t>
      </w:r>
    </w:p>
    <w:p>
      <w:pPr>
        <w:ind w:left="283" w:hanging="170"/>
      </w:pPr>
      <w:r>
        <w:rPr>
          <w:b/>
        </w:rPr>
        <w:t xml:space="preserve">• </w:t>
      </w:r>
      <w:r>
        <w:t>The choice to save readable TXT output became more important than expected, because raw JSON is correct for storage but not comfortable for human evaluators.</w:t>
      </w:r>
    </w:p>
    <w:p>
      <w:r>
        <w:rPr>
          <w:b/>
        </w:rPr>
        <w:t xml:space="preserve">Reflection on Managing: </w:t>
      </w:r>
    </w:p>
    <w:p>
      <w:r>
        <w:t>The managing aspect in this log is small but real. I monitored the setup quality through repeated tests, noticed where the process broke, and corrected the pipeline after each failure. This is an early form of LO5 because I was not only building the system, but also controlling whether it remained usable and improving it based on observed issues.</w:t>
      </w:r>
    </w:p>
    <w:p>
      <w:pPr>
        <w:pStyle w:val="Heading1"/>
      </w:pPr>
      <w:r>
        <w:t>7. What this unlocks</w:t>
      </w:r>
    </w:p>
    <w:p>
      <w:pPr>
        <w:ind w:left="283" w:hanging="170"/>
      </w:pPr>
      <w:r>
        <w:rPr>
          <w:b/>
        </w:rPr>
        <w:t xml:space="preserve">• </w:t>
      </w:r>
      <w:r>
        <w:t>I can now move from single-question tests to a small batch of benchmark questions.</w:t>
      </w:r>
    </w:p>
    <w:p>
      <w:pPr>
        <w:ind w:left="283" w:hanging="170"/>
      </w:pPr>
      <w:r>
        <w:rPr>
          <w:b/>
        </w:rPr>
        <w:t xml:space="preserve">• </w:t>
      </w:r>
      <w:r>
        <w:t>I can systematically save outputs for later human scoring.</w:t>
      </w:r>
    </w:p>
    <w:p>
      <w:pPr>
        <w:ind w:left="283" w:hanging="170"/>
      </w:pPr>
      <w:r>
        <w:rPr>
          <w:b/>
        </w:rPr>
        <w:t xml:space="preserve">• </w:t>
      </w:r>
      <w:r>
        <w:t>I can extend the one-question script into a dataset-generation pipeline.</w:t>
      </w:r>
    </w:p>
    <w:p>
      <w:pPr>
        <w:ind w:left="283" w:hanging="170"/>
      </w:pPr>
      <w:r>
        <w:rPr>
          <w:b/>
        </w:rPr>
        <w:t xml:space="preserve">• </w:t>
      </w:r>
      <w:r>
        <w:t>I have implementation evidence that directly supports the StackEval recreation methodology.</w:t>
      </w:r>
    </w:p>
    <w:p>
      <w:r>
        <w:rPr>
          <w:b/>
        </w:rPr>
        <w:t xml:space="preserve">Implementation evidence: </w:t>
      </w:r>
      <w:r>
        <w:t>Working scripts, saved JSON/TXT outputs, terminal run success, and future Git commits documenting the pipeline steps.</w:t>
      </w:r>
    </w:p>
    <w:p>
      <w:r>
        <w:rPr>
          <w:b/>
        </w:rPr>
        <w:t xml:space="preserve">Next LO stage: </w:t>
      </w:r>
      <w:r>
        <w:t>Realizing, followed by Managing when batch testing and evaluation monitoring begin.</w:t>
      </w:r>
    </w:p>
    <w:p>
      <w:r>
        <w:rPr>
          <w:b/>
        </w:rPr>
        <w:t xml:space="preserve">What I can now do: </w:t>
      </w:r>
      <w:r>
        <w:t>Run the same question through all selected models, begin testing multiple questions, prepare scoring material for developers, and later calculate average scores per model.</w:t>
      </w:r>
    </w:p>
    <w:p>
      <w:r>
        <w:rPr>
          <w:b/>
        </w:rPr>
        <w:t xml:space="preserve">How I will know this worked: </w:t>
      </w:r>
      <w:r>
        <w:t>If multiple benchmark questions can be sent automatically to all selected models and their outputs can be reviewed and scored consistently by developers, then this implementation step has worked.</w:t>
      </w:r>
    </w:p>
    <w:p>
      <w:pPr>
        <w:pStyle w:val="Heading2"/>
      </w:pPr>
      <w:r>
        <w:t>Key sources used</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D9EAF7"/>
            <w:vAlign w:val="center"/>
            <w:tcMar>
              <w:top w:w="100" w:type="dxa"/>
              <w:start w:w="120" w:type="dxa"/>
              <w:bottom w:w="100" w:type="dxa"/>
              <w:end w:w="120" w:type="dxa"/>
            </w:tcMar>
          </w:tcPr>
          <w:p>
            <w:r>
              <w:rPr>
                <w:b/>
              </w:rPr>
              <w:t>Source</w:t>
            </w:r>
          </w:p>
        </w:tc>
        <w:tc>
          <w:tcPr>
            <w:tcW w:type="dxa" w:w="3249"/>
            <w:shd w:fill="D9EAF7"/>
            <w:vAlign w:val="center"/>
            <w:tcMar>
              <w:top w:w="100" w:type="dxa"/>
              <w:start w:w="120" w:type="dxa"/>
              <w:bottom w:w="100" w:type="dxa"/>
              <w:end w:w="120" w:type="dxa"/>
            </w:tcMar>
          </w:tcPr>
          <w:p>
            <w:r>
              <w:rPr>
                <w:b/>
              </w:rPr>
              <w:t>Why it was used</w:t>
            </w:r>
          </w:p>
        </w:tc>
        <w:tc>
          <w:tcPr>
            <w:tcW w:type="dxa" w:w="3249"/>
            <w:shd w:fill="D9EAF7"/>
            <w:vAlign w:val="center"/>
            <w:tcMar>
              <w:top w:w="100" w:type="dxa"/>
              <w:start w:w="120" w:type="dxa"/>
              <w:bottom w:w="100" w:type="dxa"/>
              <w:end w:w="120" w:type="dxa"/>
            </w:tcMar>
          </w:tcPr>
          <w:p>
            <w:r>
              <w:rPr>
                <w:b/>
              </w:rPr>
              <w:t>Link</w:t>
            </w:r>
          </w:p>
        </w:tc>
      </w:tr>
      <w:tr>
        <w:tc>
          <w:tcPr>
            <w:tcW w:type="dxa" w:w="2268"/>
            <w:vAlign w:val="center"/>
            <w:tcMar>
              <w:top w:w="100" w:type="dxa"/>
              <w:start w:w="120" w:type="dxa"/>
              <w:bottom w:w="100" w:type="dxa"/>
              <w:end w:w="120" w:type="dxa"/>
            </w:tcMar>
          </w:tcPr>
          <w:p>
            <w:r>
              <w:t>Prosus StackEval GitHub</w:t>
            </w:r>
          </w:p>
        </w:tc>
        <w:tc>
          <w:tcPr>
            <w:tcW w:type="dxa" w:w="4535"/>
            <w:vAlign w:val="center"/>
            <w:tcMar>
              <w:top w:w="100" w:type="dxa"/>
              <w:start w:w="120" w:type="dxa"/>
              <w:bottom w:w="100" w:type="dxa"/>
              <w:end w:w="120" w:type="dxa"/>
            </w:tcMar>
          </w:tcPr>
          <w:p>
            <w:r>
              <w:t>Shows the official benchmark repository and supports the decision to recreate a structured coding-assistance benchmark.</w:t>
            </w:r>
          </w:p>
        </w:tc>
        <w:tc>
          <w:tcPr>
            <w:tcW w:type="dxa" w:w="2835"/>
            <w:vAlign w:val="center"/>
            <w:tcMar>
              <w:top w:w="100" w:type="dxa"/>
              <w:start w:w="120" w:type="dxa"/>
              <w:bottom w:w="100" w:type="dxa"/>
              <w:end w:w="120" w:type="dxa"/>
            </w:tcMar>
          </w:tcPr>
          <w:p>
            <w:r>
              <w:t>https://github.com/ProsusAI/stack-eval</w:t>
            </w:r>
          </w:p>
        </w:tc>
      </w:tr>
      <w:tr>
        <w:tc>
          <w:tcPr>
            <w:tcW w:type="dxa" w:w="2268"/>
            <w:vAlign w:val="center"/>
            <w:tcMar>
              <w:top w:w="100" w:type="dxa"/>
              <w:start w:w="120" w:type="dxa"/>
              <w:bottom w:w="100" w:type="dxa"/>
              <w:end w:w="120" w:type="dxa"/>
            </w:tcMar>
          </w:tcPr>
          <w:p>
            <w:r>
              <w:t>StackEval paper (OpenReview)</w:t>
            </w:r>
          </w:p>
        </w:tc>
        <w:tc>
          <w:tcPr>
            <w:tcW w:type="dxa" w:w="4535"/>
            <w:vAlign w:val="center"/>
            <w:tcMar>
              <w:top w:w="100" w:type="dxa"/>
              <w:start w:w="120" w:type="dxa"/>
              <w:bottom w:w="100" w:type="dxa"/>
              <w:end w:w="120" w:type="dxa"/>
            </w:tcMar>
          </w:tcPr>
          <w:p>
            <w:r>
              <w:t>Explains the benchmark motivation, dataset design, and reproducibility goal.</w:t>
            </w:r>
          </w:p>
        </w:tc>
        <w:tc>
          <w:tcPr>
            <w:tcW w:type="dxa" w:w="2835"/>
            <w:vAlign w:val="center"/>
            <w:tcMar>
              <w:top w:w="100" w:type="dxa"/>
              <w:start w:w="120" w:type="dxa"/>
              <w:bottom w:w="100" w:type="dxa"/>
              <w:end w:w="120" w:type="dxa"/>
            </w:tcMar>
          </w:tcPr>
          <w:p>
            <w:r>
              <w:t>https://openreview.net/forum?id=42mqpIrA39</w:t>
            </w:r>
          </w:p>
        </w:tc>
      </w:tr>
      <w:tr>
        <w:tc>
          <w:tcPr>
            <w:tcW w:type="dxa" w:w="2268"/>
            <w:vAlign w:val="center"/>
            <w:tcMar>
              <w:top w:w="100" w:type="dxa"/>
              <w:start w:w="120" w:type="dxa"/>
              <w:bottom w:w="100" w:type="dxa"/>
              <w:end w:w="120" w:type="dxa"/>
            </w:tcMar>
          </w:tcPr>
          <w:p>
            <w:r>
              <w:t>OpenAI API quickstart</w:t>
            </w:r>
          </w:p>
        </w:tc>
        <w:tc>
          <w:tcPr>
            <w:tcW w:type="dxa" w:w="4535"/>
            <w:vAlign w:val="center"/>
            <w:tcMar>
              <w:top w:w="100" w:type="dxa"/>
              <w:start w:w="120" w:type="dxa"/>
              <w:bottom w:w="100" w:type="dxa"/>
              <w:end w:w="120" w:type="dxa"/>
            </w:tcMar>
          </w:tcPr>
          <w:p>
            <w:r>
              <w:t>Used to guide OpenAI key creation, first API request, and official API setup.</w:t>
            </w:r>
          </w:p>
        </w:tc>
        <w:tc>
          <w:tcPr>
            <w:tcW w:type="dxa" w:w="2835"/>
            <w:vAlign w:val="center"/>
            <w:tcMar>
              <w:top w:w="100" w:type="dxa"/>
              <w:start w:w="120" w:type="dxa"/>
              <w:bottom w:w="100" w:type="dxa"/>
              <w:end w:w="120" w:type="dxa"/>
            </w:tcMar>
          </w:tcPr>
          <w:p>
            <w:r>
              <w:t>https://developers.openai.com/api/docs/quickstart/</w:t>
            </w:r>
          </w:p>
        </w:tc>
      </w:tr>
      <w:tr>
        <w:tc>
          <w:tcPr>
            <w:tcW w:type="dxa" w:w="2268"/>
            <w:vAlign w:val="center"/>
            <w:tcMar>
              <w:top w:w="100" w:type="dxa"/>
              <w:start w:w="120" w:type="dxa"/>
              <w:bottom w:w="100" w:type="dxa"/>
              <w:end w:w="120" w:type="dxa"/>
            </w:tcMar>
          </w:tcPr>
          <w:p>
            <w:r>
              <w:t>Anthropic Sonnet 4.6 release</w:t>
            </w:r>
          </w:p>
        </w:tc>
        <w:tc>
          <w:tcPr>
            <w:tcW w:type="dxa" w:w="4535"/>
            <w:vAlign w:val="center"/>
            <w:tcMar>
              <w:top w:w="100" w:type="dxa"/>
              <w:start w:w="120" w:type="dxa"/>
              <w:bottom w:w="100" w:type="dxa"/>
              <w:end w:w="120" w:type="dxa"/>
            </w:tcMar>
          </w:tcPr>
          <w:p>
            <w:r>
              <w:t>Used to justify Sonnet 4.6 as the competitor model in the project.</w:t>
            </w:r>
          </w:p>
        </w:tc>
        <w:tc>
          <w:tcPr>
            <w:tcW w:type="dxa" w:w="2835"/>
            <w:vAlign w:val="center"/>
            <w:tcMar>
              <w:top w:w="100" w:type="dxa"/>
              <w:start w:w="120" w:type="dxa"/>
              <w:bottom w:w="100" w:type="dxa"/>
              <w:end w:w="120" w:type="dxa"/>
            </w:tcMar>
          </w:tcPr>
          <w:p>
            <w:r>
              <w:t>https://www.anthropic.com/news/claude-sonnet-4-6</w:t>
            </w:r>
          </w:p>
        </w:tc>
      </w:tr>
      <w:tr>
        <w:tc>
          <w:tcPr>
            <w:tcW w:type="dxa" w:w="2268"/>
            <w:vAlign w:val="center"/>
            <w:tcMar>
              <w:top w:w="100" w:type="dxa"/>
              <w:start w:w="120" w:type="dxa"/>
              <w:bottom w:w="100" w:type="dxa"/>
              <w:end w:w="120" w:type="dxa"/>
            </w:tcMar>
          </w:tcPr>
          <w:p>
            <w:r>
              <w:t>Anthropic models overview</w:t>
            </w:r>
          </w:p>
        </w:tc>
        <w:tc>
          <w:tcPr>
            <w:tcW w:type="dxa" w:w="4535"/>
            <w:vAlign w:val="center"/>
            <w:tcMar>
              <w:top w:w="100" w:type="dxa"/>
              <w:start w:w="120" w:type="dxa"/>
              <w:bottom w:w="100" w:type="dxa"/>
              <w:end w:w="120" w:type="dxa"/>
            </w:tcMar>
          </w:tcPr>
          <w:p>
            <w:r>
              <w:t>Used to verify Claude model availability and API-facing model information.</w:t>
            </w:r>
          </w:p>
        </w:tc>
        <w:tc>
          <w:tcPr>
            <w:tcW w:type="dxa" w:w="2835"/>
            <w:vAlign w:val="center"/>
            <w:tcMar>
              <w:top w:w="100" w:type="dxa"/>
              <w:start w:w="120" w:type="dxa"/>
              <w:bottom w:w="100" w:type="dxa"/>
              <w:end w:w="120" w:type="dxa"/>
            </w:tcMar>
          </w:tcPr>
          <w:p>
            <w:r>
              <w:t>https://platform.claude.com/docs/en/about-claude/models/overview</w:t>
            </w:r>
          </w:p>
        </w:tc>
      </w:tr>
      <w:tr>
        <w:tc>
          <w:tcPr>
            <w:tcW w:type="dxa" w:w="2268"/>
            <w:vAlign w:val="center"/>
            <w:tcMar>
              <w:top w:w="100" w:type="dxa"/>
              <w:start w:w="120" w:type="dxa"/>
              <w:bottom w:w="100" w:type="dxa"/>
              <w:end w:w="120" w:type="dxa"/>
            </w:tcMar>
          </w:tcPr>
          <w:p>
            <w:r>
              <w:t>OpenRouter Llama pages</w:t>
            </w:r>
          </w:p>
        </w:tc>
        <w:tc>
          <w:tcPr>
            <w:tcW w:type="dxa" w:w="4535"/>
            <w:vAlign w:val="center"/>
            <w:tcMar>
              <w:top w:w="100" w:type="dxa"/>
              <w:start w:w="120" w:type="dxa"/>
              <w:bottom w:w="100" w:type="dxa"/>
              <w:end w:w="120" w:type="dxa"/>
            </w:tcMar>
          </w:tcPr>
          <w:p>
            <w:r>
              <w:t>Used to justify the API route for Llama 4 Maverick in the project.</w:t>
            </w:r>
          </w:p>
        </w:tc>
        <w:tc>
          <w:tcPr>
            <w:tcW w:type="dxa" w:w="2835"/>
            <w:vAlign w:val="center"/>
            <w:tcMar>
              <w:top w:w="100" w:type="dxa"/>
              <w:start w:w="120" w:type="dxa"/>
              <w:bottom w:w="100" w:type="dxa"/>
              <w:end w:w="120" w:type="dxa"/>
            </w:tcMar>
          </w:tcPr>
          <w:p>
            <w:r>
              <w:t>https://openrouter.ai/meta-llama/llama-4-maverick</w:t>
            </w:r>
          </w:p>
        </w:tc>
      </w:tr>
      <w:tr>
        <w:tc>
          <w:tcPr>
            <w:tcW w:type="dxa" w:w="2268"/>
            <w:vAlign w:val="center"/>
            <w:tcMar>
              <w:top w:w="100" w:type="dxa"/>
              <w:start w:w="120" w:type="dxa"/>
              <w:bottom w:w="100" w:type="dxa"/>
              <w:end w:w="120" w:type="dxa"/>
            </w:tcMar>
          </w:tcPr>
          <w:p>
            <w:r>
              <w:t>Meta Llama 4 announcement</w:t>
            </w:r>
          </w:p>
        </w:tc>
        <w:tc>
          <w:tcPr>
            <w:tcW w:type="dxa" w:w="4535"/>
            <w:vAlign w:val="center"/>
            <w:tcMar>
              <w:top w:w="100" w:type="dxa"/>
              <w:start w:w="120" w:type="dxa"/>
              <w:bottom w:w="100" w:type="dxa"/>
              <w:end w:w="120" w:type="dxa"/>
            </w:tcMar>
          </w:tcPr>
          <w:p>
            <w:r>
              <w:t>Used to describe why Maverick fits the stronger open-model category.</w:t>
            </w:r>
          </w:p>
        </w:tc>
        <w:tc>
          <w:tcPr>
            <w:tcW w:type="dxa" w:w="2835"/>
            <w:vAlign w:val="center"/>
            <w:tcMar>
              <w:top w:w="100" w:type="dxa"/>
              <w:start w:w="120" w:type="dxa"/>
              <w:bottom w:w="100" w:type="dxa"/>
              <w:end w:w="120" w:type="dxa"/>
            </w:tcMar>
          </w:tcPr>
          <w:p>
            <w:r>
              <w:t>https://ai.meta.com/blog/llama-4-multimodal-intelligence/</w:t>
            </w:r>
          </w:p>
        </w:tc>
      </w:tr>
    </w:tbl>
    <w:p>
      <w:pPr>
        <w:pStyle w:val="Heading2"/>
      </w:pPr>
      <w:r>
        <w:t>Links to related project documents</w:t>
      </w:r>
    </w:p>
    <w:p>
      <w:pPr>
        <w:ind w:left="283" w:hanging="170"/>
      </w:pPr>
      <w:r>
        <w:rPr>
          <w:b/>
        </w:rPr>
        <w:t xml:space="preserve">• </w:t>
      </w:r>
      <w:r>
        <w:t>Portfolio Guide.pdf</w:t>
      </w:r>
    </w:p>
    <w:p>
      <w:pPr>
        <w:ind w:left="283" w:hanging="170"/>
      </w:pPr>
      <w:r>
        <w:rPr>
          <w:b/>
        </w:rPr>
        <w:t xml:space="preserve">• </w:t>
      </w:r>
      <w:r>
        <w:t>Decision_Log_Documentation_For_GenAI_Project.pdf</w:t>
      </w:r>
    </w:p>
    <w:p>
      <w:pPr>
        <w:ind w:left="283" w:hanging="170"/>
      </w:pPr>
      <w:r>
        <w:rPr>
          <w:b/>
        </w:rPr>
        <w:t xml:space="preserve">• </w:t>
      </w:r>
      <w:r>
        <w:t>GenAI_LO's_Explanations.pdf</w:t>
      </w:r>
    </w:p>
    <w:p>
      <w:pPr>
        <w:ind w:left="283" w:hanging="170"/>
      </w:pPr>
      <w:r>
        <w:rPr>
          <w:b/>
        </w:rPr>
        <w:t xml:space="preserve">• </w:t>
      </w:r>
      <w:r>
        <w:t>StackEval_Project_Understanding.pdf</w:t>
      </w:r>
    </w:p>
    <w:p>
      <w:pPr>
        <w:ind w:left="283" w:hanging="170"/>
      </w:pPr>
      <w:r>
        <w:rPr>
          <w:b/>
        </w:rPr>
        <w:t xml:space="preserve">• </w:t>
      </w:r>
      <w:r>
        <w:t>Decision-log-2-Model-decision(Updated).docx</w:t>
      </w:r>
    </w:p>
    <w:p>
      <w:pPr>
        <w:ind w:left="283" w:hanging="170"/>
      </w:pPr>
      <w:r>
        <w:rPr>
          <w:b/>
        </w:rPr>
        <w:t xml:space="preserve">• </w:t>
      </w:r>
      <w:r>
        <w:t>Decision-log-3-API_vs_Manual.docx</w:t>
      </w:r>
    </w:p>
    <w:p>
      <w:pPr>
        <w:ind w:left="283" w:hanging="170"/>
      </w:pPr>
      <w:r>
        <w:rPr>
          <w:b/>
        </w:rPr>
        <w:t xml:space="preserve">• </w:t>
      </w:r>
      <w:r>
        <w:t>Git-Usage.pdf</w:t>
      </w:r>
    </w:p>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69"/>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24406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4406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pPr>
    <w:rPr>
      <w:rFonts w:ascii="Aptos" w:hAnsi="Aptos" w:eastAsia="Aptos"/>
      <w:color w:val="444444"/>
      <w:sz w:val="18"/>
    </w:rPr>
  </w:style>
  <w:style w:type="paragraph" w:customStyle="1" w:styleId="BoxText">
    <w:name w:val="BoxText"/>
    <w:pPr>
      <w:spacing w:after="60" w:line="264" w:lineRule="auto"/>
    </w:pPr>
    <w:rPr>
      <w:rFonts w:ascii="Aptos" w:hAnsi="Aptos" w:eastAsia="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