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40D66" w14:textId="77777777" w:rsidR="0040499F" w:rsidRDefault="0040499F">
      <w:pPr>
        <w:pStyle w:val="DLTitle"/>
      </w:pPr>
    </w:p>
    <w:p w14:paraId="3C1F7F2F" w14:textId="55DF9A01" w:rsidR="00220DD2" w:rsidRDefault="00000000">
      <w:pPr>
        <w:pStyle w:val="DLTitle"/>
      </w:pPr>
      <w:r>
        <w:t>Decision Log 3 (Updated)</w:t>
      </w:r>
    </w:p>
    <w:p w14:paraId="1F5EF988" w14:textId="77777777" w:rsidR="00220DD2" w:rsidRDefault="00000000">
      <w:pPr>
        <w:pStyle w:val="DLSubtitle"/>
      </w:pPr>
      <w:r>
        <w:t>API-Based Querying for StackEval Execution and First Prototype Validation</w:t>
      </w:r>
    </w:p>
    <w:tbl>
      <w:tblPr>
        <w:tblW w:w="0" w:type="auto"/>
        <w:tblLayout w:type="fixed"/>
        <w:tblLook w:val="04A0" w:firstRow="1" w:lastRow="0" w:firstColumn="1" w:lastColumn="0" w:noHBand="0" w:noVBand="1"/>
      </w:tblPr>
      <w:tblGrid>
        <w:gridCol w:w="1814"/>
        <w:gridCol w:w="3118"/>
        <w:gridCol w:w="1814"/>
        <w:gridCol w:w="2608"/>
        <w:gridCol w:w="227"/>
      </w:tblGrid>
      <w:tr w:rsidR="00220DD2" w14:paraId="65101A97" w14:textId="77777777">
        <w:trPr>
          <w:gridAfter w:val="1"/>
          <w:wAfter w:w="16" w:type="dxa"/>
        </w:trPr>
        <w:tc>
          <w:tcPr>
            <w:tcW w:w="9354" w:type="dxa"/>
            <w:gridSpan w:val="4"/>
            <w:shd w:val="clear" w:color="auto" w:fill="224D7A"/>
          </w:tcPr>
          <w:p w14:paraId="19978683" w14:textId="77777777" w:rsidR="00220DD2" w:rsidRDefault="00220DD2"/>
        </w:tc>
      </w:tr>
      <w:tr w:rsidR="00220DD2" w14:paraId="636B585D" w14:textId="77777777">
        <w:tc>
          <w:tcPr>
            <w:tcW w:w="1814" w:type="dxa"/>
            <w:tcBorders>
              <w:top w:val="single" w:sz="6" w:space="0" w:color="D9E2F0"/>
              <w:left w:val="single" w:sz="6" w:space="0" w:color="D9E2F0"/>
              <w:bottom w:val="single" w:sz="6" w:space="0" w:color="D9E2F0"/>
              <w:right w:val="single" w:sz="6" w:space="0" w:color="D9E2F0"/>
            </w:tcBorders>
            <w:shd w:val="clear" w:color="auto" w:fill="EDF3F9"/>
            <w:tcMar>
              <w:top w:w="70" w:type="dxa"/>
              <w:left w:w="90" w:type="dxa"/>
              <w:bottom w:w="70" w:type="dxa"/>
              <w:right w:w="90" w:type="dxa"/>
            </w:tcMar>
            <w:vAlign w:val="center"/>
          </w:tcPr>
          <w:p w14:paraId="35D90C3E" w14:textId="77777777" w:rsidR="00220DD2" w:rsidRDefault="00000000">
            <w:r>
              <w:rPr>
                <w:b/>
                <w:color w:val="224D7A"/>
              </w:rPr>
              <w:t>Project</w:t>
            </w:r>
          </w:p>
        </w:tc>
        <w:tc>
          <w:tcPr>
            <w:tcW w:w="3118" w:type="dxa"/>
            <w:tcBorders>
              <w:top w:val="single" w:sz="6" w:space="0" w:color="D9E2F0"/>
              <w:left w:val="single" w:sz="6" w:space="0" w:color="D9E2F0"/>
              <w:bottom w:val="single" w:sz="6" w:space="0" w:color="D9E2F0"/>
              <w:right w:val="single" w:sz="6" w:space="0" w:color="D9E2F0"/>
            </w:tcBorders>
            <w:tcMar>
              <w:top w:w="70" w:type="dxa"/>
              <w:left w:w="90" w:type="dxa"/>
              <w:bottom w:w="70" w:type="dxa"/>
              <w:right w:w="90" w:type="dxa"/>
            </w:tcMar>
            <w:vAlign w:val="center"/>
          </w:tcPr>
          <w:p w14:paraId="62B763E3" w14:textId="77777777" w:rsidR="00220DD2" w:rsidRDefault="00000000">
            <w:r>
              <w:t>StackEval Benchmark – Professional Research Project</w:t>
            </w:r>
          </w:p>
        </w:tc>
        <w:tc>
          <w:tcPr>
            <w:tcW w:w="1814" w:type="dxa"/>
            <w:tcBorders>
              <w:top w:val="single" w:sz="6" w:space="0" w:color="D9E2F0"/>
              <w:left w:val="single" w:sz="6" w:space="0" w:color="D9E2F0"/>
              <w:bottom w:val="single" w:sz="6" w:space="0" w:color="D9E2F0"/>
              <w:right w:val="single" w:sz="6" w:space="0" w:color="D9E2F0"/>
            </w:tcBorders>
            <w:shd w:val="clear" w:color="auto" w:fill="EDF3F9"/>
            <w:tcMar>
              <w:top w:w="70" w:type="dxa"/>
              <w:left w:w="90" w:type="dxa"/>
              <w:bottom w:w="70" w:type="dxa"/>
              <w:right w:w="90" w:type="dxa"/>
            </w:tcMar>
            <w:vAlign w:val="center"/>
          </w:tcPr>
          <w:p w14:paraId="307FF29A" w14:textId="77777777" w:rsidR="00220DD2" w:rsidRDefault="00000000">
            <w:r>
              <w:rPr>
                <w:b/>
                <w:color w:val="224D7A"/>
              </w:rPr>
              <w:t>Document type</w:t>
            </w:r>
          </w:p>
        </w:tc>
        <w:tc>
          <w:tcPr>
            <w:tcW w:w="2835" w:type="dxa"/>
            <w:gridSpan w:val="2"/>
            <w:tcBorders>
              <w:top w:val="single" w:sz="6" w:space="0" w:color="D9E2F0"/>
              <w:left w:val="single" w:sz="6" w:space="0" w:color="D9E2F0"/>
              <w:bottom w:val="single" w:sz="6" w:space="0" w:color="D9E2F0"/>
              <w:right w:val="single" w:sz="6" w:space="0" w:color="D9E2F0"/>
            </w:tcBorders>
            <w:tcMar>
              <w:top w:w="70" w:type="dxa"/>
              <w:left w:w="90" w:type="dxa"/>
              <w:bottom w:w="70" w:type="dxa"/>
              <w:right w:w="90" w:type="dxa"/>
            </w:tcMar>
            <w:vAlign w:val="center"/>
          </w:tcPr>
          <w:p w14:paraId="378AD071" w14:textId="77777777" w:rsidR="00220DD2" w:rsidRDefault="00000000">
            <w:r>
              <w:t>Decision Log</w:t>
            </w:r>
          </w:p>
        </w:tc>
      </w:tr>
      <w:tr w:rsidR="00220DD2" w14:paraId="1130DBBE" w14:textId="77777777">
        <w:tc>
          <w:tcPr>
            <w:tcW w:w="1814" w:type="dxa"/>
            <w:tcBorders>
              <w:top w:val="single" w:sz="6" w:space="0" w:color="D9E2F0"/>
              <w:left w:val="single" w:sz="6" w:space="0" w:color="D9E2F0"/>
              <w:bottom w:val="single" w:sz="6" w:space="0" w:color="D9E2F0"/>
              <w:right w:val="single" w:sz="6" w:space="0" w:color="D9E2F0"/>
            </w:tcBorders>
            <w:shd w:val="clear" w:color="auto" w:fill="EDF3F9"/>
            <w:tcMar>
              <w:top w:w="70" w:type="dxa"/>
              <w:left w:w="90" w:type="dxa"/>
              <w:bottom w:w="70" w:type="dxa"/>
              <w:right w:w="90" w:type="dxa"/>
            </w:tcMar>
            <w:vAlign w:val="center"/>
          </w:tcPr>
          <w:p w14:paraId="2829D568" w14:textId="77777777" w:rsidR="00220DD2" w:rsidRDefault="00000000">
            <w:r>
              <w:rPr>
                <w:b/>
                <w:color w:val="224D7A"/>
              </w:rPr>
              <w:t>Prepared for</w:t>
            </w:r>
          </w:p>
        </w:tc>
        <w:tc>
          <w:tcPr>
            <w:tcW w:w="3118" w:type="dxa"/>
            <w:tcBorders>
              <w:top w:val="single" w:sz="6" w:space="0" w:color="D9E2F0"/>
              <w:left w:val="single" w:sz="6" w:space="0" w:color="D9E2F0"/>
              <w:bottom w:val="single" w:sz="6" w:space="0" w:color="D9E2F0"/>
              <w:right w:val="single" w:sz="6" w:space="0" w:color="D9E2F0"/>
            </w:tcBorders>
            <w:tcMar>
              <w:top w:w="70" w:type="dxa"/>
              <w:left w:w="90" w:type="dxa"/>
              <w:bottom w:w="70" w:type="dxa"/>
              <w:right w:w="90" w:type="dxa"/>
            </w:tcMar>
            <w:vAlign w:val="center"/>
          </w:tcPr>
          <w:p w14:paraId="67ECC6A7" w14:textId="77777777" w:rsidR="00220DD2" w:rsidRDefault="00000000">
            <w:r>
              <w:t>Portfolio evidence / GenAI project documentation</w:t>
            </w:r>
          </w:p>
        </w:tc>
        <w:tc>
          <w:tcPr>
            <w:tcW w:w="1814" w:type="dxa"/>
            <w:tcBorders>
              <w:top w:val="single" w:sz="6" w:space="0" w:color="D9E2F0"/>
              <w:left w:val="single" w:sz="6" w:space="0" w:color="D9E2F0"/>
              <w:bottom w:val="single" w:sz="6" w:space="0" w:color="D9E2F0"/>
              <w:right w:val="single" w:sz="6" w:space="0" w:color="D9E2F0"/>
            </w:tcBorders>
            <w:shd w:val="clear" w:color="auto" w:fill="EDF3F9"/>
            <w:tcMar>
              <w:top w:w="70" w:type="dxa"/>
              <w:left w:w="90" w:type="dxa"/>
              <w:bottom w:w="70" w:type="dxa"/>
              <w:right w:w="90" w:type="dxa"/>
            </w:tcMar>
            <w:vAlign w:val="center"/>
          </w:tcPr>
          <w:p w14:paraId="018DE6A3" w14:textId="77777777" w:rsidR="00220DD2" w:rsidRDefault="00000000">
            <w:r>
              <w:rPr>
                <w:b/>
                <w:color w:val="224D7A"/>
              </w:rPr>
              <w:t>Date</w:t>
            </w:r>
          </w:p>
        </w:tc>
        <w:tc>
          <w:tcPr>
            <w:tcW w:w="2835" w:type="dxa"/>
            <w:gridSpan w:val="2"/>
            <w:tcBorders>
              <w:top w:val="single" w:sz="6" w:space="0" w:color="D9E2F0"/>
              <w:left w:val="single" w:sz="6" w:space="0" w:color="D9E2F0"/>
              <w:bottom w:val="single" w:sz="6" w:space="0" w:color="D9E2F0"/>
              <w:right w:val="single" w:sz="6" w:space="0" w:color="D9E2F0"/>
            </w:tcBorders>
            <w:tcMar>
              <w:top w:w="70" w:type="dxa"/>
              <w:left w:w="90" w:type="dxa"/>
              <w:bottom w:w="70" w:type="dxa"/>
              <w:right w:w="90" w:type="dxa"/>
            </w:tcMar>
            <w:vAlign w:val="center"/>
          </w:tcPr>
          <w:p w14:paraId="3BD5B942" w14:textId="77777777" w:rsidR="00220DD2" w:rsidRDefault="00000000">
            <w:r>
              <w:t>31 March 2026</w:t>
            </w:r>
          </w:p>
        </w:tc>
      </w:tr>
      <w:tr w:rsidR="00220DD2" w14:paraId="302474C4" w14:textId="77777777">
        <w:tc>
          <w:tcPr>
            <w:tcW w:w="1814" w:type="dxa"/>
            <w:tcBorders>
              <w:top w:val="single" w:sz="6" w:space="0" w:color="D9E2F0"/>
              <w:left w:val="single" w:sz="6" w:space="0" w:color="D9E2F0"/>
              <w:bottom w:val="single" w:sz="6" w:space="0" w:color="D9E2F0"/>
              <w:right w:val="single" w:sz="6" w:space="0" w:color="D9E2F0"/>
            </w:tcBorders>
            <w:shd w:val="clear" w:color="auto" w:fill="EDF3F9"/>
            <w:tcMar>
              <w:top w:w="70" w:type="dxa"/>
              <w:left w:w="90" w:type="dxa"/>
              <w:bottom w:w="70" w:type="dxa"/>
              <w:right w:w="90" w:type="dxa"/>
            </w:tcMar>
            <w:vAlign w:val="center"/>
          </w:tcPr>
          <w:p w14:paraId="1A6AC0E6" w14:textId="77777777" w:rsidR="00220DD2" w:rsidRDefault="00000000">
            <w:r>
              <w:rPr>
                <w:b/>
                <w:color w:val="224D7A"/>
              </w:rPr>
              <w:t>Updated from</w:t>
            </w:r>
          </w:p>
        </w:tc>
        <w:tc>
          <w:tcPr>
            <w:tcW w:w="3118" w:type="dxa"/>
            <w:tcBorders>
              <w:top w:val="single" w:sz="6" w:space="0" w:color="D9E2F0"/>
              <w:left w:val="single" w:sz="6" w:space="0" w:color="D9E2F0"/>
              <w:bottom w:val="single" w:sz="6" w:space="0" w:color="D9E2F0"/>
              <w:right w:val="single" w:sz="6" w:space="0" w:color="D9E2F0"/>
            </w:tcBorders>
            <w:tcMar>
              <w:top w:w="70" w:type="dxa"/>
              <w:left w:w="90" w:type="dxa"/>
              <w:bottom w:w="70" w:type="dxa"/>
              <w:right w:w="90" w:type="dxa"/>
            </w:tcMar>
            <w:vAlign w:val="center"/>
          </w:tcPr>
          <w:p w14:paraId="0C76E5DD" w14:textId="77777777" w:rsidR="00220DD2" w:rsidRDefault="00000000">
            <w:r>
              <w:t>Original Decision Log 3 + prototype validation work</w:t>
            </w:r>
          </w:p>
        </w:tc>
        <w:tc>
          <w:tcPr>
            <w:tcW w:w="1814" w:type="dxa"/>
            <w:tcBorders>
              <w:top w:val="single" w:sz="6" w:space="0" w:color="D9E2F0"/>
              <w:left w:val="single" w:sz="6" w:space="0" w:color="D9E2F0"/>
              <w:bottom w:val="single" w:sz="6" w:space="0" w:color="D9E2F0"/>
              <w:right w:val="single" w:sz="6" w:space="0" w:color="D9E2F0"/>
            </w:tcBorders>
            <w:shd w:val="clear" w:color="auto" w:fill="EDF3F9"/>
            <w:tcMar>
              <w:top w:w="70" w:type="dxa"/>
              <w:left w:w="90" w:type="dxa"/>
              <w:bottom w:w="70" w:type="dxa"/>
              <w:right w:w="90" w:type="dxa"/>
            </w:tcMar>
            <w:vAlign w:val="center"/>
          </w:tcPr>
          <w:p w14:paraId="485D0C80" w14:textId="77777777" w:rsidR="00220DD2" w:rsidRDefault="00000000">
            <w:r>
              <w:rPr>
                <w:b/>
                <w:color w:val="224D7A"/>
              </w:rPr>
              <w:t>Prepared by</w:t>
            </w:r>
          </w:p>
        </w:tc>
        <w:tc>
          <w:tcPr>
            <w:tcW w:w="2835" w:type="dxa"/>
            <w:gridSpan w:val="2"/>
            <w:tcBorders>
              <w:top w:val="single" w:sz="6" w:space="0" w:color="D9E2F0"/>
              <w:left w:val="single" w:sz="6" w:space="0" w:color="D9E2F0"/>
              <w:bottom w:val="single" w:sz="6" w:space="0" w:color="D9E2F0"/>
              <w:right w:val="single" w:sz="6" w:space="0" w:color="D9E2F0"/>
            </w:tcBorders>
            <w:tcMar>
              <w:top w:w="70" w:type="dxa"/>
              <w:left w:w="90" w:type="dxa"/>
              <w:bottom w:w="70" w:type="dxa"/>
              <w:right w:w="90" w:type="dxa"/>
            </w:tcMar>
            <w:vAlign w:val="center"/>
          </w:tcPr>
          <w:p w14:paraId="34B573B3" w14:textId="67D7C3A9" w:rsidR="00220DD2" w:rsidRDefault="001242D6">
            <w:r>
              <w:t>Fatih</w:t>
            </w:r>
          </w:p>
        </w:tc>
      </w:tr>
    </w:tbl>
    <w:p w14:paraId="01A05BC6" w14:textId="77777777" w:rsidR="00220DD2" w:rsidRDefault="00220DD2"/>
    <w:tbl>
      <w:tblPr>
        <w:tblW w:w="0" w:type="auto"/>
        <w:tblLayout w:type="fixed"/>
        <w:tblLook w:val="04A0" w:firstRow="1" w:lastRow="0" w:firstColumn="1" w:lastColumn="0" w:noHBand="0" w:noVBand="1"/>
      </w:tblPr>
      <w:tblGrid>
        <w:gridCol w:w="5783"/>
        <w:gridCol w:w="3855"/>
      </w:tblGrid>
      <w:tr w:rsidR="00220DD2" w14:paraId="50F6B15F" w14:textId="77777777">
        <w:tc>
          <w:tcPr>
            <w:tcW w:w="9638" w:type="dxa"/>
            <w:gridSpan w:val="2"/>
            <w:shd w:val="clear" w:color="auto" w:fill="224D7A"/>
          </w:tcPr>
          <w:p w14:paraId="7FED62DD" w14:textId="77777777" w:rsidR="00220DD2" w:rsidRDefault="00000000">
            <w:r>
              <w:rPr>
                <w:b/>
                <w:color w:val="FFFFFF"/>
              </w:rPr>
              <w:t>At a glance</w:t>
            </w:r>
          </w:p>
        </w:tc>
      </w:tr>
      <w:tr w:rsidR="00220DD2" w14:paraId="33316DF1" w14:textId="77777777">
        <w:tc>
          <w:tcPr>
            <w:tcW w:w="5783" w:type="dxa"/>
            <w:shd w:val="clear" w:color="auto" w:fill="F6F8FB"/>
            <w:tcMar>
              <w:top w:w="100" w:type="dxa"/>
              <w:left w:w="120" w:type="dxa"/>
              <w:bottom w:w="100" w:type="dxa"/>
              <w:right w:w="120" w:type="dxa"/>
            </w:tcMar>
          </w:tcPr>
          <w:p w14:paraId="22FF5CE9" w14:textId="77777777" w:rsidR="00220DD2" w:rsidRDefault="00000000">
            <w:r>
              <w:rPr>
                <w:b/>
                <w:color w:val="224D7A"/>
              </w:rPr>
              <w:t xml:space="preserve">Final decision: </w:t>
            </w:r>
            <w:r>
              <w:t>Use API-based querying instead of manual prompting for benchmark execution.</w:t>
            </w:r>
          </w:p>
        </w:tc>
        <w:tc>
          <w:tcPr>
            <w:tcW w:w="3798" w:type="dxa"/>
            <w:shd w:val="clear" w:color="auto" w:fill="F6F8FB"/>
            <w:tcMar>
              <w:top w:w="100" w:type="dxa"/>
              <w:left w:w="120" w:type="dxa"/>
              <w:bottom w:w="100" w:type="dxa"/>
              <w:right w:w="120" w:type="dxa"/>
            </w:tcMar>
          </w:tcPr>
          <w:p w14:paraId="399C107D" w14:textId="77777777" w:rsidR="00220DD2" w:rsidRDefault="00000000">
            <w:r>
              <w:rPr>
                <w:b/>
                <w:color w:val="224D7A"/>
              </w:rPr>
              <w:t xml:space="preserve">LO stages: </w:t>
            </w:r>
            <w:r>
              <w:t>Analyzing, Advising, Designing, Realizing, Managing</w:t>
            </w:r>
          </w:p>
        </w:tc>
      </w:tr>
    </w:tbl>
    <w:p w14:paraId="0A538AEC" w14:textId="77777777" w:rsidR="00220DD2" w:rsidRDefault="00220DD2"/>
    <w:p w14:paraId="42054771" w14:textId="77777777" w:rsidR="00220DD2" w:rsidRDefault="00000000">
      <w:pPr>
        <w:pStyle w:val="SectionHeading"/>
      </w:pPr>
      <w:r>
        <w:t>Research question</w:t>
      </w:r>
    </w:p>
    <w:p w14:paraId="5F928D5F" w14:textId="77777777" w:rsidR="00220DD2" w:rsidRDefault="00000000">
      <w:r>
        <w:t>Which querying method is more suitable for executing the StackEval benchmark project: API-based querying or manual prompting?</w:t>
      </w:r>
    </w:p>
    <w:p w14:paraId="14464EC1" w14:textId="77777777" w:rsidR="00220DD2" w:rsidRDefault="00000000">
      <w:pPr>
        <w:pStyle w:val="SectionHeading"/>
      </w:pPr>
      <w:r>
        <w:t>0. Context – Why does this question exist?</w:t>
      </w:r>
    </w:p>
    <w:p w14:paraId="68480266" w14:textId="77777777" w:rsidR="00220DD2" w:rsidRDefault="00000000">
      <w:r>
        <w:t>After selecting the project focus and the benchmark model set, the next critical step was deciding how the models would actually be queried during the experiment. This decision matters because the StackEval recreation depends on fair comparison: the same real programming question must reach each model in a controlled way before developers can score the answers.</w:t>
      </w:r>
    </w:p>
    <w:p w14:paraId="2E5696BD" w14:textId="77777777" w:rsidR="00220DD2" w:rsidRDefault="00000000">
      <w:r>
        <w:t>This updated log sits between earlier project choices and the full benchmark execution stage. It builds directly on my project-selection log, my model-selection decision, and my original API-vs-manual comparison. It also incorporates the first working prototype validation, turning the decision from a design choice into an evidence-based implementation result.</w:t>
      </w:r>
    </w:p>
    <w:p w14:paraId="4AE19239" w14:textId="77777777" w:rsidR="00220DD2" w:rsidRDefault="00000000">
      <w:pPr>
        <w:pStyle w:val="SectionHeading"/>
      </w:pPr>
      <w:r>
        <w:t>1. Current LO stage</w:t>
      </w:r>
    </w:p>
    <w:p w14:paraId="4AB36C13" w14:textId="77777777" w:rsidR="00220DD2" w:rsidRDefault="00000000">
      <w:r>
        <w:t>☑ Analyzing    ☑ Advising    ☑ Designing    ☑ Realizing    ☑ Managing</w:t>
      </w:r>
    </w:p>
    <w:p w14:paraId="6045E6CC" w14:textId="77777777" w:rsidR="00220DD2" w:rsidRDefault="00000000">
      <w:pPr>
        <w:pStyle w:val="SectionHeading"/>
      </w:pPr>
      <w:r>
        <w:t>2. What makes a good decision here?</w:t>
      </w:r>
    </w:p>
    <w:p w14:paraId="74B40E67" w14:textId="77777777" w:rsidR="00220DD2" w:rsidRDefault="00000000">
      <w:pPr>
        <w:pStyle w:val="Subheading"/>
      </w:pPr>
      <w:r>
        <w:t>My criteria for success:</w:t>
      </w:r>
    </w:p>
    <w:p w14:paraId="3A996DA5" w14:textId="77777777" w:rsidR="00220DD2" w:rsidRDefault="00000000">
      <w:pPr>
        <w:pStyle w:val="TightBullet"/>
      </w:pPr>
      <w:r>
        <w:rPr>
          <w:b/>
        </w:rPr>
        <w:t xml:space="preserve">• </w:t>
      </w:r>
      <w:r>
        <w:t>The method must return responses from all selected models in under 1 minute per question.</w:t>
      </w:r>
    </w:p>
    <w:p w14:paraId="2B101FE5" w14:textId="319544C8" w:rsidR="00220DD2" w:rsidRDefault="00000000">
      <w:pPr>
        <w:pStyle w:val="TightBullet"/>
      </w:pPr>
      <w:r>
        <w:rPr>
          <w:b/>
        </w:rPr>
        <w:t xml:space="preserve">• </w:t>
      </w:r>
      <w:r>
        <w:t>The method must have a low</w:t>
      </w:r>
      <w:r w:rsidR="001242D6">
        <w:t>er</w:t>
      </w:r>
      <w:r>
        <w:t xml:space="preserve"> risk of human error during data collection.</w:t>
      </w:r>
    </w:p>
    <w:p w14:paraId="24A45C93" w14:textId="712F8E46" w:rsidR="00220DD2" w:rsidRDefault="00000000">
      <w:pPr>
        <w:pStyle w:val="TightBullet"/>
      </w:pPr>
      <w:r>
        <w:rPr>
          <w:b/>
        </w:rPr>
        <w:t xml:space="preserve">• </w:t>
      </w:r>
      <w:r>
        <w:t xml:space="preserve">The method must be </w:t>
      </w:r>
      <w:r w:rsidR="001242D6">
        <w:t xml:space="preserve">more </w:t>
      </w:r>
      <w:r>
        <w:t>reproducible and scalable for multiple benchmark questions.</w:t>
      </w:r>
    </w:p>
    <w:p w14:paraId="508038B6" w14:textId="438CCCC9" w:rsidR="00220DD2" w:rsidRDefault="00000000">
      <w:pPr>
        <w:pStyle w:val="TightBullet"/>
      </w:pPr>
      <w:r>
        <w:rPr>
          <w:b/>
        </w:rPr>
        <w:t xml:space="preserve">• </w:t>
      </w:r>
      <w:r w:rsidR="001242D6" w:rsidRPr="001242D6">
        <w:t>The method should align with professional benchmarking practices.</w:t>
      </w:r>
    </w:p>
    <w:p w14:paraId="620C78A1" w14:textId="77777777" w:rsidR="00220DD2" w:rsidRDefault="00000000">
      <w:pPr>
        <w:pStyle w:val="SectionHeading"/>
      </w:pPr>
      <w:r>
        <w:lastRenderedPageBreak/>
        <w:t>3. What I decided</w:t>
      </w:r>
    </w:p>
    <w:p w14:paraId="137CA284" w14:textId="77777777" w:rsidR="00220DD2" w:rsidRDefault="00000000">
      <w:r>
        <w:t>I decided to use API-based querying to interact with LLM models in the StackEval benchmark instead of manual prompting.</w:t>
      </w:r>
    </w:p>
    <w:p w14:paraId="2F735641" w14:textId="77777777" w:rsidR="00220DD2" w:rsidRDefault="00000000">
      <w:pPr>
        <w:pStyle w:val="SectionHeading"/>
      </w:pPr>
      <w:r>
        <w:t>4. Why this decision</w:t>
      </w:r>
    </w:p>
    <w:p w14:paraId="76C0CD35" w14:textId="77777777" w:rsidR="00220DD2" w:rsidRDefault="00000000">
      <w:pPr>
        <w:pStyle w:val="Subheading"/>
      </w:pPr>
      <w:r>
        <w:t>Method I used</w:t>
      </w:r>
    </w:p>
    <w:p w14:paraId="5D8D6309" w14:textId="77777777" w:rsidR="00220DD2" w:rsidRDefault="00000000">
      <w:r>
        <w:t>I used a combination of benchmark analysis, comparative research, provider/platform review, and implementation testing.</w:t>
      </w:r>
    </w:p>
    <w:p w14:paraId="141D48FB" w14:textId="77777777" w:rsidR="00220DD2" w:rsidRDefault="00000000">
      <w:pPr>
        <w:pStyle w:val="TightBullet"/>
      </w:pPr>
      <w:r>
        <w:rPr>
          <w:b/>
        </w:rPr>
        <w:t xml:space="preserve">• </w:t>
      </w:r>
      <w:r>
        <w:t>I reviewed the original StackEval project and benchmark paper to understand how a structured coding benchmark is executed and why reproducibility matters.</w:t>
      </w:r>
    </w:p>
    <w:p w14:paraId="42859090" w14:textId="77777777" w:rsidR="00220DD2" w:rsidRDefault="00000000">
      <w:pPr>
        <w:pStyle w:val="TightBullet"/>
      </w:pPr>
      <w:r>
        <w:rPr>
          <w:b/>
        </w:rPr>
        <w:t xml:space="preserve">• </w:t>
      </w:r>
      <w:r>
        <w:t>I created a comparison between API-based querying and manual prompting to evaluate the two methods against the needs of this project.</w:t>
      </w:r>
    </w:p>
    <w:p w14:paraId="1907B3D0" w14:textId="77777777" w:rsidR="00220DD2" w:rsidRDefault="00000000">
      <w:pPr>
        <w:pStyle w:val="TightBullet"/>
      </w:pPr>
      <w:r>
        <w:rPr>
          <w:b/>
        </w:rPr>
        <w:t xml:space="preserve">• </w:t>
      </w:r>
      <w:r>
        <w:t>I checked the selected model providers and platforms to confirm whether my chosen models were actually accessible through API workflows.</w:t>
      </w:r>
    </w:p>
    <w:p w14:paraId="578A01B0" w14:textId="77777777" w:rsidR="00220DD2" w:rsidRDefault="00000000">
      <w:pPr>
        <w:pStyle w:val="TightBullet"/>
      </w:pPr>
      <w:r>
        <w:rPr>
          <w:b/>
        </w:rPr>
        <w:t xml:space="preserve">• </w:t>
      </w:r>
      <w:r>
        <w:t>I then implemented and tested an API-based setup in practice, including provider connection, debugging, and output saving.</w:t>
      </w:r>
    </w:p>
    <w:p w14:paraId="646F8F95" w14:textId="77777777" w:rsidR="00220DD2" w:rsidRDefault="00000000">
      <w:pPr>
        <w:pStyle w:val="Subheading"/>
      </w:pPr>
      <w:r>
        <w:t>What I found</w:t>
      </w:r>
    </w:p>
    <w:p w14:paraId="26E42E62" w14:textId="77777777" w:rsidR="00220DD2" w:rsidRDefault="00000000">
      <w:pPr>
        <w:pStyle w:val="TightBullet"/>
      </w:pPr>
      <w:r>
        <w:rPr>
          <w:b/>
        </w:rPr>
        <w:t xml:space="preserve">• </w:t>
      </w:r>
      <w:r>
        <w:t>Manual prompting is simple to start, but it introduces inconsistency, repetitive manual work, and a higher risk of copying or saving mistakes.</w:t>
      </w:r>
    </w:p>
    <w:p w14:paraId="1AD4249E" w14:textId="77777777" w:rsidR="00220DD2" w:rsidRDefault="00000000">
      <w:pPr>
        <w:pStyle w:val="TightBullet"/>
      </w:pPr>
      <w:r>
        <w:rPr>
          <w:b/>
        </w:rPr>
        <w:t xml:space="preserve">• </w:t>
      </w:r>
      <w:r>
        <w:t>API-based querying supports identical inputs across models, automatic output collection, and a cleaner path from one test question to a full benchmark dataset.</w:t>
      </w:r>
    </w:p>
    <w:p w14:paraId="578D9205" w14:textId="77777777" w:rsidR="00220DD2" w:rsidRDefault="00000000">
      <w:pPr>
        <w:pStyle w:val="TightBullet"/>
      </w:pPr>
      <w:r>
        <w:rPr>
          <w:b/>
        </w:rPr>
        <w:t xml:space="preserve">• </w:t>
      </w:r>
      <w:r>
        <w:t>The selected providers were practically usable for this benchmark setup: OpenAI and Anthropic via their official APIs, and Llama 4 Maverick through OpenRouter as an API access layer.</w:t>
      </w:r>
    </w:p>
    <w:p w14:paraId="6D27B4BD" w14:textId="77777777" w:rsidR="00220DD2" w:rsidRDefault="00000000">
      <w:pPr>
        <w:pStyle w:val="TightBullet"/>
      </w:pPr>
      <w:r>
        <w:rPr>
          <w:b/>
        </w:rPr>
        <w:t xml:space="preserve">• </w:t>
      </w:r>
      <w:r>
        <w:t>The API workflow worked in practice after setup and debugging, which confirmed that the decision was not only theoretically better, but also executable within the project.</w:t>
      </w:r>
    </w:p>
    <w:p w14:paraId="274D9838" w14:textId="77777777" w:rsidR="00220DD2" w:rsidRDefault="00000000">
      <w:pPr>
        <w:pStyle w:val="Subheading"/>
      </w:pPr>
      <w:r>
        <w:t>Evidence and artifacts</w:t>
      </w:r>
    </w:p>
    <w:p w14:paraId="6694F8F7" w14:textId="6D63D4D3" w:rsidR="00904086" w:rsidRPr="00904086" w:rsidRDefault="00904086" w:rsidP="00904086">
      <w:pPr>
        <w:rPr>
          <w:lang w:val="en-GB"/>
        </w:rPr>
      </w:pPr>
      <w:r w:rsidRPr="00904086">
        <w:rPr>
          <w:lang w:val="en-GB"/>
        </w:rPr>
        <w:t xml:space="preserve">The </w:t>
      </w:r>
      <w:proofErr w:type="spellStart"/>
      <w:r w:rsidRPr="00904086">
        <w:rPr>
          <w:lang w:val="en-GB"/>
        </w:rPr>
        <w:t>StackEval</w:t>
      </w:r>
      <w:proofErr w:type="spellEnd"/>
      <w:r w:rsidRPr="00904086">
        <w:rPr>
          <w:lang w:val="en-GB"/>
        </w:rPr>
        <w:t xml:space="preserve"> benchmark methodology was examined through its official repository (</w:t>
      </w:r>
      <w:proofErr w:type="spellStart"/>
      <w:r w:rsidRPr="00904086">
        <w:rPr>
          <w:lang w:val="en-GB"/>
        </w:rPr>
        <w:t>ProsusAI</w:t>
      </w:r>
      <w:proofErr w:type="spellEnd"/>
      <w:r w:rsidRPr="00904086">
        <w:rPr>
          <w:lang w:val="en-GB"/>
        </w:rPr>
        <w:t>, 2024).</w:t>
      </w:r>
    </w:p>
    <w:p w14:paraId="7C20164F" w14:textId="77777777" w:rsidR="00904086" w:rsidRPr="00904086" w:rsidRDefault="00904086" w:rsidP="00904086">
      <w:pPr>
        <w:rPr>
          <w:lang w:val="en-GB"/>
        </w:rPr>
      </w:pPr>
      <w:r w:rsidRPr="00904086">
        <w:rPr>
          <w:lang w:val="en-GB"/>
        </w:rPr>
        <w:t xml:space="preserve">API accessibility and model availability were verified using official provider documentation from OpenAI (OpenAI, 2026), Anthropic (Anthropic, 2026), and </w:t>
      </w:r>
      <w:proofErr w:type="spellStart"/>
      <w:r w:rsidRPr="00904086">
        <w:rPr>
          <w:lang w:val="en-GB"/>
        </w:rPr>
        <w:t>OpenRouter</w:t>
      </w:r>
      <w:proofErr w:type="spellEnd"/>
      <w:r w:rsidRPr="00904086">
        <w:rPr>
          <w:lang w:val="en-GB"/>
        </w:rPr>
        <w:t xml:space="preserve"> (</w:t>
      </w:r>
      <w:proofErr w:type="spellStart"/>
      <w:r w:rsidRPr="00904086">
        <w:rPr>
          <w:lang w:val="en-GB"/>
        </w:rPr>
        <w:t>OpenRouter</w:t>
      </w:r>
      <w:proofErr w:type="spellEnd"/>
      <w:r w:rsidRPr="00904086">
        <w:rPr>
          <w:lang w:val="en-GB"/>
        </w:rPr>
        <w:t>, 2026).</w:t>
      </w:r>
    </w:p>
    <w:p w14:paraId="7604DB31" w14:textId="2BE0C875" w:rsidR="00904086" w:rsidRPr="00904086" w:rsidRDefault="00904086" w:rsidP="00904086">
      <w:pPr>
        <w:rPr>
          <w:lang w:val="en-GB"/>
        </w:rPr>
      </w:pPr>
      <w:r w:rsidRPr="00904086">
        <w:rPr>
          <w:lang w:val="en-GB"/>
        </w:rPr>
        <w:t>The comparative reasoning between API-based querying and manual prompting is documented in a separate research artifact created during this project.</w:t>
      </w:r>
      <w:r>
        <w:rPr>
          <w:lang w:val="en-GB"/>
        </w:rPr>
        <w:t xml:space="preserve"> [document]</w:t>
      </w:r>
    </w:p>
    <w:p w14:paraId="3359E8CD" w14:textId="239A66CB" w:rsidR="00904086" w:rsidRPr="00904086" w:rsidRDefault="00904086" w:rsidP="00904086">
      <w:pPr>
        <w:rPr>
          <w:lang w:val="en-GB"/>
        </w:rPr>
      </w:pPr>
      <w:r w:rsidRPr="00904086">
        <w:rPr>
          <w:lang w:val="en-GB"/>
        </w:rPr>
        <w:t xml:space="preserve">Implementation evidence is provided through a dedicated document titled </w:t>
      </w:r>
      <w:r w:rsidRPr="00904086">
        <w:rPr>
          <w:i/>
          <w:iCs/>
          <w:lang w:val="en-GB"/>
        </w:rPr>
        <w:t>“Implementation Evidence – API-Based Multi-Model Testing”</w:t>
      </w:r>
      <w:r w:rsidRPr="00904086">
        <w:rPr>
          <w:lang w:val="en-GB"/>
        </w:rPr>
        <w:t xml:space="preserve">, which demonstrates that the system was successfully built, tested, and extended to multiple models. </w:t>
      </w:r>
      <w:r>
        <w:rPr>
          <w:lang w:val="en-GB"/>
        </w:rPr>
        <w:t>[Document]</w:t>
      </w:r>
    </w:p>
    <w:p w14:paraId="1B44E002" w14:textId="77777777" w:rsidR="00904086" w:rsidRPr="00904086" w:rsidRDefault="00904086" w:rsidP="00904086">
      <w:pPr>
        <w:rPr>
          <w:lang w:val="en-GB"/>
        </w:rPr>
      </w:pPr>
      <w:r w:rsidRPr="00904086">
        <w:rPr>
          <w:lang w:val="en-GB"/>
        </w:rPr>
        <w:t>This document includes:</w:t>
      </w:r>
    </w:p>
    <w:p w14:paraId="3C5276E8" w14:textId="77777777" w:rsidR="00904086" w:rsidRPr="00904086" w:rsidRDefault="00904086" w:rsidP="00904086">
      <w:pPr>
        <w:numPr>
          <w:ilvl w:val="0"/>
          <w:numId w:val="10"/>
        </w:numPr>
        <w:rPr>
          <w:lang w:val="en-GB"/>
        </w:rPr>
      </w:pPr>
      <w:r w:rsidRPr="00904086">
        <w:rPr>
          <w:lang w:val="en-GB"/>
        </w:rPr>
        <w:t xml:space="preserve">successful API connection and response generation </w:t>
      </w:r>
    </w:p>
    <w:p w14:paraId="42A87560" w14:textId="77777777" w:rsidR="00904086" w:rsidRPr="00904086" w:rsidRDefault="00904086" w:rsidP="00904086">
      <w:pPr>
        <w:numPr>
          <w:ilvl w:val="0"/>
          <w:numId w:val="10"/>
        </w:numPr>
        <w:rPr>
          <w:lang w:val="en-GB"/>
        </w:rPr>
      </w:pPr>
      <w:r w:rsidRPr="00904086">
        <w:rPr>
          <w:lang w:val="en-GB"/>
        </w:rPr>
        <w:t xml:space="preserve">multi-model execution in a single script </w:t>
      </w:r>
    </w:p>
    <w:p w14:paraId="53ABCE92" w14:textId="77777777" w:rsidR="00904086" w:rsidRPr="00904086" w:rsidRDefault="00904086" w:rsidP="00904086">
      <w:pPr>
        <w:numPr>
          <w:ilvl w:val="0"/>
          <w:numId w:val="10"/>
        </w:numPr>
        <w:rPr>
          <w:lang w:val="en-GB"/>
        </w:rPr>
      </w:pPr>
      <w:r w:rsidRPr="00904086">
        <w:rPr>
          <w:lang w:val="en-GB"/>
        </w:rPr>
        <w:t xml:space="preserve">structured output storage (JSON format) </w:t>
      </w:r>
    </w:p>
    <w:p w14:paraId="0120AA0F" w14:textId="77777777" w:rsidR="00904086" w:rsidRPr="00904086" w:rsidRDefault="00904086" w:rsidP="00904086">
      <w:pPr>
        <w:numPr>
          <w:ilvl w:val="0"/>
          <w:numId w:val="10"/>
        </w:numPr>
        <w:rPr>
          <w:lang w:val="en-GB"/>
        </w:rPr>
      </w:pPr>
      <w:r w:rsidRPr="00904086">
        <w:rPr>
          <w:lang w:val="en-GB"/>
        </w:rPr>
        <w:t xml:space="preserve">alignment with the </w:t>
      </w:r>
      <w:proofErr w:type="spellStart"/>
      <w:r w:rsidRPr="00904086">
        <w:rPr>
          <w:lang w:val="en-GB"/>
        </w:rPr>
        <w:t>StackEval</w:t>
      </w:r>
      <w:proofErr w:type="spellEnd"/>
      <w:r w:rsidRPr="00904086">
        <w:rPr>
          <w:lang w:val="en-GB"/>
        </w:rPr>
        <w:t xml:space="preserve"> methodology </w:t>
      </w:r>
    </w:p>
    <w:p w14:paraId="5D28ADF5" w14:textId="77777777" w:rsidR="00904086" w:rsidRPr="00904086" w:rsidRDefault="00904086" w:rsidP="00904086">
      <w:pPr>
        <w:numPr>
          <w:ilvl w:val="0"/>
          <w:numId w:val="10"/>
        </w:numPr>
        <w:rPr>
          <w:lang w:val="en-GB"/>
        </w:rPr>
      </w:pPr>
      <w:r w:rsidRPr="00904086">
        <w:rPr>
          <w:lang w:val="en-GB"/>
        </w:rPr>
        <w:t>observed runtime performance (≈30–35 seconds per query)</w:t>
      </w:r>
    </w:p>
    <w:p w14:paraId="4835A9DF" w14:textId="77777777" w:rsidR="00904086" w:rsidRPr="001518EA" w:rsidRDefault="00904086" w:rsidP="001518EA">
      <w:pPr>
        <w:rPr>
          <w:lang w:val="en-GB"/>
        </w:rPr>
      </w:pPr>
    </w:p>
    <w:p w14:paraId="59D6EBDA" w14:textId="77777777" w:rsidR="001518EA" w:rsidRPr="001518EA" w:rsidRDefault="00000000" w:rsidP="001518EA">
      <w:pPr>
        <w:rPr>
          <w:lang w:val="en-GB"/>
        </w:rPr>
      </w:pPr>
      <w:r>
        <w:rPr>
          <w:lang w:val="en-GB"/>
        </w:rPr>
        <w:pict w14:anchorId="08BABE9B">
          <v:rect id="_x0000_i1025" style="width:0;height:1.5pt" o:hralign="center" o:hrstd="t" o:hr="t" fillcolor="#a0a0a0" stroked="f"/>
        </w:pict>
      </w:r>
    </w:p>
    <w:p w14:paraId="2522FEA3" w14:textId="77777777" w:rsidR="001518EA" w:rsidRPr="001518EA" w:rsidRDefault="001518EA" w:rsidP="001518EA">
      <w:pPr>
        <w:rPr>
          <w:b/>
          <w:bCs/>
          <w:lang w:val="en-GB"/>
        </w:rPr>
      </w:pPr>
      <w:r w:rsidRPr="001518EA">
        <w:rPr>
          <w:b/>
          <w:bCs/>
          <w:lang w:val="en-GB"/>
        </w:rPr>
        <w:t>References (APA style)</w:t>
      </w:r>
    </w:p>
    <w:p w14:paraId="4A8F7108" w14:textId="77777777" w:rsidR="001518EA" w:rsidRPr="001518EA" w:rsidRDefault="001518EA" w:rsidP="001518EA">
      <w:pPr>
        <w:rPr>
          <w:lang w:val="en-GB"/>
        </w:rPr>
      </w:pPr>
      <w:proofErr w:type="spellStart"/>
      <w:r w:rsidRPr="001518EA">
        <w:rPr>
          <w:lang w:val="en-GB"/>
        </w:rPr>
        <w:lastRenderedPageBreak/>
        <w:t>ProsusAI</w:t>
      </w:r>
      <w:proofErr w:type="spellEnd"/>
      <w:r w:rsidRPr="001518EA">
        <w:rPr>
          <w:lang w:val="en-GB"/>
        </w:rPr>
        <w:t xml:space="preserve">. (2024). </w:t>
      </w:r>
      <w:proofErr w:type="spellStart"/>
      <w:r w:rsidRPr="001518EA">
        <w:rPr>
          <w:i/>
          <w:iCs/>
          <w:lang w:val="en-GB"/>
        </w:rPr>
        <w:t>StackEval</w:t>
      </w:r>
      <w:proofErr w:type="spellEnd"/>
      <w:r w:rsidRPr="001518EA">
        <w:rPr>
          <w:i/>
          <w:iCs/>
          <w:lang w:val="en-GB"/>
        </w:rPr>
        <w:t xml:space="preserve"> benchmark repository</w:t>
      </w:r>
      <w:r w:rsidRPr="001518EA">
        <w:rPr>
          <w:lang w:val="en-GB"/>
        </w:rPr>
        <w:t xml:space="preserve">. </w:t>
      </w:r>
      <w:hyperlink r:id="rId8" w:tgtFrame="_new" w:history="1">
        <w:r w:rsidRPr="001518EA">
          <w:rPr>
            <w:rStyle w:val="Hyperlink"/>
            <w:lang w:val="en-GB"/>
          </w:rPr>
          <w:t>https://github.com/ProsusAI/stack-eval</w:t>
        </w:r>
      </w:hyperlink>
    </w:p>
    <w:p w14:paraId="7BF0141F" w14:textId="77777777" w:rsidR="001518EA" w:rsidRDefault="001518EA" w:rsidP="001518EA">
      <w:r w:rsidRPr="001518EA">
        <w:rPr>
          <w:lang w:val="en-GB"/>
        </w:rPr>
        <w:t xml:space="preserve">OpenAI. (2026). </w:t>
      </w:r>
      <w:r w:rsidRPr="001518EA">
        <w:rPr>
          <w:i/>
          <w:iCs/>
          <w:lang w:val="en-GB"/>
        </w:rPr>
        <w:t>OpenAI API documentation</w:t>
      </w:r>
      <w:r w:rsidRPr="001518EA">
        <w:rPr>
          <w:lang w:val="en-GB"/>
        </w:rPr>
        <w:t xml:space="preserve">. </w:t>
      </w:r>
      <w:hyperlink r:id="rId9" w:tgtFrame="_new" w:history="1">
        <w:r w:rsidRPr="001518EA">
          <w:rPr>
            <w:rStyle w:val="Hyperlink"/>
            <w:lang w:val="en-GB"/>
          </w:rPr>
          <w:t>https://platform.openai.com/</w:t>
        </w:r>
      </w:hyperlink>
    </w:p>
    <w:p w14:paraId="6FDE2777" w14:textId="2328EB89" w:rsidR="00904086" w:rsidRPr="001518EA" w:rsidRDefault="00904086" w:rsidP="001518EA">
      <w:pPr>
        <w:rPr>
          <w:lang w:val="en-GB"/>
        </w:rPr>
      </w:pPr>
      <w:r w:rsidRPr="00904086">
        <w:t xml:space="preserve">OpenAI. (2026). </w:t>
      </w:r>
      <w:r w:rsidRPr="00904086">
        <w:rPr>
          <w:i/>
          <w:iCs/>
        </w:rPr>
        <w:t>Production best practices</w:t>
      </w:r>
      <w:r w:rsidRPr="00904086">
        <w:t xml:space="preserve">. </w:t>
      </w:r>
      <w:hyperlink r:id="rId10" w:tgtFrame="_new" w:history="1">
        <w:r w:rsidRPr="00904086">
          <w:rPr>
            <w:rStyle w:val="Hyperlink"/>
          </w:rPr>
          <w:t>https://platform.openai.com/docs/guides/production-best-practices</w:t>
        </w:r>
      </w:hyperlink>
    </w:p>
    <w:p w14:paraId="4440EFC2" w14:textId="77777777" w:rsidR="001518EA" w:rsidRPr="001518EA" w:rsidRDefault="001518EA" w:rsidP="001518EA">
      <w:pPr>
        <w:rPr>
          <w:lang w:val="en-GB"/>
        </w:rPr>
      </w:pPr>
      <w:r w:rsidRPr="001518EA">
        <w:rPr>
          <w:lang w:val="en-GB"/>
        </w:rPr>
        <w:t xml:space="preserve">Anthropic. (2026). </w:t>
      </w:r>
      <w:r w:rsidRPr="001518EA">
        <w:rPr>
          <w:i/>
          <w:iCs/>
          <w:lang w:val="en-GB"/>
        </w:rPr>
        <w:t>Claude API documentation</w:t>
      </w:r>
      <w:r w:rsidRPr="001518EA">
        <w:rPr>
          <w:lang w:val="en-GB"/>
        </w:rPr>
        <w:t xml:space="preserve">. </w:t>
      </w:r>
      <w:hyperlink r:id="rId11" w:tgtFrame="_new" w:history="1">
        <w:r w:rsidRPr="001518EA">
          <w:rPr>
            <w:rStyle w:val="Hyperlink"/>
            <w:lang w:val="en-GB"/>
          </w:rPr>
          <w:t>https://platform.claude.com/</w:t>
        </w:r>
      </w:hyperlink>
    </w:p>
    <w:p w14:paraId="0A3AC11E" w14:textId="77777777" w:rsidR="001518EA" w:rsidRDefault="001518EA" w:rsidP="001518EA">
      <w:proofErr w:type="spellStart"/>
      <w:r w:rsidRPr="001518EA">
        <w:rPr>
          <w:lang w:val="en-GB"/>
        </w:rPr>
        <w:t>OpenRouter</w:t>
      </w:r>
      <w:proofErr w:type="spellEnd"/>
      <w:r w:rsidRPr="001518EA">
        <w:rPr>
          <w:lang w:val="en-GB"/>
        </w:rPr>
        <w:t xml:space="preserve">. (2026). </w:t>
      </w:r>
      <w:proofErr w:type="spellStart"/>
      <w:r w:rsidRPr="001518EA">
        <w:rPr>
          <w:i/>
          <w:iCs/>
          <w:lang w:val="en-GB"/>
        </w:rPr>
        <w:t>OpenRouter</w:t>
      </w:r>
      <w:proofErr w:type="spellEnd"/>
      <w:r w:rsidRPr="001518EA">
        <w:rPr>
          <w:i/>
          <w:iCs/>
          <w:lang w:val="en-GB"/>
        </w:rPr>
        <w:t xml:space="preserve"> API platform</w:t>
      </w:r>
      <w:r w:rsidRPr="001518EA">
        <w:rPr>
          <w:lang w:val="en-GB"/>
        </w:rPr>
        <w:t xml:space="preserve">. </w:t>
      </w:r>
      <w:hyperlink r:id="rId12" w:tgtFrame="_new" w:history="1">
        <w:r w:rsidRPr="001518EA">
          <w:rPr>
            <w:rStyle w:val="Hyperlink"/>
            <w:lang w:val="en-GB"/>
          </w:rPr>
          <w:t>https://openrouter.ai/</w:t>
        </w:r>
      </w:hyperlink>
    </w:p>
    <w:p w14:paraId="244F865A" w14:textId="4049A8F2" w:rsidR="00904086" w:rsidRPr="001518EA" w:rsidRDefault="00904086" w:rsidP="001518EA">
      <w:pPr>
        <w:rPr>
          <w:lang w:val="en-GB"/>
        </w:rPr>
      </w:pPr>
      <w:r w:rsidRPr="00904086">
        <w:t xml:space="preserve">Hugging Face. (2026). </w:t>
      </w:r>
      <w:r w:rsidRPr="00904086">
        <w:rPr>
          <w:i/>
          <w:iCs/>
        </w:rPr>
        <w:t>Evaluate documentation</w:t>
      </w:r>
      <w:r w:rsidRPr="00904086">
        <w:t xml:space="preserve">. </w:t>
      </w:r>
      <w:hyperlink r:id="rId13" w:tgtFrame="_new" w:history="1">
        <w:r w:rsidRPr="00904086">
          <w:rPr>
            <w:rStyle w:val="Hyperlink"/>
          </w:rPr>
          <w:t>https://huggingface.co/docs/evaluate/index</w:t>
        </w:r>
      </w:hyperlink>
      <w:r>
        <w:rPr>
          <w:lang w:val="en-GB"/>
        </w:rPr>
        <w:t xml:space="preserve"> </w:t>
      </w:r>
    </w:p>
    <w:p w14:paraId="7324B2AB" w14:textId="77777777" w:rsidR="001518EA" w:rsidRDefault="001518EA" w:rsidP="001518EA"/>
    <w:p w14:paraId="12B303DA" w14:textId="77777777" w:rsidR="001518EA" w:rsidRDefault="001518EA">
      <w:pPr>
        <w:pStyle w:val="Subheading"/>
      </w:pPr>
    </w:p>
    <w:p w14:paraId="2C1BDA38" w14:textId="77777777" w:rsidR="001518EA" w:rsidRDefault="001518EA">
      <w:pPr>
        <w:pStyle w:val="Subheading"/>
      </w:pPr>
    </w:p>
    <w:p w14:paraId="6C37E1A3" w14:textId="77777777" w:rsidR="001518EA" w:rsidRDefault="001518EA">
      <w:pPr>
        <w:pStyle w:val="Subheading"/>
      </w:pPr>
    </w:p>
    <w:p w14:paraId="717B351D" w14:textId="77777777" w:rsidR="00220DD2" w:rsidRDefault="00000000">
      <w:pPr>
        <w:pStyle w:val="Subheading"/>
      </w:pPr>
      <w:r>
        <w:t>What this means</w:t>
      </w:r>
    </w:p>
    <w:p w14:paraId="1EB17AF2" w14:textId="77777777" w:rsidR="00220DD2" w:rsidRDefault="00000000">
      <w:r>
        <w:t>This means API-based querying is the more suitable method for this project because it protects the fairness of model comparison, reduces manual handling, and creates a reproducible path from a single test question to a larger benchmark dataset.</w:t>
      </w:r>
    </w:p>
    <w:p w14:paraId="19C64E7D" w14:textId="77777777" w:rsidR="00220DD2" w:rsidRDefault="00000000">
      <w:r>
        <w:t>So I decided to continue the StackEval recreation with an API-based workflow, supported by automated querying, structured output saving, and evidence from live implementation testing.</w:t>
      </w:r>
    </w:p>
    <w:p w14:paraId="67BDCA34" w14:textId="77777777" w:rsidR="00220DD2" w:rsidRDefault="00000000">
      <w:pPr>
        <w:pStyle w:val="Subheading"/>
      </w:pPr>
      <w:r>
        <w:t>Implementation snapshot</w:t>
      </w:r>
    </w:p>
    <w:p w14:paraId="770320F4" w14:textId="77777777" w:rsidR="00220DD2" w:rsidRDefault="00000000">
      <w:r>
        <w:t>The first working prototype already demonstrates practical time efficiency: one run can collect outputs from the selected models within roughly 30–35 seconds, which stays comfortably below the project criterion of 1 minute per question.</w:t>
      </w:r>
    </w:p>
    <w:p w14:paraId="73F6AA6D" w14:textId="0D7844FB" w:rsidR="00220DD2" w:rsidRDefault="00000000" w:rsidP="00E54BCC">
      <w:pPr>
        <w:jc w:val="center"/>
      </w:pPr>
      <w:r>
        <w:rPr>
          <w:noProof/>
        </w:rPr>
        <w:drawing>
          <wp:inline distT="0" distB="0" distL="0" distR="0" wp14:anchorId="09BAF03A" wp14:editId="639E8D6D">
            <wp:extent cx="4608000" cy="349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f586f7-211c-4584-942d-7957300a5bf9.png"/>
                    <pic:cNvPicPr/>
                  </pic:nvPicPr>
                  <pic:blipFill>
                    <a:blip r:embed="rId14"/>
                    <a:stretch>
                      <a:fillRect/>
                    </a:stretch>
                  </pic:blipFill>
                  <pic:spPr>
                    <a:xfrm>
                      <a:off x="0" y="0"/>
                      <a:ext cx="4608000" cy="3494400"/>
                    </a:xfrm>
                    <a:prstGeom prst="rect">
                      <a:avLst/>
                    </a:prstGeom>
                  </pic:spPr>
                </pic:pic>
              </a:graphicData>
            </a:graphic>
          </wp:inline>
        </w:drawing>
      </w:r>
    </w:p>
    <w:p w14:paraId="74246914" w14:textId="77777777" w:rsidR="00E54BCC" w:rsidRDefault="00E54BCC" w:rsidP="00E54BCC">
      <w:pPr>
        <w:pStyle w:val="SectionHeading"/>
      </w:pPr>
      <w:r>
        <w:t>5. Does this hold up?</w:t>
      </w:r>
    </w:p>
    <w:p w14:paraId="46B5A64E" w14:textId="77777777" w:rsidR="003F1E6F" w:rsidRPr="003F1E6F" w:rsidRDefault="003F1E6F" w:rsidP="003F1E6F">
      <w:pPr>
        <w:rPr>
          <w:lang w:val="en-GB"/>
        </w:rPr>
      </w:pPr>
      <w:r w:rsidRPr="003F1E6F">
        <w:rPr>
          <w:b/>
          <w:bCs/>
          <w:i/>
          <w:iCs/>
          <w:lang w:val="en-GB"/>
        </w:rPr>
        <w:t>Criterion 1 – Under 1 minute per question</w:t>
      </w:r>
      <w:r w:rsidRPr="003F1E6F">
        <w:rPr>
          <w:lang w:val="en-GB"/>
        </w:rPr>
        <w:br/>
      </w:r>
      <w:r w:rsidRPr="003F1E6F">
        <w:rPr>
          <w:rFonts w:ascii="Segoe UI Emoji" w:hAnsi="Segoe UI Emoji" w:cs="Segoe UI Emoji"/>
          <w:lang w:val="en-GB"/>
        </w:rPr>
        <w:t>✅</w:t>
      </w:r>
      <w:r w:rsidRPr="003F1E6F">
        <w:rPr>
          <w:lang w:val="en-GB"/>
        </w:rPr>
        <w:t xml:space="preserve"> Achieved</w:t>
      </w:r>
      <w:r w:rsidRPr="003F1E6F">
        <w:rPr>
          <w:lang w:val="en-GB"/>
        </w:rPr>
        <w:br/>
        <w:t>The combined script returns responses from all models in approximately 30</w:t>
      </w:r>
      <w:r w:rsidRPr="003F1E6F">
        <w:rPr>
          <w:rFonts w:cs="Aptos"/>
          <w:lang w:val="en-GB"/>
        </w:rPr>
        <w:t>–</w:t>
      </w:r>
      <w:r w:rsidRPr="003F1E6F">
        <w:rPr>
          <w:lang w:val="en-GB"/>
        </w:rPr>
        <w:t>35 seconds, which meets the time efficiency requirement.</w:t>
      </w:r>
    </w:p>
    <w:p w14:paraId="41B9D8ED" w14:textId="77777777" w:rsidR="003F1E6F" w:rsidRPr="003F1E6F" w:rsidRDefault="00000000" w:rsidP="003F1E6F">
      <w:pPr>
        <w:rPr>
          <w:lang w:val="en-GB"/>
        </w:rPr>
      </w:pPr>
      <w:r>
        <w:rPr>
          <w:lang w:val="en-GB"/>
        </w:rPr>
        <w:lastRenderedPageBreak/>
        <w:pict w14:anchorId="767CCF60">
          <v:rect id="_x0000_i1026" style="width:0;height:1.5pt" o:hralign="center" o:hrstd="t" o:hr="t" fillcolor="#a0a0a0" stroked="f"/>
        </w:pict>
      </w:r>
    </w:p>
    <w:p w14:paraId="11C3C6BB" w14:textId="77777777" w:rsidR="003F1E6F" w:rsidRPr="003F1E6F" w:rsidRDefault="003F1E6F" w:rsidP="003F1E6F">
      <w:pPr>
        <w:rPr>
          <w:lang w:val="en-GB"/>
        </w:rPr>
      </w:pPr>
      <w:r w:rsidRPr="003F1E6F">
        <w:rPr>
          <w:b/>
          <w:bCs/>
          <w:i/>
          <w:iCs/>
          <w:lang w:val="en-GB"/>
        </w:rPr>
        <w:t>Criterion 2 – Low human-error risk</w:t>
      </w:r>
      <w:r w:rsidRPr="003F1E6F">
        <w:rPr>
          <w:lang w:val="en-GB"/>
        </w:rPr>
        <w:br/>
      </w:r>
      <w:r w:rsidRPr="003F1E6F">
        <w:rPr>
          <w:rFonts w:ascii="Segoe UI Emoji" w:hAnsi="Segoe UI Emoji" w:cs="Segoe UI Emoji"/>
          <w:lang w:val="en-GB"/>
        </w:rPr>
        <w:t>✅</w:t>
      </w:r>
      <w:r w:rsidRPr="003F1E6F">
        <w:rPr>
          <w:lang w:val="en-GB"/>
        </w:rPr>
        <w:t xml:space="preserve"> Achieved</w:t>
      </w:r>
      <w:r w:rsidRPr="003F1E6F">
        <w:rPr>
          <w:lang w:val="en-GB"/>
        </w:rPr>
        <w:br/>
        <w:t>API-based querying requires only a single input and automatically stores outputs, reducing the risk of copying, formatting, and saving errors compared to manual prompting.</w:t>
      </w:r>
    </w:p>
    <w:p w14:paraId="1EABA41D" w14:textId="77777777" w:rsidR="003F1E6F" w:rsidRPr="003F1E6F" w:rsidRDefault="00000000" w:rsidP="003F1E6F">
      <w:pPr>
        <w:rPr>
          <w:lang w:val="en-GB"/>
        </w:rPr>
      </w:pPr>
      <w:r>
        <w:rPr>
          <w:lang w:val="en-GB"/>
        </w:rPr>
        <w:pict w14:anchorId="2D2C9A33">
          <v:rect id="_x0000_i1027" style="width:0;height:1.5pt" o:hralign="center" o:hrstd="t" o:hr="t" fillcolor="#a0a0a0" stroked="f"/>
        </w:pict>
      </w:r>
    </w:p>
    <w:p w14:paraId="39C3BE82" w14:textId="77777777" w:rsidR="003F1E6F" w:rsidRPr="003F1E6F" w:rsidRDefault="003F1E6F" w:rsidP="003F1E6F">
      <w:pPr>
        <w:rPr>
          <w:lang w:val="en-GB"/>
        </w:rPr>
      </w:pPr>
      <w:r w:rsidRPr="003F1E6F">
        <w:rPr>
          <w:b/>
          <w:bCs/>
          <w:i/>
          <w:iCs/>
          <w:lang w:val="en-GB"/>
        </w:rPr>
        <w:t>Criterion 3 – Reproducible and scalable</w:t>
      </w:r>
      <w:r w:rsidRPr="003F1E6F">
        <w:rPr>
          <w:lang w:val="en-GB"/>
        </w:rPr>
        <w:br/>
      </w:r>
      <w:r w:rsidRPr="003F1E6F">
        <w:rPr>
          <w:rFonts w:ascii="Segoe UI Emoji" w:hAnsi="Segoe UI Emoji" w:cs="Segoe UI Emoji"/>
          <w:lang w:val="en-GB"/>
        </w:rPr>
        <w:t>✅</w:t>
      </w:r>
      <w:r w:rsidRPr="003F1E6F">
        <w:rPr>
          <w:lang w:val="en-GB"/>
        </w:rPr>
        <w:t xml:space="preserve"> Achieved</w:t>
      </w:r>
      <w:r w:rsidRPr="003F1E6F">
        <w:rPr>
          <w:lang w:val="en-GB"/>
        </w:rPr>
        <w:br/>
        <w:t>The same script can be reused to process multiple real programming questions while maintaining consistent input handling and output structure.</w:t>
      </w:r>
    </w:p>
    <w:p w14:paraId="25705021" w14:textId="77777777" w:rsidR="003F1E6F" w:rsidRPr="003F1E6F" w:rsidRDefault="00000000" w:rsidP="003F1E6F">
      <w:pPr>
        <w:rPr>
          <w:lang w:val="en-GB"/>
        </w:rPr>
      </w:pPr>
      <w:r>
        <w:rPr>
          <w:lang w:val="en-GB"/>
        </w:rPr>
        <w:pict w14:anchorId="232467FA">
          <v:rect id="_x0000_i1028" style="width:0;height:1.5pt" o:hralign="center" o:hrstd="t" o:hr="t" fillcolor="#a0a0a0" stroked="f"/>
        </w:pict>
      </w:r>
    </w:p>
    <w:p w14:paraId="17D5A057" w14:textId="7DB1F746" w:rsidR="003F1E6F" w:rsidRPr="003F1E6F" w:rsidRDefault="003F1E6F" w:rsidP="003F1E6F">
      <w:pPr>
        <w:rPr>
          <w:lang w:val="en-GB"/>
        </w:rPr>
      </w:pPr>
      <w:r w:rsidRPr="003F1E6F">
        <w:rPr>
          <w:b/>
          <w:bCs/>
          <w:i/>
          <w:iCs/>
          <w:lang w:val="en-GB"/>
        </w:rPr>
        <w:t>Criterion 4 – Professional alignment</w:t>
      </w:r>
      <w:r w:rsidRPr="003F1E6F">
        <w:rPr>
          <w:lang w:val="en-GB"/>
        </w:rPr>
        <w:br/>
      </w:r>
      <w:r w:rsidRPr="003F1E6F">
        <w:rPr>
          <w:rFonts w:ascii="Segoe UI Emoji" w:hAnsi="Segoe UI Emoji" w:cs="Segoe UI Emoji"/>
          <w:lang w:val="en-GB"/>
        </w:rPr>
        <w:t>✅</w:t>
      </w:r>
      <w:r w:rsidRPr="003F1E6F">
        <w:rPr>
          <w:lang w:val="en-GB"/>
        </w:rPr>
        <w:t xml:space="preserve"> Achieved</w:t>
      </w:r>
      <w:r w:rsidRPr="003F1E6F">
        <w:rPr>
          <w:lang w:val="en-GB"/>
        </w:rPr>
        <w:br/>
        <w:t>The workflow reflects real-world API usage, automation, and structured evaluation practices used in benchmarking systems.</w:t>
      </w:r>
    </w:p>
    <w:p w14:paraId="04BA24DA" w14:textId="77777777" w:rsidR="00E54BCC" w:rsidRDefault="00E54BCC" w:rsidP="00E54BCC"/>
    <w:p w14:paraId="5070843C" w14:textId="5BBEB401" w:rsidR="00220DD2" w:rsidRDefault="00000000">
      <w:pPr>
        <w:pStyle w:val="Subheading"/>
      </w:pPr>
      <w:r>
        <w:t>Assumption</w:t>
      </w:r>
    </w:p>
    <w:p w14:paraId="078DE26B" w14:textId="77777777" w:rsidR="00220DD2" w:rsidRDefault="00000000">
      <w:pPr>
        <w:pStyle w:val="TightBullet"/>
      </w:pPr>
      <w:r>
        <w:rPr>
          <w:b/>
        </w:rPr>
        <w:t xml:space="preserve">• </w:t>
      </w:r>
      <w:r>
        <w:t>API services will remain accessible during the later benchmark phase.</w:t>
      </w:r>
    </w:p>
    <w:p w14:paraId="6933D692" w14:textId="77777777" w:rsidR="00220DD2" w:rsidRDefault="00000000">
      <w:pPr>
        <w:pStyle w:val="TightBullet"/>
      </w:pPr>
      <w:r>
        <w:rPr>
          <w:b/>
        </w:rPr>
        <w:t xml:space="preserve">• </w:t>
      </w:r>
      <w:r>
        <w:t>Costs will remain manageable within the scope of a student project.</w:t>
      </w:r>
    </w:p>
    <w:p w14:paraId="04BB859F" w14:textId="77777777" w:rsidR="00220DD2" w:rsidRDefault="00000000">
      <w:pPr>
        <w:pStyle w:val="TightBullet"/>
      </w:pPr>
      <w:r>
        <w:rPr>
          <w:b/>
        </w:rPr>
        <w:t xml:space="preserve">• </w:t>
      </w:r>
      <w:r>
        <w:t>The same pipeline can be extended from a small prototype to a larger question set without requiring major redesign.</w:t>
      </w:r>
    </w:p>
    <w:p w14:paraId="2901CB6D" w14:textId="77777777" w:rsidR="00220DD2" w:rsidRDefault="00000000">
      <w:pPr>
        <w:pStyle w:val="Subheading"/>
      </w:pPr>
      <w:r>
        <w:t>What surprised me</w:t>
      </w:r>
    </w:p>
    <w:p w14:paraId="44E5E3F2" w14:textId="77777777" w:rsidR="00220DD2" w:rsidRDefault="00000000">
      <w:pPr>
        <w:pStyle w:val="TightBullet"/>
      </w:pPr>
      <w:r>
        <w:rPr>
          <w:b/>
        </w:rPr>
        <w:t xml:space="preserve">• </w:t>
      </w:r>
      <w:r>
        <w:t>API-based querying was easier to implement than I first expected.</w:t>
      </w:r>
    </w:p>
    <w:p w14:paraId="4266A277" w14:textId="77777777" w:rsidR="00220DD2" w:rsidRDefault="00000000">
      <w:pPr>
        <w:pStyle w:val="TightBullet"/>
      </w:pPr>
      <w:r>
        <w:rPr>
          <w:b/>
        </w:rPr>
        <w:t xml:space="preserve">• </w:t>
      </w:r>
      <w:r>
        <w:t>The biggest blockers were operational issues such as billing, package setup, and environment configuration rather than the API call logic itself.</w:t>
      </w:r>
    </w:p>
    <w:p w14:paraId="76738A1E" w14:textId="77777777" w:rsidR="00220DD2" w:rsidRDefault="00000000">
      <w:pPr>
        <w:pStyle w:val="TightBullet"/>
      </w:pPr>
      <w:r>
        <w:rPr>
          <w:b/>
        </w:rPr>
        <w:t xml:space="preserve">• </w:t>
      </w:r>
      <w:r>
        <w:t>Readable output files became more important than expected, because developers will need a clean file to score rather than raw technical output.</w:t>
      </w:r>
    </w:p>
    <w:p w14:paraId="49868766" w14:textId="77777777" w:rsidR="00220DD2" w:rsidRDefault="00000000">
      <w:pPr>
        <w:pStyle w:val="Subheading"/>
      </w:pPr>
      <w:r>
        <w:t>Managing reflection</w:t>
      </w:r>
    </w:p>
    <w:p w14:paraId="4905407A" w14:textId="77777777" w:rsidR="00220DD2" w:rsidRDefault="00000000">
      <w:r>
        <w:t>This log also contains an early but real Managing component. I did not only build the setup; I monitored where it failed, identified causes, and improved the pipeline step by step. Examples include solving package installation issues, correcting environment variable naming, resolving billing access, and improving output formats from terminal-only responses to JSON plus readable TXT. In this project, Managing is therefore not limited to model quality; it also includes keeping the whole benchmark pipeline usable and reliable.</w:t>
      </w:r>
    </w:p>
    <w:p w14:paraId="69875BCA" w14:textId="77777777" w:rsidR="00220DD2" w:rsidRDefault="00000000">
      <w:pPr>
        <w:pStyle w:val="SectionHeading"/>
      </w:pPr>
      <w:r>
        <w:t>6. What this unlocks</w:t>
      </w:r>
    </w:p>
    <w:p w14:paraId="08D93B90" w14:textId="77777777" w:rsidR="00220DD2" w:rsidRDefault="00000000">
      <w:pPr>
        <w:pStyle w:val="TightBullet"/>
      </w:pPr>
      <w:r>
        <w:rPr>
          <w:b/>
        </w:rPr>
        <w:t xml:space="preserve">• </w:t>
      </w:r>
      <w:r>
        <w:t>I can now generate responses for a larger benchmark set automatically instead of collecting every answer manually.</w:t>
      </w:r>
    </w:p>
    <w:p w14:paraId="10CEBB5D" w14:textId="77777777" w:rsidR="00220DD2" w:rsidRDefault="00000000">
      <w:pPr>
        <w:pStyle w:val="TightBullet"/>
      </w:pPr>
      <w:r>
        <w:rPr>
          <w:b/>
        </w:rPr>
        <w:t xml:space="preserve">• </w:t>
      </w:r>
      <w:r>
        <w:t>I can quickly build a structured dataset of model outputs for later human scoring.</w:t>
      </w:r>
    </w:p>
    <w:p w14:paraId="65F68D2A" w14:textId="77777777" w:rsidR="00220DD2" w:rsidRDefault="00000000">
      <w:pPr>
        <w:pStyle w:val="TightBullet"/>
      </w:pPr>
      <w:r>
        <w:rPr>
          <w:b/>
        </w:rPr>
        <w:t xml:space="preserve">• </w:t>
      </w:r>
      <w:r>
        <w:t>I can start collecting real programming questions and decide the final benchmark size (likely around 30–50 questions) based on time and scoring feasibility.</w:t>
      </w:r>
    </w:p>
    <w:p w14:paraId="3E926ECE" w14:textId="77777777" w:rsidR="00220DD2" w:rsidRDefault="00000000">
      <w:pPr>
        <w:pStyle w:val="TightBullet"/>
      </w:pPr>
      <w:r>
        <w:rPr>
          <w:b/>
        </w:rPr>
        <w:t xml:space="preserve">• </w:t>
      </w:r>
      <w:r>
        <w:t>I can hand developers ready-to-use evaluation files instead of asking them to work from messy copied outputs.</w:t>
      </w:r>
    </w:p>
    <w:p w14:paraId="12B1B9EB" w14:textId="77777777" w:rsidR="00220DD2" w:rsidRDefault="00000000">
      <w:pPr>
        <w:pStyle w:val="Subheading"/>
      </w:pPr>
      <w:r>
        <w:t>Implementation evidence</w:t>
      </w:r>
    </w:p>
    <w:p w14:paraId="4736211F" w14:textId="77777777" w:rsidR="00220DD2" w:rsidRDefault="00000000">
      <w:r>
        <w:t>Working multi-model scripts, saved JSON and TXT outputs, runtime observation screenshot, and the separate API Setup Progress and Evidence Log can all be attached as portfolio evidence for this decision.</w:t>
      </w:r>
    </w:p>
    <w:p w14:paraId="02A1774F" w14:textId="77777777" w:rsidR="00220DD2" w:rsidRDefault="00000000">
      <w:pPr>
        <w:pStyle w:val="Subheading"/>
      </w:pPr>
      <w:r>
        <w:lastRenderedPageBreak/>
        <w:t>Next LO stage</w:t>
      </w:r>
    </w:p>
    <w:p w14:paraId="076ACB66" w14:textId="08589E2E" w:rsidR="00220DD2" w:rsidRDefault="00000000">
      <w:r>
        <w:t xml:space="preserve">Realizing </w:t>
      </w:r>
      <w:r w:rsidR="003F1E6F">
        <w:t>and</w:t>
      </w:r>
      <w:r>
        <w:t xml:space="preserve"> Managing</w:t>
      </w:r>
    </w:p>
    <w:p w14:paraId="2709B64A" w14:textId="77777777" w:rsidR="00220DD2" w:rsidRDefault="00000000">
      <w:pPr>
        <w:pStyle w:val="Subheading"/>
      </w:pPr>
      <w:r>
        <w:t>What I can now do</w:t>
      </w:r>
    </w:p>
    <w:p w14:paraId="3AA30220" w14:textId="77777777" w:rsidR="00220DD2" w:rsidRDefault="00000000">
      <w:r>
        <w:t>Run multiple real programming questions through all selected models, collect and save the outputs systematically, determine the final number of benchmark questions, and prepare the material for developer scoring.</w:t>
      </w:r>
    </w:p>
    <w:p w14:paraId="1A955AA2" w14:textId="77777777" w:rsidR="00220DD2" w:rsidRDefault="00000000">
      <w:pPr>
        <w:pStyle w:val="Subheading"/>
      </w:pPr>
      <w:r>
        <w:t>How I will know this worked</w:t>
      </w:r>
    </w:p>
    <w:p w14:paraId="6EC2C247" w14:textId="77777777" w:rsidR="00220DD2" w:rsidRDefault="00000000">
      <w:r>
        <w:t>If I can generate a full benchmark dataset from the selected questions and developers can directly evaluate the saved files without needing additional data preparation, then this decision has worked as intended.</w:t>
      </w:r>
    </w:p>
    <w:sectPr w:rsidR="00220DD2" w:rsidSect="00034616">
      <w:footerReference w:type="default" r:id="rId15"/>
      <w:pgSz w:w="11906" w:h="16838"/>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13DE1" w14:textId="77777777" w:rsidR="00723C70" w:rsidRDefault="00723C70">
      <w:pPr>
        <w:spacing w:after="0" w:line="240" w:lineRule="auto"/>
      </w:pPr>
      <w:r>
        <w:separator/>
      </w:r>
    </w:p>
  </w:endnote>
  <w:endnote w:type="continuationSeparator" w:id="0">
    <w:p w14:paraId="5E79C116" w14:textId="77777777" w:rsidR="00723C70" w:rsidRDefault="00723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14BF" w14:textId="77777777" w:rsidR="00220DD2" w:rsidRDefault="00000000">
    <w:pPr>
      <w:pStyle w:val="Footer"/>
      <w:jc w:val="center"/>
    </w:pPr>
    <w:proofErr w:type="spellStart"/>
    <w:r>
      <w:rPr>
        <w:color w:val="5F5F5F"/>
        <w:sz w:val="17"/>
      </w:rPr>
      <w:t>StackEval</w:t>
    </w:r>
    <w:proofErr w:type="spellEnd"/>
    <w:r>
      <w:rPr>
        <w:color w:val="5F5F5F"/>
        <w:sz w:val="17"/>
      </w:rPr>
      <w:t xml:space="preserve"> Benchmark – Decision Log 3 (Updated)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1BFF4" w14:textId="77777777" w:rsidR="00723C70" w:rsidRDefault="00723C70">
      <w:pPr>
        <w:spacing w:after="0" w:line="240" w:lineRule="auto"/>
      </w:pPr>
      <w:r>
        <w:separator/>
      </w:r>
    </w:p>
  </w:footnote>
  <w:footnote w:type="continuationSeparator" w:id="0">
    <w:p w14:paraId="69DF5F2C" w14:textId="77777777" w:rsidR="00723C70" w:rsidRDefault="00723C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FB3C2E"/>
    <w:multiLevelType w:val="multilevel"/>
    <w:tmpl w:val="064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382951">
    <w:abstractNumId w:val="8"/>
  </w:num>
  <w:num w:numId="2" w16cid:durableId="2140568799">
    <w:abstractNumId w:val="6"/>
  </w:num>
  <w:num w:numId="3" w16cid:durableId="135725945">
    <w:abstractNumId w:val="5"/>
  </w:num>
  <w:num w:numId="4" w16cid:durableId="1359509682">
    <w:abstractNumId w:val="4"/>
  </w:num>
  <w:num w:numId="5" w16cid:durableId="35007800">
    <w:abstractNumId w:val="7"/>
  </w:num>
  <w:num w:numId="6" w16cid:durableId="1697190273">
    <w:abstractNumId w:val="3"/>
  </w:num>
  <w:num w:numId="7" w16cid:durableId="788360614">
    <w:abstractNumId w:val="2"/>
  </w:num>
  <w:num w:numId="8" w16cid:durableId="339890773">
    <w:abstractNumId w:val="1"/>
  </w:num>
  <w:num w:numId="9" w16cid:durableId="1612787672">
    <w:abstractNumId w:val="0"/>
  </w:num>
  <w:num w:numId="10" w16cid:durableId="15369692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2D6"/>
    <w:rsid w:val="0015074B"/>
    <w:rsid w:val="001518EA"/>
    <w:rsid w:val="00220DD2"/>
    <w:rsid w:val="0029639D"/>
    <w:rsid w:val="00326F90"/>
    <w:rsid w:val="003F1E6F"/>
    <w:rsid w:val="0040499F"/>
    <w:rsid w:val="004C4D20"/>
    <w:rsid w:val="00723C70"/>
    <w:rsid w:val="00904086"/>
    <w:rsid w:val="00997751"/>
    <w:rsid w:val="00AA1D8D"/>
    <w:rsid w:val="00B47730"/>
    <w:rsid w:val="00BA25FD"/>
    <w:rsid w:val="00CB0664"/>
    <w:rsid w:val="00E54BCC"/>
    <w:rsid w:val="00EA3E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4925E3"/>
  <w14:defaultImageDpi w14:val="300"/>
  <w15:docId w15:val="{5D7126D5-377C-4073-A9CD-A2E25FB0F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28282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LTitle">
    <w:name w:val="DL Title"/>
    <w:basedOn w:val="Normal"/>
    <w:pPr>
      <w:spacing w:after="160"/>
    </w:pPr>
    <w:rPr>
      <w:rFonts w:ascii="Aptos Display" w:hAnsi="Aptos Display"/>
      <w:b/>
      <w:color w:val="224D7A"/>
      <w:sz w:val="44"/>
    </w:rPr>
  </w:style>
  <w:style w:type="paragraph" w:customStyle="1" w:styleId="DLSubtitle">
    <w:name w:val="DL Subtitle"/>
    <w:basedOn w:val="Normal"/>
    <w:pPr>
      <w:spacing w:after="180"/>
    </w:pPr>
    <w:rPr>
      <w:color w:val="5F5F5F"/>
      <w:sz w:val="22"/>
    </w:rPr>
  </w:style>
  <w:style w:type="paragraph" w:customStyle="1" w:styleId="SectionHeading">
    <w:name w:val="Section Heading"/>
    <w:basedOn w:val="Normal"/>
    <w:pPr>
      <w:keepNext/>
      <w:spacing w:before="200"/>
    </w:pPr>
    <w:rPr>
      <w:rFonts w:ascii="Aptos Display" w:hAnsi="Aptos Display"/>
      <w:b/>
      <w:color w:val="224D7A"/>
      <w:sz w:val="28"/>
    </w:rPr>
  </w:style>
  <w:style w:type="paragraph" w:customStyle="1" w:styleId="Subheading">
    <w:name w:val="Subheading"/>
    <w:basedOn w:val="Normal"/>
    <w:pPr>
      <w:keepNext/>
      <w:spacing w:before="100" w:after="40"/>
    </w:pPr>
    <w:rPr>
      <w:b/>
      <w:color w:val="224D7A"/>
      <w:sz w:val="22"/>
    </w:rPr>
  </w:style>
  <w:style w:type="paragraph" w:customStyle="1" w:styleId="SmallNote">
    <w:name w:val="Small Note"/>
    <w:basedOn w:val="Normal"/>
    <w:pPr>
      <w:spacing w:after="60"/>
    </w:pPr>
    <w:rPr>
      <w:i/>
      <w:color w:val="5F5F5F"/>
      <w:sz w:val="18"/>
    </w:rPr>
  </w:style>
  <w:style w:type="paragraph" w:customStyle="1" w:styleId="TightBullet">
    <w:name w:val="Tight Bullet"/>
    <w:basedOn w:val="Normal"/>
    <w:pPr>
      <w:spacing w:after="40"/>
      <w:ind w:left="340" w:hanging="198"/>
    </w:pPr>
  </w:style>
  <w:style w:type="character" w:styleId="Hyperlink">
    <w:name w:val="Hyperlink"/>
    <w:basedOn w:val="DefaultParagraphFont"/>
    <w:uiPriority w:val="99"/>
    <w:unhideWhenUsed/>
    <w:rsid w:val="001518EA"/>
    <w:rPr>
      <w:color w:val="0000FF" w:themeColor="hyperlink"/>
      <w:u w:val="single"/>
    </w:rPr>
  </w:style>
  <w:style w:type="character" w:styleId="UnresolvedMention">
    <w:name w:val="Unresolved Mention"/>
    <w:basedOn w:val="DefaultParagraphFont"/>
    <w:uiPriority w:val="99"/>
    <w:semiHidden/>
    <w:unhideWhenUsed/>
    <w:rsid w:val="001518EA"/>
    <w:rPr>
      <w:color w:val="605E5C"/>
      <w:shd w:val="clear" w:color="auto" w:fill="E1DFDD"/>
    </w:rPr>
  </w:style>
  <w:style w:type="character" w:styleId="FollowedHyperlink">
    <w:name w:val="FollowedHyperlink"/>
    <w:basedOn w:val="DefaultParagraphFont"/>
    <w:uiPriority w:val="99"/>
    <w:semiHidden/>
    <w:unhideWhenUsed/>
    <w:rsid w:val="0090408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osusAI/stack-eval?utm_source=chatgpt.com" TargetMode="External"/><Relationship Id="rId13" Type="http://schemas.openxmlformats.org/officeDocument/2006/relationships/hyperlink" Target="https://huggingface.co/docs/evaluate/inde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router.ai/"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tform.claude.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platform.openai.com/docs/guides/production-best-practices" TargetMode="External"/><Relationship Id="rId4" Type="http://schemas.openxmlformats.org/officeDocument/2006/relationships/settings" Target="settings.xml"/><Relationship Id="rId9" Type="http://schemas.openxmlformats.org/officeDocument/2006/relationships/hyperlink" Target="https://platform.openai.co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1383</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koran</cp:lastModifiedBy>
  <cp:revision>5</cp:revision>
  <dcterms:created xsi:type="dcterms:W3CDTF">2013-12-23T23:15:00Z</dcterms:created>
  <dcterms:modified xsi:type="dcterms:W3CDTF">2026-03-31T13:22:00Z</dcterms:modified>
  <cp:category/>
</cp:coreProperties>
</file>