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80" w:line="276" w:lineRule="auto"/>
        <w:jc w:val="center"/>
      </w:pPr>
      <w:r>
        <w:rPr>
          <w:b/>
        </w:rPr>
        <w:t>Decision Log 4</w:t>
      </w:r>
    </w:p>
    <w:p>
      <w:pPr>
        <w:pStyle w:val="Subtitle"/>
        <w:spacing w:before="0" w:after="240" w:line="276" w:lineRule="auto"/>
        <w:jc w:val="center"/>
      </w:pPr>
      <w:r>
        <w:t>Finalizing the Benchmark Size and Human Scoring Structure for the StackEval Evaluation Stage</w:t>
      </w:r>
    </w:p>
    <w:tbl>
      <w:tblPr>
        <w:tblW w:type="auto" w:w="0"/>
        <w:jc w:val="center"/>
        <w:tblLayout w:type="fixed"/>
        <w:tblLook w:firstColumn="1" w:firstRow="1" w:lastColumn="0" w:lastRow="0" w:noHBand="0" w:noVBand="1" w:val="04A0"/>
      </w:tblPr>
      <w:tblGrid>
        <w:gridCol w:w="4873"/>
        <w:gridCol w:w="4873"/>
      </w:tblGrid>
      <w:tr>
        <w:tc>
          <w:tcPr>
            <w:tcW w:type="dxa" w:w="2381"/>
            <w:vAlign w:val="center"/>
            <w:shd w:fill="D9EAF7"/>
            <w:tcBorders>
              <w:left w:val="single" w:sz="6" w:color="C7D7E5"/>
              <w:top w:val="single" w:sz="6" w:color="C7D7E5"/>
              <w:right w:val="single" w:sz="6" w:color="C7D7E5"/>
              <w:bottom w:val="single" w:sz="6" w:color="C7D7E5"/>
            </w:tcBorders>
          </w:tcPr>
          <w:p>
            <w:pPr>
              <w:spacing w:before="0" w:after="0" w:line="240" w:lineRule="auto"/>
              <w:ind w:left="40"/>
            </w:pPr>
            <w:r>
              <w:rPr>
                <w:b/>
              </w:rPr>
              <w:t>Project</w:t>
            </w:r>
          </w:p>
        </w:tc>
        <w:tc>
          <w:tcPr>
            <w:tcW w:type="dxa" w:w="6463"/>
            <w:vAlign w:val="center"/>
            <w:shd w:fill="F8FBFE"/>
            <w:tcBorders>
              <w:left w:val="single" w:sz="6" w:color="C7D7E5"/>
              <w:top w:val="single" w:sz="6" w:color="C7D7E5"/>
              <w:right w:val="single" w:sz="6" w:color="C7D7E5"/>
              <w:bottom w:val="single" w:sz="6" w:color="C7D7E5"/>
            </w:tcBorders>
          </w:tcPr>
          <w:p>
            <w:pPr>
              <w:spacing w:before="0" w:after="0" w:line="240" w:lineRule="auto"/>
              <w:ind w:left="40"/>
            </w:pPr>
            <w:r>
              <w:t>StackEval Benchmark – Professional Research Project</w:t>
            </w:r>
          </w:p>
        </w:tc>
      </w:tr>
      <w:tr>
        <w:tc>
          <w:tcPr>
            <w:tcW w:type="dxa" w:w="2381"/>
            <w:vAlign w:val="center"/>
            <w:shd w:fill="D9EAF7"/>
            <w:tcBorders>
              <w:left w:val="single" w:sz="6" w:color="C7D7E5"/>
              <w:top w:val="single" w:sz="6" w:color="C7D7E5"/>
              <w:right w:val="single" w:sz="6" w:color="C7D7E5"/>
              <w:bottom w:val="single" w:sz="6" w:color="C7D7E5"/>
            </w:tcBorders>
          </w:tcPr>
          <w:p>
            <w:pPr>
              <w:spacing w:before="0" w:after="0" w:line="240" w:lineRule="auto"/>
              <w:ind w:left="40"/>
            </w:pPr>
            <w:r>
              <w:rPr>
                <w:b/>
              </w:rPr>
              <w:t>Document type</w:t>
            </w:r>
          </w:p>
        </w:tc>
        <w:tc>
          <w:tcPr>
            <w:tcW w:type="dxa" w:w="6463"/>
            <w:vAlign w:val="center"/>
            <w:shd w:fill="F8FBFE"/>
            <w:tcBorders>
              <w:left w:val="single" w:sz="6" w:color="C7D7E5"/>
              <w:top w:val="single" w:sz="6" w:color="C7D7E5"/>
              <w:right w:val="single" w:sz="6" w:color="C7D7E5"/>
              <w:bottom w:val="single" w:sz="6" w:color="C7D7E5"/>
            </w:tcBorders>
          </w:tcPr>
          <w:p>
            <w:pPr>
              <w:spacing w:before="0" w:after="0" w:line="240" w:lineRule="auto"/>
              <w:ind w:left="40"/>
            </w:pPr>
            <w:r>
              <w:t>Decision Log</w:t>
            </w:r>
          </w:p>
        </w:tc>
      </w:tr>
      <w:tr>
        <w:tc>
          <w:tcPr>
            <w:tcW w:type="dxa" w:w="2381"/>
            <w:vAlign w:val="center"/>
            <w:shd w:fill="D9EAF7"/>
            <w:tcBorders>
              <w:left w:val="single" w:sz="6" w:color="C7D7E5"/>
              <w:top w:val="single" w:sz="6" w:color="C7D7E5"/>
              <w:right w:val="single" w:sz="6" w:color="C7D7E5"/>
              <w:bottom w:val="single" w:sz="6" w:color="C7D7E5"/>
            </w:tcBorders>
          </w:tcPr>
          <w:p>
            <w:pPr>
              <w:spacing w:before="0" w:after="0" w:line="240" w:lineRule="auto"/>
              <w:ind w:left="40"/>
            </w:pPr>
            <w:r>
              <w:rPr>
                <w:b/>
              </w:rPr>
              <w:t>Prepared for</w:t>
            </w:r>
          </w:p>
        </w:tc>
        <w:tc>
          <w:tcPr>
            <w:tcW w:type="dxa" w:w="6463"/>
            <w:vAlign w:val="center"/>
            <w:shd w:fill="F8FBFE"/>
            <w:tcBorders>
              <w:left w:val="single" w:sz="6" w:color="C7D7E5"/>
              <w:top w:val="single" w:sz="6" w:color="C7D7E5"/>
              <w:right w:val="single" w:sz="6" w:color="C7D7E5"/>
              <w:bottom w:val="single" w:sz="6" w:color="C7D7E5"/>
            </w:tcBorders>
          </w:tcPr>
          <w:p>
            <w:pPr>
              <w:spacing w:before="0" w:after="0" w:line="240" w:lineRule="auto"/>
              <w:ind w:left="40"/>
            </w:pPr>
            <w:r>
              <w:t>Portfolio evidence / GenAI project documentation</w:t>
            </w:r>
          </w:p>
        </w:tc>
      </w:tr>
      <w:tr>
        <w:tc>
          <w:tcPr>
            <w:tcW w:type="dxa" w:w="2381"/>
            <w:vAlign w:val="center"/>
            <w:shd w:fill="D9EAF7"/>
            <w:tcBorders>
              <w:left w:val="single" w:sz="6" w:color="C7D7E5"/>
              <w:top w:val="single" w:sz="6" w:color="C7D7E5"/>
              <w:right w:val="single" w:sz="6" w:color="C7D7E5"/>
              <w:bottom w:val="single" w:sz="6" w:color="C7D7E5"/>
            </w:tcBorders>
          </w:tcPr>
          <w:p>
            <w:pPr>
              <w:spacing w:before="0" w:after="0" w:line="240" w:lineRule="auto"/>
              <w:ind w:left="40"/>
            </w:pPr>
            <w:r>
              <w:rPr>
                <w:b/>
              </w:rPr>
              <w:t>Date</w:t>
            </w:r>
          </w:p>
        </w:tc>
        <w:tc>
          <w:tcPr>
            <w:tcW w:type="dxa" w:w="6463"/>
            <w:vAlign w:val="center"/>
            <w:shd w:fill="F8FBFE"/>
            <w:tcBorders>
              <w:left w:val="single" w:sz="6" w:color="C7D7E5"/>
              <w:top w:val="single" w:sz="6" w:color="C7D7E5"/>
              <w:right w:val="single" w:sz="6" w:color="C7D7E5"/>
              <w:bottom w:val="single" w:sz="6" w:color="C7D7E5"/>
            </w:tcBorders>
          </w:tcPr>
          <w:p>
            <w:pPr>
              <w:spacing w:before="0" w:after="0" w:line="240" w:lineRule="auto"/>
              <w:ind w:left="40"/>
            </w:pPr>
            <w:r>
              <w:t>13 April 2026</w:t>
            </w:r>
          </w:p>
        </w:tc>
      </w:tr>
    </w:tbl>
    <w:p/>
    <w:p>
      <w:pPr>
        <w:pStyle w:val="Heading2"/>
        <w:spacing w:before="80" w:after="80" w:line="276" w:lineRule="auto"/>
      </w:pPr>
      <w:r>
        <w:t>At a glance</w:t>
      </w:r>
    </w:p>
    <w:tbl>
      <w:tblPr>
        <w:tblW w:type="auto" w:w="0"/>
        <w:jc w:val="center"/>
        <w:tblLayout w:type="fixed"/>
        <w:tblLook w:firstColumn="1" w:firstRow="1" w:lastColumn="0" w:lastRow="0" w:noHBand="0" w:noVBand="1" w:val="04A0"/>
      </w:tblPr>
      <w:tblGrid>
        <w:gridCol w:w="4873"/>
        <w:gridCol w:w="4873"/>
      </w:tblGrid>
      <w:tr>
        <w:tc>
          <w:tcPr>
            <w:tcW w:type="dxa" w:w="2381"/>
            <w:vAlign w:val="center"/>
            <w:shd w:fill="EAF3F9"/>
            <w:tcBorders>
              <w:left w:val="single" w:sz="6" w:color="D5E2EE"/>
              <w:top w:val="single" w:sz="6" w:color="D5E2EE"/>
              <w:right w:val="single" w:sz="6" w:color="D5E2EE"/>
              <w:bottom w:val="single" w:sz="6" w:color="D5E2EE"/>
            </w:tcBorders>
          </w:tcPr>
          <w:p>
            <w:pPr>
              <w:spacing w:before="0" w:after="0" w:line="264" w:lineRule="auto"/>
              <w:ind w:left="40"/>
            </w:pPr>
            <w:r>
              <w:rPr>
                <w:b/>
              </w:rPr>
              <w:t>Final decision</w:t>
            </w:r>
          </w:p>
        </w:tc>
        <w:tc>
          <w:tcPr>
            <w:tcW w:type="dxa" w:w="6463"/>
            <w:vAlign w:val="center"/>
            <w:shd w:fill="FFFFFF"/>
            <w:tcBorders>
              <w:left w:val="single" w:sz="6" w:color="D5E2EE"/>
              <w:top w:val="single" w:sz="6" w:color="D5E2EE"/>
              <w:right w:val="single" w:sz="6" w:color="D5E2EE"/>
              <w:bottom w:val="single" w:sz="6" w:color="D5E2EE"/>
            </w:tcBorders>
          </w:tcPr>
          <w:p>
            <w:pPr>
              <w:spacing w:before="0" w:after="0" w:line="264" w:lineRule="auto"/>
              <w:ind w:left="40"/>
            </w:pPr>
            <w:r>
              <w:t>Use 30 Stack Overflow questions and a blind scoring interface that combines readable presentation with direct scoring and automatic result saving.</w:t>
            </w:r>
          </w:p>
        </w:tc>
      </w:tr>
      <w:tr>
        <w:tc>
          <w:tcPr>
            <w:tcW w:type="dxa" w:w="2381"/>
            <w:vAlign w:val="center"/>
            <w:shd w:fill="EAF3F9"/>
            <w:tcBorders>
              <w:left w:val="single" w:sz="6" w:color="D5E2EE"/>
              <w:top w:val="single" w:sz="6" w:color="D5E2EE"/>
              <w:right w:val="single" w:sz="6" w:color="D5E2EE"/>
              <w:bottom w:val="single" w:sz="6" w:color="D5E2EE"/>
            </w:tcBorders>
          </w:tcPr>
          <w:p>
            <w:pPr>
              <w:spacing w:before="0" w:after="0" w:line="264" w:lineRule="auto"/>
              <w:ind w:left="40"/>
            </w:pPr>
            <w:r>
              <w:rPr>
                <w:b/>
              </w:rPr>
              <w:t>Current LO stage</w:t>
            </w:r>
          </w:p>
        </w:tc>
        <w:tc>
          <w:tcPr>
            <w:tcW w:type="dxa" w:w="6463"/>
            <w:vAlign w:val="center"/>
            <w:shd w:fill="FFFFFF"/>
            <w:tcBorders>
              <w:left w:val="single" w:sz="6" w:color="D5E2EE"/>
              <w:top w:val="single" w:sz="6" w:color="D5E2EE"/>
              <w:right w:val="single" w:sz="6" w:color="D5E2EE"/>
              <w:bottom w:val="single" w:sz="6" w:color="D5E2EE"/>
            </w:tcBorders>
          </w:tcPr>
          <w:p>
            <w:pPr>
              <w:spacing w:before="0" w:after="0" w:line="264" w:lineRule="auto"/>
              <w:ind w:left="40"/>
            </w:pPr>
            <w:r>
              <w:t>Analyzing, Designing, Realizing, Managing</w:t>
            </w:r>
          </w:p>
        </w:tc>
      </w:tr>
      <w:tr>
        <w:tc>
          <w:tcPr>
            <w:tcW w:type="dxa" w:w="2381"/>
            <w:vAlign w:val="center"/>
            <w:shd w:fill="EAF3F9"/>
            <w:tcBorders>
              <w:left w:val="single" w:sz="6" w:color="D5E2EE"/>
              <w:top w:val="single" w:sz="6" w:color="D5E2EE"/>
              <w:right w:val="single" w:sz="6" w:color="D5E2EE"/>
              <w:bottom w:val="single" w:sz="6" w:color="D5E2EE"/>
            </w:tcBorders>
          </w:tcPr>
          <w:p>
            <w:pPr>
              <w:spacing w:before="0" w:after="0" w:line="264" w:lineRule="auto"/>
              <w:ind w:left="40"/>
            </w:pPr>
            <w:r>
              <w:rPr>
                <w:b/>
              </w:rPr>
              <w:t>Main evidence used</w:t>
            </w:r>
          </w:p>
        </w:tc>
        <w:tc>
          <w:tcPr>
            <w:tcW w:type="dxa" w:w="6463"/>
            <w:vAlign w:val="center"/>
            <w:shd w:fill="FFFFFF"/>
            <w:tcBorders>
              <w:left w:val="single" w:sz="6" w:color="D5E2EE"/>
              <w:top w:val="single" w:sz="6" w:color="D5E2EE"/>
              <w:right w:val="single" w:sz="6" w:color="D5E2EE"/>
              <w:bottom w:val="single" w:sz="6" w:color="D5E2EE"/>
            </w:tcBorders>
          </w:tcPr>
          <w:p>
            <w:pPr>
              <w:spacing w:before="0" w:after="0" w:line="264" w:lineRule="auto"/>
              <w:ind w:left="40"/>
            </w:pPr>
            <w:r>
              <w:t>[StackEval Project Understanding], [Decision Log 3], [Comparison Document], [Interview Transcript Summary], [Voice Interview Recording]</w:t>
            </w:r>
          </w:p>
        </w:tc>
      </w:tr>
    </w:tbl>
    <w:p/>
    <w:p>
      <w:pPr>
        <w:pStyle w:val="Heading1"/>
        <w:spacing w:before="160" w:after="80" w:line="276" w:lineRule="auto"/>
      </w:pPr>
      <w:r>
        <w:t>0. Context: Why does this question exist?</w:t>
      </w:r>
    </w:p>
    <w:p>
      <w:pPr>
        <w:spacing w:before="0" w:after="120" w:line="283" w:lineRule="auto"/>
      </w:pPr>
      <w:r>
        <w:t>After selecting the project, choosing the benchmarked models, and deciding to use API-based querying, the next important question was how the human evaluation stage should actually be executed. My StackEval project depends on real programming questions, model-generated answers, and developer scoring. That means the benchmark cannot move forward until two practical decisions are clear: how many Stack Overflow questions I will include, and in which structure I will present the answers to developers for scoring.</w:t>
      </w:r>
    </w:p>
    <w:p>
      <w:pPr>
        <w:spacing w:before="0" w:after="120" w:line="283" w:lineRule="auto"/>
      </w:pPr>
      <w:r>
        <w:t>This matters now because without a realistic benchmark size and a usable scoring structure, I cannot move from output generation to the actual evaluation phase. A benchmark that is too large will put too much burden on developers, while a benchmark that is too small may reduce the value of the comparison. In the same way, a format that is hard to read or difficult to score will weaken the reliability of the process even if the model answers are already collected.</w:t>
      </w:r>
    </w:p>
    <w:p>
      <w:pPr>
        <w:spacing w:before="0" w:after="120" w:line="283" w:lineRule="auto"/>
      </w:pPr>
      <w:r>
        <w:t>This decision fits directly after Decision Log 3. In that earlier log, I chose API-based querying so that responses could be generated consistently and prepared in a cleaner format for human scoring. The next logical step was therefore to determine a feasible benchmark size and a developer-friendly scoring structure. [Decision Log 3] [StackEval Project Understanding]</w:t>
      </w:r>
    </w:p>
    <w:p>
      <w:pPr>
        <w:pStyle w:val="Heading1"/>
        <w:spacing w:before="160" w:after="80" w:line="276" w:lineRule="auto"/>
      </w:pPr>
      <w:r>
        <w:t>1. My research question</w:t>
      </w:r>
    </w:p>
    <w:p>
      <w:pPr>
        <w:spacing w:before="0" w:after="120" w:line="283" w:lineRule="auto"/>
      </w:pPr>
      <w:r>
        <w:t>How many Stack Overflow questions should be included in the benchmark, and which evaluation structure should be used so that 2–3 developers can score model answers clearly, objectively, and efficiently within the constraints of this project?</w:t>
      </w:r>
    </w:p>
    <w:p>
      <w:pPr>
        <w:pStyle w:val="Heading1"/>
        <w:spacing w:before="160" w:after="80" w:line="276" w:lineRule="auto"/>
      </w:pPr>
      <w:r>
        <w:t>2. Current LO stage</w:t>
      </w:r>
    </w:p>
    <w:p>
      <w:pPr>
        <w:spacing w:before="0" w:after="120" w:line="283" w:lineRule="auto"/>
      </w:pPr>
      <w:r>
        <w:t>Analyzing / Designing / Realizing / Managing</w:t>
      </w:r>
    </w:p>
    <w:p>
      <w:pPr>
        <w:pStyle w:val="Heading1"/>
        <w:spacing w:before="160" w:after="80" w:line="276" w:lineRule="auto"/>
      </w:pPr>
      <w:r>
        <w:t>3. What makes a good decision here?</w:t>
      </w:r>
    </w:p>
    <w:p>
      <w:pPr>
        <w:spacing w:before="0" w:after="120" w:line="283" w:lineRule="auto"/>
      </w:pPr>
      <w:r>
        <w:t>My criteria for success were:</w:t>
      </w:r>
    </w:p>
    <w:p>
      <w:pPr>
        <w:spacing w:before="0" w:after="60" w:line="276" w:lineRule="auto"/>
        <w:ind w:left="283" w:hanging="198"/>
      </w:pPr>
      <w:r>
        <w:rPr>
          <w:b/>
        </w:rPr>
        <w:t xml:space="preserve">• </w:t>
      </w:r>
      <w:r>
        <w:t>The benchmark size should remain meaningful enough to compare model performance on real programming tasks.</w:t>
      </w:r>
    </w:p>
    <w:p>
      <w:pPr>
        <w:spacing w:before="0" w:after="60" w:line="276" w:lineRule="auto"/>
        <w:ind w:left="283" w:hanging="198"/>
      </w:pPr>
      <w:r>
        <w:rPr>
          <w:b/>
        </w:rPr>
        <w:t xml:space="preserve">• </w:t>
      </w:r>
      <w:r>
        <w:t>The number of questions should stay as close as realistically possible to a scorer workload of around 120 minutes, because developer time is limited.</w:t>
      </w:r>
    </w:p>
    <w:p>
      <w:pPr>
        <w:spacing w:before="0" w:after="60" w:line="276" w:lineRule="auto"/>
        <w:ind w:left="283" w:hanging="198"/>
      </w:pPr>
      <w:r>
        <w:rPr>
          <w:b/>
        </w:rPr>
        <w:t xml:space="preserve">• </w:t>
      </w:r>
      <w:r>
        <w:t>The evaluation format should make the original question, explanation text, and code easy to distinguish.</w:t>
      </w:r>
    </w:p>
    <w:p>
      <w:pPr>
        <w:spacing w:before="0" w:after="60" w:line="276" w:lineRule="auto"/>
        <w:ind w:left="283" w:hanging="198"/>
      </w:pPr>
      <w:r>
        <w:rPr>
          <w:b/>
        </w:rPr>
        <w:t xml:space="preserve">• </w:t>
      </w:r>
      <w:r>
        <w:t>The format should reduce bias as much as possible, so model identities should not be visible during scoring.</w:t>
      </w:r>
    </w:p>
    <w:p>
      <w:pPr>
        <w:spacing w:before="0" w:after="60" w:line="276" w:lineRule="auto"/>
        <w:ind w:left="283" w:hanging="198"/>
      </w:pPr>
      <w:r>
        <w:rPr>
          <w:b/>
        </w:rPr>
        <w:t xml:space="preserve">• </w:t>
      </w:r>
      <w:r>
        <w:t>The scoring process should allow direct score entry without forcing the developer to use a second tool.</w:t>
      </w:r>
    </w:p>
    <w:p>
      <w:pPr>
        <w:spacing w:before="0" w:after="60" w:line="276" w:lineRule="auto"/>
        <w:ind w:left="283" w:hanging="198"/>
      </w:pPr>
      <w:r>
        <w:rPr>
          <w:b/>
        </w:rPr>
        <w:t xml:space="preserve">• </w:t>
      </w:r>
      <w:r>
        <w:t>The results should be saved automatically in a structured format for later analysis.</w:t>
      </w:r>
    </w:p>
    <w:p>
      <w:pPr>
        <w:spacing w:before="0" w:after="60" w:line="276" w:lineRule="auto"/>
        <w:ind w:left="283" w:hanging="198"/>
      </w:pPr>
      <w:r>
        <w:rPr>
          <w:b/>
        </w:rPr>
        <w:t xml:space="preserve">• </w:t>
      </w:r>
      <w:r>
        <w:t>The final decision should be based on actual testing and feedback rather than only on my own preference.</w:t>
      </w:r>
    </w:p>
    <w:p>
      <w:pPr>
        <w:pStyle w:val="Heading1"/>
        <w:spacing w:before="160" w:after="80" w:line="276" w:lineRule="auto"/>
      </w:pPr>
      <w:r>
        <w:t>4. What I decided</w:t>
      </w:r>
    </w:p>
    <w:p>
      <w:pPr>
        <w:spacing w:before="0" w:after="120" w:line="283" w:lineRule="auto"/>
      </w:pPr>
      <w:r>
        <w:t>I decided to use 30 Stack Overflow questions for the benchmark and to use a final blind scoring interface that combines the readability of the structured display version with the direct scoring and automatic result-saving workflow of the interactive scoring version.</w:t>
      </w:r>
    </w:p>
    <w:p>
      <w:pPr>
        <w:pStyle w:val="Heading1"/>
        <w:spacing w:before="160" w:after="80" w:line="276" w:lineRule="auto"/>
      </w:pPr>
      <w:r>
        <w:t>5. Why this decision</w:t>
      </w:r>
    </w:p>
    <w:p>
      <w:pPr>
        <w:pStyle w:val="Heading2"/>
        <w:spacing w:before="160" w:after="80" w:line="276" w:lineRule="auto"/>
      </w:pPr>
      <w:r>
        <w:t>Method I used</w:t>
      </w:r>
    </w:p>
    <w:p>
      <w:pPr>
        <w:spacing w:before="0" w:after="120" w:line="283" w:lineRule="auto"/>
      </w:pPr>
      <w:r>
        <w:t>I used a combination of project framing, prototype comparison, implementation testing, and pilot feedback.</w:t>
      </w:r>
    </w:p>
    <w:p>
      <w:pPr>
        <w:spacing w:before="0" w:after="60" w:line="276" w:lineRule="auto"/>
        <w:ind w:left="283" w:hanging="198"/>
      </w:pPr>
      <w:r>
        <w:rPr>
          <w:b/>
        </w:rPr>
        <w:t xml:space="preserve">• </w:t>
      </w:r>
      <w:r>
        <w:t>I reviewed the project scope I had already defined for this StackEval recreation. That plan described the benchmark as a smaller-scale recreation using roughly 30–50 real programming questions, four models, and scoring by 2–3 software developers. [StackEval Project Understanding]</w:t>
      </w:r>
    </w:p>
    <w:p>
      <w:pPr>
        <w:spacing w:before="0" w:after="60" w:line="276" w:lineRule="auto"/>
        <w:ind w:left="283" w:hanging="198"/>
      </w:pPr>
      <w:r>
        <w:rPr>
          <w:b/>
        </w:rPr>
        <w:t xml:space="preserve">• </w:t>
      </w:r>
      <w:r>
        <w:t>I connected this question to Decision Log 3. That earlier decision already established API-based querying so that outputs could be generated consistently and prepared for developer scoring. [Decision Log 3]</w:t>
      </w:r>
    </w:p>
    <w:p>
      <w:pPr>
        <w:spacing w:before="0" w:after="60" w:line="276" w:lineRule="auto"/>
        <w:ind w:left="283" w:hanging="198"/>
      </w:pPr>
      <w:r>
        <w:rPr>
          <w:b/>
        </w:rPr>
        <w:t xml:space="preserve">• </w:t>
      </w:r>
      <w:r>
        <w:t>I created and compared three different output structures for developers: a plain raw export, a clearer structured reading format, and an interactive scoring interface. [Comparison Document]</w:t>
      </w:r>
    </w:p>
    <w:p>
      <w:pPr>
        <w:spacing w:before="0" w:after="60" w:line="276" w:lineRule="auto"/>
        <w:ind w:left="283" w:hanging="198"/>
      </w:pPr>
      <w:r>
        <w:rPr>
          <w:b/>
        </w:rPr>
        <w:t xml:space="preserve">• </w:t>
      </w:r>
      <w:r>
        <w:t>I implemented a working scoring interface in Streamlit. This version grouped answers under each question, supported a consistent reading flow, hid model identities during scoring, allowed direct score entry, and saved the results to Excel automatically.</w:t>
      </w:r>
    </w:p>
    <w:p>
      <w:pPr>
        <w:spacing w:before="0" w:after="60" w:line="276" w:lineRule="auto"/>
        <w:ind w:left="283" w:hanging="198"/>
      </w:pPr>
      <w:r>
        <w:rPr>
          <w:b/>
        </w:rPr>
        <w:t xml:space="preserve">• </w:t>
      </w:r>
      <w:r>
        <w:t>I then ran a pilot test with Selim Yildirim, presented the formats, observed how he read and scored the answers, measured the approximate time for two questions, and collected feedback on readability and usability. [Interview Transcript Summary] [Voice Interview Recording]</w:t>
      </w:r>
    </w:p>
    <w:p>
      <w:pPr>
        <w:pStyle w:val="Heading2"/>
        <w:spacing w:before="160" w:after="80" w:line="276" w:lineRule="auto"/>
      </w:pPr>
      <w:r>
        <w:t>What I found</w:t>
      </w:r>
    </w:p>
    <w:p>
      <w:pPr>
        <w:spacing w:before="0" w:after="120" w:line="283" w:lineRule="auto"/>
      </w:pPr>
      <w:r>
        <w:t>The most important finding was that question count and scoring structure could not be decided separately. At the beginning, the broad range of 30–50 questions looked reasonable on paper. However, once I moved into a real pilot scoring session, time and readability became practical constraints rather than abstract ones. The pilot showed that even a small number of questions already requires focused reading, comparison, and judgment from a developer.</w:t>
      </w:r>
    </w:p>
    <w:p>
      <w:pPr>
        <w:spacing w:before="0" w:after="120" w:line="283" w:lineRule="auto"/>
      </w:pPr>
      <w:r>
        <w:t>The plain text export technically contained the required information, but it was weak as an evaluation format because it lacked structure and was tiring to read. The more structured display version solved part of that problem by improving the visual hierarchy, separating code more clearly, and hiding model names so that developers could judge the answers more objectively. However, that version still functioned mainly as a reading format rather than a complete evaluation workflow.</w:t>
      </w:r>
    </w:p>
    <w:p>
      <w:pPr>
        <w:spacing w:before="0" w:after="120" w:line="283" w:lineRule="auto"/>
      </w:pPr>
      <w:r>
        <w:t>The interactive scoring interface solved the next problem by allowing developers to assign scores directly while reading and by saving the results automatically. During the pilot, Selim stated that the scoring interface was the best format overall. At the same time, his feedback also showed that readability inside long answers still mattered. In particular, he suggested separating explanation text from code more clearly so that the answers would be easier to inspect. [Interview Transcript Summary] [Comparison Document]</w:t>
      </w:r>
    </w:p>
    <w:p>
      <w:pPr>
        <w:spacing w:before="0" w:after="120" w:line="283" w:lineRule="auto"/>
      </w:pPr>
      <w:r>
        <w:t>The timing result was also important. The pilot session showed that scoring two real questions took around ten minutes. This meant that a full benchmark would likely take longer than my ideal two-hour target if I selected too many questions. Because of that, I moved toward the lower end of the original 30–50 range. I selected 30 questions as the smallest number that still keeps the benchmark meaningful while remaining more realistic for developers to complete than a larger set.</w:t>
      </w:r>
    </w:p>
    <w:p>
      <w:pPr>
        <w:spacing w:before="0" w:after="120" w:line="283" w:lineRule="auto"/>
      </w:pPr>
      <w:r>
        <w:t>Another useful finding was that the 0–3 rubric itself has limitations. Selim questioned whether the scale makes strong differentiation easy when many modern LLM answers are already acceptable. I kept the rubric anyway because it is part of the project setup and because the goal of the benchmark is not perfect objectivity, but a structured comparison of practical usefulness under the same conditions. I therefore treated rubric subjectivity as a limitation to acknowledge, not as a reason to abandon the evaluation method.</w:t>
      </w:r>
    </w:p>
    <w:p>
      <w:pPr>
        <w:pStyle w:val="Heading2"/>
        <w:spacing w:before="160" w:after="80" w:line="276" w:lineRule="auto"/>
      </w:pPr>
      <w:r>
        <w:t>Evidence &amp; artifacts</w:t>
      </w:r>
    </w:p>
    <w:p>
      <w:pPr>
        <w:spacing w:before="0" w:after="60" w:line="276" w:lineRule="auto"/>
        <w:ind w:left="283" w:hanging="198"/>
      </w:pPr>
      <w:r>
        <w:rPr>
          <w:b/>
        </w:rPr>
        <w:t xml:space="preserve">• </w:t>
      </w:r>
      <w:r>
        <w:t>[StackEval Project Understanding]</w:t>
      </w:r>
    </w:p>
    <w:p>
      <w:pPr>
        <w:spacing w:before="0" w:after="60" w:line="276" w:lineRule="auto"/>
        <w:ind w:left="283" w:hanging="198"/>
      </w:pPr>
      <w:r>
        <w:rPr>
          <w:b/>
        </w:rPr>
        <w:t xml:space="preserve">• </w:t>
      </w:r>
      <w:r>
        <w:t>[Decision Log 3]</w:t>
      </w:r>
    </w:p>
    <w:p>
      <w:pPr>
        <w:spacing w:before="0" w:after="60" w:line="276" w:lineRule="auto"/>
        <w:ind w:left="283" w:hanging="198"/>
      </w:pPr>
      <w:r>
        <w:rPr>
          <w:b/>
        </w:rPr>
        <w:t xml:space="preserve">• </w:t>
      </w:r>
      <w:r>
        <w:t>[Comparison Document]</w:t>
      </w:r>
    </w:p>
    <w:p>
      <w:pPr>
        <w:spacing w:before="0" w:after="60" w:line="276" w:lineRule="auto"/>
        <w:ind w:left="283" w:hanging="198"/>
      </w:pPr>
      <w:r>
        <w:rPr>
          <w:b/>
        </w:rPr>
        <w:t xml:space="preserve">• </w:t>
      </w:r>
      <w:r>
        <w:t>[Interview Transcript Summary]</w:t>
      </w:r>
    </w:p>
    <w:p>
      <w:pPr>
        <w:spacing w:before="0" w:after="60" w:line="276" w:lineRule="auto"/>
        <w:ind w:left="283" w:hanging="198"/>
      </w:pPr>
      <w:r>
        <w:rPr>
          <w:b/>
        </w:rPr>
        <w:t xml:space="preserve">• </w:t>
      </w:r>
      <w:r>
        <w:t>[Voice Interview Recording]</w:t>
      </w:r>
    </w:p>
    <w:p>
      <w:pPr>
        <w:pStyle w:val="Heading2"/>
        <w:spacing w:before="160" w:after="80" w:line="276" w:lineRule="auto"/>
      </w:pPr>
      <w:r>
        <w:t>What this means</w:t>
      </w:r>
    </w:p>
    <w:p>
      <w:pPr>
        <w:spacing w:before="0" w:after="120" w:line="283" w:lineRule="auto"/>
      </w:pPr>
      <w:r>
        <w:t>This means the final decision could not be based only on what looked visually better to me. I needed evidence that the format improved readability, supported more objective scoring, reduced manual handling, and remained practical for real developers. The comparison work and the pilot test produced that evidence. Together, they showed that the final interface should not be just a document to read and not just a scoring tool, but a combination of both.</w:t>
      </w:r>
    </w:p>
    <w:p>
      <w:pPr>
        <w:pStyle w:val="Heading2"/>
        <w:spacing w:before="160" w:after="80" w:line="276" w:lineRule="auto"/>
      </w:pPr>
      <w:r>
        <w:t>So I decided</w:t>
      </w:r>
    </w:p>
    <w:p>
      <w:pPr>
        <w:spacing w:before="0" w:after="120" w:line="283" w:lineRule="auto"/>
      </w:pPr>
      <w:r>
        <w:t>I therefore selected 30 Stack Overflow questions and a final blind scoring interface that combines the strongest practical elements of the earlier versions: clearer structure, hidden model identities, direct scoring, and automatic result collection.</w:t>
      </w:r>
    </w:p>
    <w:p>
      <w:pPr>
        <w:pStyle w:val="Heading1"/>
        <w:spacing w:before="160" w:after="80" w:line="276" w:lineRule="auto"/>
      </w:pPr>
      <w:r>
        <w:t>6. Does this hold up?</w:t>
      </w:r>
    </w:p>
    <w:tbl>
      <w:tblPr>
        <w:tblW w:type="auto" w:w="0"/>
        <w:jc w:val="center"/>
        <w:tblLayout w:type="fixed"/>
        <w:tblLook w:firstColumn="1" w:firstRow="1" w:lastColumn="0" w:lastRow="0" w:noHBand="0" w:noVBand="1" w:val="04A0"/>
      </w:tblPr>
      <w:tblGrid>
        <w:gridCol w:w="3249"/>
        <w:gridCol w:w="3249"/>
        <w:gridCol w:w="3249"/>
      </w:tblGrid>
      <w:tr>
        <w:tc>
          <w:tcPr>
            <w:tcW w:type="dxa" w:w="3969"/>
            <w:shd w:fill="D9EAF7"/>
            <w:vAlign w:val="center"/>
            <w:tcBorders>
              <w:left w:val="single" w:sz="6" w:color="C7D7E5"/>
              <w:top w:val="single" w:sz="6" w:color="C7D7E5"/>
              <w:right w:val="single" w:sz="6" w:color="C7D7E5"/>
              <w:bottom w:val="single" w:sz="6" w:color="C7D7E5"/>
            </w:tcBorders>
          </w:tcPr>
          <w:p>
            <w:pPr>
              <w:spacing w:before="0" w:after="0" w:line="240" w:lineRule="auto"/>
            </w:pPr>
            <w:r>
              <w:rPr>
                <w:b/>
              </w:rPr>
              <w:t>Criterion</w:t>
            </w:r>
          </w:p>
        </w:tc>
        <w:tc>
          <w:tcPr>
            <w:tcW w:type="dxa" w:w="1474"/>
            <w:shd w:fill="D9EAF7"/>
            <w:vAlign w:val="center"/>
            <w:tcBorders>
              <w:left w:val="single" w:sz="6" w:color="C7D7E5"/>
              <w:top w:val="single" w:sz="6" w:color="C7D7E5"/>
              <w:right w:val="single" w:sz="6" w:color="C7D7E5"/>
              <w:bottom w:val="single" w:sz="6" w:color="C7D7E5"/>
            </w:tcBorders>
          </w:tcPr>
          <w:p>
            <w:pPr>
              <w:spacing w:before="0" w:after="0" w:line="240" w:lineRule="auto"/>
            </w:pPr>
            <w:r>
              <w:rPr>
                <w:b/>
              </w:rPr>
              <w:t>Result</w:t>
            </w:r>
          </w:p>
        </w:tc>
        <w:tc>
          <w:tcPr>
            <w:tcW w:type="dxa" w:w="3402"/>
            <w:shd w:fill="D9EAF7"/>
            <w:vAlign w:val="center"/>
            <w:tcBorders>
              <w:left w:val="single" w:sz="6" w:color="C7D7E5"/>
              <w:top w:val="single" w:sz="6" w:color="C7D7E5"/>
              <w:right w:val="single" w:sz="6" w:color="C7D7E5"/>
              <w:bottom w:val="single" w:sz="6" w:color="C7D7E5"/>
            </w:tcBorders>
          </w:tcPr>
          <w:p>
            <w:pPr>
              <w:spacing w:before="0" w:after="0" w:line="240" w:lineRule="auto"/>
            </w:pPr>
            <w:r>
              <w:rPr>
                <w:b/>
              </w:rPr>
              <w:t>Evaluation</w:t>
            </w:r>
          </w:p>
        </w:tc>
      </w:tr>
      <w:tr>
        <w:tc>
          <w:tcPr>
            <w:tcW w:type="dxa" w:w="3249"/>
            <w:vAlign w:val="center"/>
            <w:tcBorders>
              <w:left w:val="single" w:sz="6" w:color="DDE6EE"/>
              <w:top w:val="single" w:sz="6" w:color="DDE6EE"/>
              <w:right w:val="single" w:sz="6" w:color="DDE6EE"/>
              <w:bottom w:val="single" w:sz="6" w:color="DDE6EE"/>
            </w:tcBorders>
          </w:tcPr>
          <w:p>
            <w:pPr>
              <w:spacing w:before="0" w:after="0" w:line="252" w:lineRule="auto"/>
            </w:pPr>
            <w:r>
              <w:t>Benchmark remains meaningful for comparison</w:t>
            </w:r>
          </w:p>
        </w:tc>
        <w:tc>
          <w:tcPr>
            <w:tcW w:type="dxa" w:w="3249"/>
            <w:vAlign w:val="center"/>
            <w:tcBorders>
              <w:left w:val="single" w:sz="6" w:color="DDE6EE"/>
              <w:top w:val="single" w:sz="6" w:color="DDE6EE"/>
              <w:right w:val="single" w:sz="6" w:color="DDE6EE"/>
              <w:bottom w:val="single" w:sz="6" w:color="DDE6EE"/>
            </w:tcBorders>
          </w:tcPr>
          <w:p>
            <w:pPr>
              <w:spacing w:before="0" w:after="0" w:line="252" w:lineRule="auto"/>
              <w:jc w:val="center"/>
            </w:pPr>
            <w:r>
              <w:t>Yes</w:t>
            </w:r>
          </w:p>
        </w:tc>
        <w:tc>
          <w:tcPr>
            <w:tcW w:type="dxa" w:w="3249"/>
            <w:vAlign w:val="center"/>
            <w:tcBorders>
              <w:left w:val="single" w:sz="6" w:color="DDE6EE"/>
              <w:top w:val="single" w:sz="6" w:color="DDE6EE"/>
              <w:right w:val="single" w:sz="6" w:color="DDE6EE"/>
              <w:bottom w:val="single" w:sz="6" w:color="DDE6EE"/>
            </w:tcBorders>
          </w:tcPr>
          <w:p>
            <w:pPr>
              <w:spacing w:before="0" w:after="0" w:line="252" w:lineRule="auto"/>
            </w:pPr>
            <w:r>
              <w:t>Thirty questions still provide a real dataset for comparing model behaviour on practical developer problems.</w:t>
            </w:r>
          </w:p>
        </w:tc>
      </w:tr>
      <w:tr>
        <w:tc>
          <w:tcPr>
            <w:tcW w:type="dxa" w:w="3249"/>
            <w:vAlign w:val="center"/>
            <w:tcBorders>
              <w:left w:val="single" w:sz="6" w:color="DDE6EE"/>
              <w:top w:val="single" w:sz="6" w:color="DDE6EE"/>
              <w:right w:val="single" w:sz="6" w:color="DDE6EE"/>
              <w:bottom w:val="single" w:sz="6" w:color="DDE6EE"/>
            </w:tcBorders>
          </w:tcPr>
          <w:p>
            <w:pPr>
              <w:spacing w:before="0" w:after="0" w:line="252" w:lineRule="auto"/>
            </w:pPr>
            <w:r>
              <w:t>Scorer workload stays close to the ideal time target</w:t>
            </w:r>
          </w:p>
        </w:tc>
        <w:tc>
          <w:tcPr>
            <w:tcW w:type="dxa" w:w="3249"/>
            <w:vAlign w:val="center"/>
            <w:tcBorders>
              <w:left w:val="single" w:sz="6" w:color="DDE6EE"/>
              <w:top w:val="single" w:sz="6" w:color="DDE6EE"/>
              <w:right w:val="single" w:sz="6" w:color="DDE6EE"/>
              <w:bottom w:val="single" w:sz="6" w:color="DDE6EE"/>
            </w:tcBorders>
          </w:tcPr>
          <w:p>
            <w:pPr>
              <w:spacing w:before="0" w:after="0" w:line="252" w:lineRule="auto"/>
              <w:jc w:val="center"/>
            </w:pPr>
            <w:r>
              <w:t>Partially</w:t>
            </w:r>
          </w:p>
        </w:tc>
        <w:tc>
          <w:tcPr>
            <w:tcW w:type="dxa" w:w="3249"/>
            <w:vAlign w:val="center"/>
            <w:tcBorders>
              <w:left w:val="single" w:sz="6" w:color="DDE6EE"/>
              <w:top w:val="single" w:sz="6" w:color="DDE6EE"/>
              <w:right w:val="single" w:sz="6" w:color="DDE6EE"/>
              <w:bottom w:val="single" w:sz="6" w:color="DDE6EE"/>
            </w:tcBorders>
          </w:tcPr>
          <w:p>
            <w:pPr>
              <w:spacing w:before="0" w:after="0" w:line="252" w:lineRule="auto"/>
            </w:pPr>
            <w:r>
              <w:t>The pilot suggests the full benchmark may still exceed the ideal two-hour target, but 30 questions is a more realistic compromise than a larger set.</w:t>
            </w:r>
          </w:p>
        </w:tc>
      </w:tr>
      <w:tr>
        <w:tc>
          <w:tcPr>
            <w:tcW w:type="dxa" w:w="3249"/>
            <w:vAlign w:val="center"/>
            <w:tcBorders>
              <w:left w:val="single" w:sz="6" w:color="DDE6EE"/>
              <w:top w:val="single" w:sz="6" w:color="DDE6EE"/>
              <w:right w:val="single" w:sz="6" w:color="DDE6EE"/>
              <w:bottom w:val="single" w:sz="6" w:color="DDE6EE"/>
            </w:tcBorders>
          </w:tcPr>
          <w:p>
            <w:pPr>
              <w:spacing w:before="0" w:after="0" w:line="252" w:lineRule="auto"/>
            </w:pPr>
            <w:r>
              <w:t>Question, text, and code are clearly distinguishable</w:t>
            </w:r>
          </w:p>
        </w:tc>
        <w:tc>
          <w:tcPr>
            <w:tcW w:type="dxa" w:w="3249"/>
            <w:vAlign w:val="center"/>
            <w:tcBorders>
              <w:left w:val="single" w:sz="6" w:color="DDE6EE"/>
              <w:top w:val="single" w:sz="6" w:color="DDE6EE"/>
              <w:right w:val="single" w:sz="6" w:color="DDE6EE"/>
              <w:bottom w:val="single" w:sz="6" w:color="DDE6EE"/>
            </w:tcBorders>
          </w:tcPr>
          <w:p>
            <w:pPr>
              <w:spacing w:before="0" w:after="0" w:line="252" w:lineRule="auto"/>
              <w:jc w:val="center"/>
            </w:pPr>
            <w:r>
              <w:t>Yes</w:t>
            </w:r>
          </w:p>
        </w:tc>
        <w:tc>
          <w:tcPr>
            <w:tcW w:type="dxa" w:w="3249"/>
            <w:vAlign w:val="center"/>
            <w:tcBorders>
              <w:left w:val="single" w:sz="6" w:color="DDE6EE"/>
              <w:top w:val="single" w:sz="6" w:color="DDE6EE"/>
              <w:right w:val="single" w:sz="6" w:color="DDE6EE"/>
              <w:bottom w:val="single" w:sz="6" w:color="DDE6EE"/>
            </w:tcBorders>
          </w:tcPr>
          <w:p>
            <w:pPr>
              <w:spacing w:before="0" w:after="0" w:line="252" w:lineRule="auto"/>
            </w:pPr>
            <w:r>
              <w:t>The final structure improves readability by separating visual sections and presenting code more clearly.</w:t>
            </w:r>
          </w:p>
        </w:tc>
      </w:tr>
      <w:tr>
        <w:tc>
          <w:tcPr>
            <w:tcW w:type="dxa" w:w="3249"/>
            <w:vAlign w:val="center"/>
            <w:tcBorders>
              <w:left w:val="single" w:sz="6" w:color="DDE6EE"/>
              <w:top w:val="single" w:sz="6" w:color="DDE6EE"/>
              <w:right w:val="single" w:sz="6" w:color="DDE6EE"/>
              <w:bottom w:val="single" w:sz="6" w:color="DDE6EE"/>
            </w:tcBorders>
          </w:tcPr>
          <w:p>
            <w:pPr>
              <w:spacing w:before="0" w:after="0" w:line="252" w:lineRule="auto"/>
            </w:pPr>
            <w:r>
              <w:t>Model names are hidden during scoring</w:t>
            </w:r>
          </w:p>
        </w:tc>
        <w:tc>
          <w:tcPr>
            <w:tcW w:type="dxa" w:w="3249"/>
            <w:vAlign w:val="center"/>
            <w:tcBorders>
              <w:left w:val="single" w:sz="6" w:color="DDE6EE"/>
              <w:top w:val="single" w:sz="6" w:color="DDE6EE"/>
              <w:right w:val="single" w:sz="6" w:color="DDE6EE"/>
              <w:bottom w:val="single" w:sz="6" w:color="DDE6EE"/>
            </w:tcBorders>
          </w:tcPr>
          <w:p>
            <w:pPr>
              <w:spacing w:before="0" w:after="0" w:line="252" w:lineRule="auto"/>
              <w:jc w:val="center"/>
            </w:pPr>
            <w:r>
              <w:t>Yes</w:t>
            </w:r>
          </w:p>
        </w:tc>
        <w:tc>
          <w:tcPr>
            <w:tcW w:type="dxa" w:w="3249"/>
            <w:vAlign w:val="center"/>
            <w:tcBorders>
              <w:left w:val="single" w:sz="6" w:color="DDE6EE"/>
              <w:top w:val="single" w:sz="6" w:color="DDE6EE"/>
              <w:right w:val="single" w:sz="6" w:color="DDE6EE"/>
              <w:bottom w:val="single" w:sz="6" w:color="DDE6EE"/>
            </w:tcBorders>
          </w:tcPr>
          <w:p>
            <w:pPr>
              <w:spacing w:before="0" w:after="0" w:line="252" w:lineRule="auto"/>
            </w:pPr>
            <w:r>
              <w:t>Blind presentation supports a more objective comparison by reducing brand or model familiarity bias.</w:t>
            </w:r>
          </w:p>
        </w:tc>
      </w:tr>
      <w:tr>
        <w:tc>
          <w:tcPr>
            <w:tcW w:type="dxa" w:w="3249"/>
            <w:vAlign w:val="center"/>
            <w:tcBorders>
              <w:left w:val="single" w:sz="6" w:color="DDE6EE"/>
              <w:top w:val="single" w:sz="6" w:color="DDE6EE"/>
              <w:right w:val="single" w:sz="6" w:color="DDE6EE"/>
              <w:bottom w:val="single" w:sz="6" w:color="DDE6EE"/>
            </w:tcBorders>
          </w:tcPr>
          <w:p>
            <w:pPr>
              <w:spacing w:before="0" w:after="0" w:line="252" w:lineRule="auto"/>
            </w:pPr>
            <w:r>
              <w:t>Direct scoring is possible in one workflow</w:t>
            </w:r>
          </w:p>
        </w:tc>
        <w:tc>
          <w:tcPr>
            <w:tcW w:type="dxa" w:w="3249"/>
            <w:vAlign w:val="center"/>
            <w:tcBorders>
              <w:left w:val="single" w:sz="6" w:color="DDE6EE"/>
              <w:top w:val="single" w:sz="6" w:color="DDE6EE"/>
              <w:right w:val="single" w:sz="6" w:color="DDE6EE"/>
              <w:bottom w:val="single" w:sz="6" w:color="DDE6EE"/>
            </w:tcBorders>
          </w:tcPr>
          <w:p>
            <w:pPr>
              <w:spacing w:before="0" w:after="0" w:line="252" w:lineRule="auto"/>
              <w:jc w:val="center"/>
            </w:pPr>
            <w:r>
              <w:t>Yes</w:t>
            </w:r>
          </w:p>
        </w:tc>
        <w:tc>
          <w:tcPr>
            <w:tcW w:type="dxa" w:w="3249"/>
            <w:vAlign w:val="center"/>
            <w:tcBorders>
              <w:left w:val="single" w:sz="6" w:color="DDE6EE"/>
              <w:top w:val="single" w:sz="6" w:color="DDE6EE"/>
              <w:right w:val="single" w:sz="6" w:color="DDE6EE"/>
              <w:bottom w:val="single" w:sz="6" w:color="DDE6EE"/>
            </w:tcBorders>
          </w:tcPr>
          <w:p>
            <w:pPr>
              <w:spacing w:before="0" w:after="0" w:line="252" w:lineRule="auto"/>
            </w:pPr>
            <w:r>
              <w:t>Developers can score answers while reading instead of switching between separate files or tools.</w:t>
            </w:r>
          </w:p>
        </w:tc>
      </w:tr>
      <w:tr>
        <w:tc>
          <w:tcPr>
            <w:tcW w:type="dxa" w:w="3249"/>
            <w:vAlign w:val="center"/>
            <w:tcBorders>
              <w:left w:val="single" w:sz="6" w:color="DDE6EE"/>
              <w:top w:val="single" w:sz="6" w:color="DDE6EE"/>
              <w:right w:val="single" w:sz="6" w:color="DDE6EE"/>
              <w:bottom w:val="single" w:sz="6" w:color="DDE6EE"/>
            </w:tcBorders>
          </w:tcPr>
          <w:p>
            <w:pPr>
              <w:spacing w:before="0" w:after="0" w:line="252" w:lineRule="auto"/>
            </w:pPr>
            <w:r>
              <w:t>Results are saved automatically</w:t>
            </w:r>
          </w:p>
        </w:tc>
        <w:tc>
          <w:tcPr>
            <w:tcW w:type="dxa" w:w="3249"/>
            <w:vAlign w:val="center"/>
            <w:tcBorders>
              <w:left w:val="single" w:sz="6" w:color="DDE6EE"/>
              <w:top w:val="single" w:sz="6" w:color="DDE6EE"/>
              <w:right w:val="single" w:sz="6" w:color="DDE6EE"/>
              <w:bottom w:val="single" w:sz="6" w:color="DDE6EE"/>
            </w:tcBorders>
          </w:tcPr>
          <w:p>
            <w:pPr>
              <w:spacing w:before="0" w:after="0" w:line="252" w:lineRule="auto"/>
              <w:jc w:val="center"/>
            </w:pPr>
            <w:r>
              <w:t>Yes</w:t>
            </w:r>
          </w:p>
        </w:tc>
        <w:tc>
          <w:tcPr>
            <w:tcW w:type="dxa" w:w="3249"/>
            <w:vAlign w:val="center"/>
            <w:tcBorders>
              <w:left w:val="single" w:sz="6" w:color="DDE6EE"/>
              <w:top w:val="single" w:sz="6" w:color="DDE6EE"/>
              <w:right w:val="single" w:sz="6" w:color="DDE6EE"/>
              <w:bottom w:val="single" w:sz="6" w:color="DDE6EE"/>
            </w:tcBorders>
          </w:tcPr>
          <w:p>
            <w:pPr>
              <w:spacing w:before="0" w:after="0" w:line="252" w:lineRule="auto"/>
            </w:pPr>
            <w:r>
              <w:t>The scoring interface stores outputs in a structured Excel file for later analysis.</w:t>
            </w:r>
          </w:p>
        </w:tc>
      </w:tr>
      <w:tr>
        <w:tc>
          <w:tcPr>
            <w:tcW w:type="dxa" w:w="3249"/>
            <w:vAlign w:val="center"/>
            <w:tcBorders>
              <w:left w:val="single" w:sz="6" w:color="DDE6EE"/>
              <w:top w:val="single" w:sz="6" w:color="DDE6EE"/>
              <w:right w:val="single" w:sz="6" w:color="DDE6EE"/>
              <w:bottom w:val="single" w:sz="6" w:color="DDE6EE"/>
            </w:tcBorders>
          </w:tcPr>
          <w:p>
            <w:pPr>
              <w:spacing w:before="0" w:after="0" w:line="252" w:lineRule="auto"/>
            </w:pPr>
            <w:r>
              <w:t>The decision is based on real evidence</w:t>
            </w:r>
          </w:p>
        </w:tc>
        <w:tc>
          <w:tcPr>
            <w:tcW w:type="dxa" w:w="3249"/>
            <w:vAlign w:val="center"/>
            <w:tcBorders>
              <w:left w:val="single" w:sz="6" w:color="DDE6EE"/>
              <w:top w:val="single" w:sz="6" w:color="DDE6EE"/>
              <w:right w:val="single" w:sz="6" w:color="DDE6EE"/>
              <w:bottom w:val="single" w:sz="6" w:color="DDE6EE"/>
            </w:tcBorders>
          </w:tcPr>
          <w:p>
            <w:pPr>
              <w:spacing w:before="0" w:after="0" w:line="252" w:lineRule="auto"/>
              <w:jc w:val="center"/>
            </w:pPr>
            <w:r>
              <w:t>Yes</w:t>
            </w:r>
          </w:p>
        </w:tc>
        <w:tc>
          <w:tcPr>
            <w:tcW w:type="dxa" w:w="3249"/>
            <w:vAlign w:val="center"/>
            <w:tcBorders>
              <w:left w:val="single" w:sz="6" w:color="DDE6EE"/>
              <w:top w:val="single" w:sz="6" w:color="DDE6EE"/>
              <w:right w:val="single" w:sz="6" w:color="DDE6EE"/>
              <w:bottom w:val="single" w:sz="6" w:color="DDE6EE"/>
            </w:tcBorders>
          </w:tcPr>
          <w:p>
            <w:pPr>
              <w:spacing w:before="0" w:after="0" w:line="252" w:lineRule="auto"/>
            </w:pPr>
            <w:r>
              <w:t>The choice is supported by a format comparison, a pilot interview, and an actual timed scoring session.</w:t>
            </w:r>
          </w:p>
        </w:tc>
      </w:tr>
    </w:tbl>
    <w:p/>
    <w:p>
      <w:pPr>
        <w:pStyle w:val="Heading2"/>
        <w:spacing w:before="160" w:after="80" w:line="276" w:lineRule="auto"/>
      </w:pPr>
      <w:r>
        <w:t>Assumptions</w:t>
      </w:r>
    </w:p>
    <w:p>
      <w:pPr>
        <w:spacing w:before="0" w:after="60" w:line="276" w:lineRule="auto"/>
        <w:ind w:left="283" w:hanging="198"/>
      </w:pPr>
      <w:r>
        <w:rPr>
          <w:b/>
        </w:rPr>
        <w:t xml:space="preserve">• </w:t>
      </w:r>
      <w:r>
        <w:t>Two to three developers will still be willing to complete the full scoring task for the selected benchmark size.</w:t>
      </w:r>
    </w:p>
    <w:p>
      <w:pPr>
        <w:spacing w:before="0" w:after="60" w:line="276" w:lineRule="auto"/>
        <w:ind w:left="283" w:hanging="198"/>
      </w:pPr>
      <w:r>
        <w:rPr>
          <w:b/>
        </w:rPr>
        <w:t xml:space="preserve">• </w:t>
      </w:r>
      <w:r>
        <w:t>Thirty questions are enough to produce a meaningful comparison even though a larger dataset could potentially increase confidence.</w:t>
      </w:r>
    </w:p>
    <w:p>
      <w:pPr>
        <w:spacing w:before="0" w:after="60" w:line="276" w:lineRule="auto"/>
        <w:ind w:left="283" w:hanging="198"/>
      </w:pPr>
      <w:r>
        <w:rPr>
          <w:b/>
        </w:rPr>
        <w:t xml:space="preserve">• </w:t>
      </w:r>
      <w:r>
        <w:t>Hidden model identities reduce bias, but they do not remove human subjectivity completely.</w:t>
      </w:r>
    </w:p>
    <w:p>
      <w:pPr>
        <w:spacing w:before="0" w:after="60" w:line="276" w:lineRule="auto"/>
        <w:ind w:left="283" w:hanging="198"/>
      </w:pPr>
      <w:r>
        <w:rPr>
          <w:b/>
        </w:rPr>
        <w:t xml:space="preserve">• </w:t>
      </w:r>
      <w:r>
        <w:t>The 0–3 rubric is sufficient for this assignment even though it cannot perfectly capture all quality differences between strong answers.</w:t>
      </w:r>
    </w:p>
    <w:p>
      <w:pPr>
        <w:pStyle w:val="Heading2"/>
        <w:spacing w:before="160" w:after="80" w:line="276" w:lineRule="auto"/>
      </w:pPr>
      <w:r>
        <w:t>What surprised me</w:t>
      </w:r>
    </w:p>
    <w:p>
      <w:pPr>
        <w:spacing w:before="0" w:after="120" w:line="283" w:lineRule="auto"/>
      </w:pPr>
      <w:r>
        <w:t>What surprised me most was how quickly readability became a methodological issue instead of only a presentation issue. I originally focused on output generation and fair comparison between models, but the pilot made it clear that the way answers are displayed strongly affects how easily developers can score them. Another surprise was that the benchmark size question could not be solved only by looking at the original project range. I needed an actual timed pilot and real user feedback before the decision became defensible.</w:t>
      </w:r>
    </w:p>
    <w:p>
      <w:pPr>
        <w:pStyle w:val="Heading1"/>
        <w:spacing w:before="160" w:after="80" w:line="276" w:lineRule="auto"/>
      </w:pPr>
      <w:r>
        <w:t>7. What this unlocks</w:t>
      </w:r>
    </w:p>
    <w:p>
      <w:pPr>
        <w:pStyle w:val="Heading2"/>
        <w:spacing w:before="160" w:after="80" w:line="276" w:lineRule="auto"/>
      </w:pPr>
      <w:r>
        <w:t>Implementation evidence</w:t>
      </w:r>
    </w:p>
    <w:p>
      <w:pPr>
        <w:spacing w:before="0" w:after="60" w:line="276" w:lineRule="auto"/>
        <w:ind w:left="283" w:hanging="198"/>
      </w:pPr>
      <w:r>
        <w:rPr>
          <w:b/>
        </w:rPr>
        <w:t xml:space="preserve">• </w:t>
      </w:r>
      <w:r>
        <w:t>[Comparison Document]</w:t>
      </w:r>
    </w:p>
    <w:p>
      <w:pPr>
        <w:spacing w:before="0" w:after="60" w:line="276" w:lineRule="auto"/>
        <w:ind w:left="283" w:hanging="198"/>
      </w:pPr>
      <w:r>
        <w:rPr>
          <w:b/>
        </w:rPr>
        <w:t xml:space="preserve">• </w:t>
      </w:r>
      <w:r>
        <w:t>[Interview Transcript Summary]</w:t>
      </w:r>
    </w:p>
    <w:p>
      <w:pPr>
        <w:spacing w:before="0" w:after="60" w:line="276" w:lineRule="auto"/>
        <w:ind w:left="283" w:hanging="198"/>
      </w:pPr>
      <w:r>
        <w:rPr>
          <w:b/>
        </w:rPr>
        <w:t xml:space="preserve">• </w:t>
      </w:r>
      <w:r>
        <w:t>[Voice Interview Recording]</w:t>
      </w:r>
    </w:p>
    <w:p>
      <w:pPr>
        <w:pStyle w:val="Heading2"/>
        <w:spacing w:before="160" w:after="80" w:line="276" w:lineRule="auto"/>
      </w:pPr>
      <w:r>
        <w:t>Next LO stage</w:t>
      </w:r>
    </w:p>
    <w:p>
      <w:pPr>
        <w:spacing w:before="0" w:after="120" w:line="283" w:lineRule="auto"/>
      </w:pPr>
      <w:r>
        <w:t>Managing / final evaluation execution</w:t>
      </w:r>
    </w:p>
    <w:p>
      <w:pPr>
        <w:pStyle w:val="Heading2"/>
        <w:spacing w:before="160" w:after="80" w:line="276" w:lineRule="auto"/>
      </w:pPr>
      <w:r>
        <w:t>What I can now do</w:t>
      </w:r>
    </w:p>
    <w:p>
      <w:pPr>
        <w:spacing w:before="0" w:after="60" w:line="276" w:lineRule="auto"/>
        <w:ind w:left="283" w:hanging="198"/>
      </w:pPr>
      <w:r>
        <w:rPr>
          <w:b/>
        </w:rPr>
        <w:t xml:space="preserve">• </w:t>
      </w:r>
      <w:r>
        <w:t>Start collecting the final set of 30 Stack Overflow questions for the benchmark.</w:t>
      </w:r>
    </w:p>
    <w:p>
      <w:pPr>
        <w:spacing w:before="0" w:after="60" w:line="276" w:lineRule="auto"/>
        <w:ind w:left="283" w:hanging="198"/>
      </w:pPr>
      <w:r>
        <w:rPr>
          <w:b/>
        </w:rPr>
        <w:t xml:space="preserve">• </w:t>
      </w:r>
      <w:r>
        <w:t>Recruit the remaining developers and hand them a cleaner, more usable scoring format.</w:t>
      </w:r>
    </w:p>
    <w:p>
      <w:pPr>
        <w:spacing w:before="0" w:after="60" w:line="276" w:lineRule="auto"/>
        <w:ind w:left="283" w:hanging="198"/>
      </w:pPr>
      <w:r>
        <w:rPr>
          <w:b/>
        </w:rPr>
        <w:t xml:space="preserve">• </w:t>
      </w:r>
      <w:r>
        <w:t>Generate a consistent dataset of human scores that can later be analysed per model and per question type.</w:t>
      </w:r>
    </w:p>
    <w:p>
      <w:pPr>
        <w:spacing w:before="0" w:after="60" w:line="276" w:lineRule="auto"/>
        <w:ind w:left="283" w:hanging="198"/>
      </w:pPr>
      <w:r>
        <w:rPr>
          <w:b/>
        </w:rPr>
        <w:t xml:space="preserve">• </w:t>
      </w:r>
      <w:r>
        <w:t>Use this decision as the operational bridge between the response-generation pipeline and the final benchmark analysis.</w:t>
      </w:r>
    </w:p>
    <w:p>
      <w:pPr>
        <w:pStyle w:val="Heading2"/>
        <w:spacing w:before="160" w:after="80" w:line="276" w:lineRule="auto"/>
      </w:pPr>
      <w:r>
        <w:t>How I will measure success</w:t>
      </w:r>
    </w:p>
    <w:p>
      <w:pPr>
        <w:spacing w:before="0" w:after="120" w:line="283" w:lineRule="auto"/>
      </w:pPr>
      <w:r>
        <w:t>I will know this decision worked if the selected developers can complete the scoring process using the final interface without needing major extra explanation, if the results are saved consistently for later analysis, and if the 30-question benchmark produces a dataset that is large enough to compare the models in a meaningful way.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E54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Label"/>
    <w:rPr>
      <w:rFonts w:ascii="Aptos" w:hAnsi="Aptos"/>
      <w:b/>
      <w:color w:val="50505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