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eastAsia="Aptos Display"/>
          <w:b/>
          <w:color w:val="1F4E79"/>
          <w:sz w:val="40"/>
        </w:rPr>
        <w:t>Decision Log 2</w:t>
      </w:r>
    </w:p>
    <w:p>
      <w:pPr>
        <w:spacing w:after="240"/>
        <w:jc w:val="center"/>
      </w:pPr>
      <w:r>
        <w:rPr>
          <w:i/>
          <w:color w:val="595959"/>
          <w:sz w:val="21"/>
        </w:rPr>
        <w:t>Updated Model Selection Decision for the StackEval Benchmark Project</w:t>
      </w:r>
    </w:p>
    <w:tbl>
      <w:tblPr>
        <w:tblW w:type="auto" w:w="0"/>
        <w:jc w:val="center"/>
        <w:tblLayout w:type="fixed"/>
        <w:tblLook w:firstColumn="1" w:firstRow="1" w:lastColumn="0" w:lastRow="0" w:noHBand="0" w:noVBand="1" w:val="04A0"/>
      </w:tblPr>
      <w:tblGrid>
        <w:gridCol w:w="4896"/>
        <w:gridCol w:w="4896"/>
      </w:tblGrid>
      <w:tr>
        <w:trPr/>
        <w:tc>
          <w:tcPr>
            <w:tcW w:type="dxa" w:w="2592"/>
            <w:tcMar>
              <w:top w:w="90" w:type="dxa"/>
              <w:start w:w="110" w:type="dxa"/>
              <w:bottom w:w="90" w:type="dxa"/>
              <w:end w:w="110" w:type="dxa"/>
            </w:tcMar>
            <w:vAlign w:val="center"/>
            <w:shd w:fill="D9EAF7"/>
          </w:tcPr>
          <w:p>
            <w:pPr>
              <w:spacing w:after="0"/>
            </w:pPr>
            <w:r/>
            <w:r>
              <w:rPr>
                <w:b/>
                <w:color w:val="1F4E79"/>
                <w:sz w:val="20"/>
              </w:rPr>
              <w:t>Project</w:t>
            </w:r>
          </w:p>
        </w:tc>
        <w:tc>
          <w:tcPr>
            <w:tcW w:type="dxa" w:w="7056"/>
            <w:tcMar>
              <w:top w:w="90" w:type="dxa"/>
              <w:start w:w="110" w:type="dxa"/>
              <w:bottom w:w="90" w:type="dxa"/>
              <w:end w:w="110" w:type="dxa"/>
            </w:tcMar>
            <w:vAlign w:val="center"/>
            <w:shd w:fill="F7FBFE"/>
          </w:tcPr>
          <w:p>
            <w:pPr>
              <w:spacing w:after="0"/>
            </w:pPr>
            <w:r/>
            <w:r>
              <w:rPr>
                <w:sz w:val="20"/>
              </w:rPr>
              <w:t>StackEval Benchmark – Professional Research Project</w:t>
            </w:r>
          </w:p>
        </w:tc>
      </w:tr>
      <w:tr>
        <w:trPr/>
        <w:tc>
          <w:tcPr>
            <w:tcW w:type="dxa" w:w="2592"/>
            <w:tcMar>
              <w:top w:w="90" w:type="dxa"/>
              <w:start w:w="110" w:type="dxa"/>
              <w:bottom w:w="90" w:type="dxa"/>
              <w:end w:w="110" w:type="dxa"/>
            </w:tcMar>
            <w:vAlign w:val="center"/>
            <w:shd w:fill="D9EAF7"/>
          </w:tcPr>
          <w:p>
            <w:pPr>
              <w:spacing w:after="0"/>
            </w:pPr>
            <w:r/>
            <w:r>
              <w:rPr>
                <w:b/>
                <w:color w:val="1F4E79"/>
                <w:sz w:val="20"/>
              </w:rPr>
              <w:t>Current LO stage</w:t>
            </w:r>
          </w:p>
        </w:tc>
        <w:tc>
          <w:tcPr>
            <w:tcW w:type="dxa" w:w="7056"/>
            <w:tcMar>
              <w:top w:w="90" w:type="dxa"/>
              <w:start w:w="110" w:type="dxa"/>
              <w:bottom w:w="90" w:type="dxa"/>
              <w:end w:w="110" w:type="dxa"/>
            </w:tcMar>
            <w:vAlign w:val="center"/>
            <w:shd w:fill="F7FBFE"/>
          </w:tcPr>
          <w:p>
            <w:pPr>
              <w:spacing w:after="0"/>
            </w:pPr>
            <w:r/>
            <w:r>
              <w:rPr>
                <w:sz w:val="20"/>
              </w:rPr>
              <w:t>Analyzing and Advising</w:t>
            </w:r>
          </w:p>
        </w:tc>
      </w:tr>
    </w:tbl>
    <w:p>
      <w:pPr>
        <w:spacing w:after="40"/>
      </w:pPr>
    </w:p>
    <w:p>
      <w:pPr>
        <w:spacing w:before="200" w:after="80"/>
      </w:pPr>
      <w:r>
        <w:rPr>
          <w:rFonts w:ascii="Aptos Display" w:hAnsi="Aptos Display" w:eastAsia="Aptos Display"/>
          <w:b/>
          <w:color w:val="1F4E79"/>
          <w:sz w:val="26"/>
        </w:rPr>
        <w:t>0. Context: Why does this question exist?</w:t>
      </w:r>
    </w:p>
    <w:p>
      <w:pPr>
        <w:spacing w:before="0" w:after="120" w:line="276" w:lineRule="auto"/>
      </w:pPr>
      <w:r>
        <w:rPr>
          <w:sz w:val="21"/>
        </w:rPr>
        <w:t>Before executing the StackEval experiment, I needed to decide which LLM models would actually be benchmarked. Without this decision, I could not move into the implementation stage, because model selection affects the prompt pipeline, API setup, data collection process, cost expectations, and the overall fairness of the comparison.</w:t>
      </w:r>
    </w:p>
    <w:p>
      <w:pPr>
        <w:spacing w:before="0" w:after="120" w:line="276" w:lineRule="auto"/>
      </w:pPr>
      <w:r>
        <w:rPr>
          <w:sz w:val="21"/>
        </w:rPr>
        <w:t>This question became more important after feedback on my earlier version. My first approach leaned too much on familiar or widely known models. After reviewing benchmark evidence and thinking more carefully about the purpose of StackEval, I changed the selection logic. Instead of asking which models are commonly used, I asked which current models best represent meaningful categories of the LLM ecosystem for a coding-focused benchmark.</w:t>
      </w:r>
    </w:p>
    <w:p>
      <w:pPr>
        <w:spacing w:before="0" w:after="120" w:line="276" w:lineRule="auto"/>
      </w:pPr>
      <w:r>
        <w:rPr>
          <w:sz w:val="21"/>
        </w:rPr>
        <w:t>This decision also connects directly to Decision Log 3. Because I chose API-based querying there, the final model set for this decision had to remain compatible with automated and repeatable benchmarking.</w:t>
      </w:r>
    </w:p>
    <w:p>
      <w:pPr>
        <w:spacing w:before="200" w:after="80"/>
      </w:pPr>
      <w:r>
        <w:rPr>
          <w:rFonts w:ascii="Aptos Display" w:hAnsi="Aptos Display" w:eastAsia="Aptos Display"/>
          <w:b/>
          <w:color w:val="1F4E79"/>
          <w:sz w:val="26"/>
        </w:rPr>
        <w:t>1. My research question</w:t>
      </w:r>
    </w:p>
    <w:p>
      <w:pPr>
        <w:spacing w:before="0" w:after="120" w:line="276" w:lineRule="auto"/>
      </w:pPr>
      <w:r>
        <w:rPr>
          <w:sz w:val="21"/>
        </w:rPr>
        <w:t>Which LLM models should be selected to represent different categories of the current LLM ecosystem when benchmarking real programming questions using the StackEval approach?</w:t>
      </w:r>
    </w:p>
    <w:p>
      <w:pPr>
        <w:spacing w:before="200" w:after="80"/>
      </w:pPr>
      <w:r>
        <w:rPr>
          <w:rFonts w:ascii="Aptos Display" w:hAnsi="Aptos Display" w:eastAsia="Aptos Display"/>
          <w:b/>
          <w:color w:val="1F4E79"/>
          <w:sz w:val="26"/>
        </w:rPr>
        <w:t>2. What makes a good decision here?</w:t>
      </w:r>
    </w:p>
    <w:p>
      <w:pPr>
        <w:spacing w:before="0" w:after="120" w:line="276" w:lineRule="auto"/>
      </w:pPr>
      <w:r>
        <w:rPr>
          <w:sz w:val="21"/>
        </w:rPr>
        <w:t>A good decision for this log had to meet the following criteria:</w:t>
      </w:r>
    </w:p>
    <w:p>
      <w:pPr>
        <w:spacing w:after="60" w:line="269" w:lineRule="auto"/>
        <w:ind w:left="317" w:hanging="259"/>
      </w:pPr>
      <w:r>
        <w:rPr>
          <w:b/>
        </w:rPr>
        <w:t xml:space="preserve">• </w:t>
      </w:r>
      <w:r>
        <w:t>The benchmark should include a small but meaningful set of models covering different LLM categories rather than only one provider type.</w:t>
      </w:r>
    </w:p>
    <w:p>
      <w:pPr>
        <w:spacing w:after="60" w:line="269" w:lineRule="auto"/>
        <w:ind w:left="317" w:hanging="259"/>
      </w:pPr>
      <w:r>
        <w:rPr>
          <w:b/>
        </w:rPr>
        <w:t xml:space="preserve">• </w:t>
      </w:r>
      <w:r>
        <w:t>The selected set should prioritize current, stronger generations over older versions when benchmark evidence shows a major performance gap.</w:t>
      </w:r>
    </w:p>
    <w:p>
      <w:pPr>
        <w:spacing w:after="60" w:line="269" w:lineRule="auto"/>
        <w:ind w:left="317" w:hanging="259"/>
      </w:pPr>
      <w:r>
        <w:rPr>
          <w:b/>
        </w:rPr>
        <w:t xml:space="preserve">• </w:t>
      </w:r>
      <w:r>
        <w:t>The models should be relevant for a coding-assistant benchmark, so coding-related or closely related benchmark evidence should matter in the choice.</w:t>
      </w:r>
    </w:p>
    <w:p>
      <w:pPr>
        <w:spacing w:after="60" w:line="269" w:lineRule="auto"/>
        <w:ind w:left="317" w:hanging="259"/>
      </w:pPr>
      <w:r>
        <w:rPr>
          <w:b/>
        </w:rPr>
        <w:t xml:space="preserve">• </w:t>
      </w:r>
      <w:r>
        <w:t>The models must be usable through API-based querying, because the experiment will be executed through scripts rather than manual prompting.</w:t>
      </w:r>
    </w:p>
    <w:p>
      <w:pPr>
        <w:spacing w:after="60" w:line="269" w:lineRule="auto"/>
        <w:ind w:left="317" w:hanging="259"/>
      </w:pPr>
      <w:r>
        <w:rPr>
          <w:b/>
        </w:rPr>
        <w:t xml:space="preserve">• </w:t>
      </w:r>
      <w:r>
        <w:t>The final set must remain manageable in scope, cost, and analysis effort within the project.</w:t>
      </w:r>
    </w:p>
    <w:p>
      <w:pPr>
        <w:spacing w:before="200" w:after="80"/>
      </w:pPr>
      <w:r>
        <w:rPr>
          <w:rFonts w:ascii="Aptos Display" w:hAnsi="Aptos Display" w:eastAsia="Aptos Display"/>
          <w:b/>
          <w:color w:val="1F4E79"/>
          <w:sz w:val="26"/>
        </w:rPr>
        <w:t>3. What I decided</w:t>
      </w:r>
    </w:p>
    <w:p>
      <w:pPr>
        <w:spacing w:before="0" w:after="120" w:line="276" w:lineRule="auto"/>
      </w:pPr>
      <w:r>
        <w:rPr>
          <w:sz w:val="21"/>
        </w:rPr>
        <w:t>I decided to benchmark four models, with each one representing a different role in the current LLM ecosystem:</w:t>
      </w:r>
    </w:p>
    <w:tbl>
      <w:tblPr>
        <w:tblW w:type="auto" w:w="0"/>
        <w:jc w:val="center"/>
        <w:tblLayout w:type="fixed"/>
        <w:tblLook w:firstColumn="1" w:firstRow="1" w:lastColumn="0" w:lastRow="0" w:noHBand="0" w:noVBand="1" w:val="04A0"/>
      </w:tblPr>
      <w:tblGrid>
        <w:gridCol w:w="3264"/>
        <w:gridCol w:w="3264"/>
        <w:gridCol w:w="3264"/>
      </w:tblGrid>
      <w:tr>
        <w:tc>
          <w:tcPr>
            <w:tcW w:type="dxa" w:w="2880"/>
            <w:shd w:fill="1F4E79"/>
            <w:tcMar>
              <w:top w:w="100" w:type="dxa"/>
              <w:start w:w="120" w:type="dxa"/>
              <w:bottom w:w="100" w:type="dxa"/>
              <w:end w:w="120" w:type="dxa"/>
            </w:tcMar>
            <w:vAlign w:val="center"/>
          </w:tcPr>
          <w:p>
            <w:pPr>
              <w:spacing w:after="0"/>
              <w:jc w:val="center"/>
            </w:pPr>
            <w:r/>
            <w:r>
              <w:rPr>
                <w:b/>
                <w:color w:val="FFFFFF"/>
                <w:sz w:val="20"/>
              </w:rPr>
              <w:t>Model</w:t>
            </w:r>
          </w:p>
        </w:tc>
        <w:tc>
          <w:tcPr>
            <w:tcW w:type="dxa" w:w="2880"/>
            <w:shd w:fill="1F4E79"/>
            <w:tcMar>
              <w:top w:w="100" w:type="dxa"/>
              <w:start w:w="120" w:type="dxa"/>
              <w:bottom w:w="100" w:type="dxa"/>
              <w:end w:w="120" w:type="dxa"/>
            </w:tcMar>
            <w:vAlign w:val="center"/>
          </w:tcPr>
          <w:p>
            <w:pPr>
              <w:spacing w:after="0"/>
              <w:jc w:val="center"/>
            </w:pPr>
            <w:r/>
            <w:r>
              <w:rPr>
                <w:b/>
                <w:color w:val="FFFFFF"/>
                <w:sz w:val="20"/>
              </w:rPr>
              <w:t>Category</w:t>
            </w:r>
          </w:p>
        </w:tc>
        <w:tc>
          <w:tcPr>
            <w:tcW w:type="dxa" w:w="3888"/>
            <w:shd w:fill="1F4E79"/>
            <w:tcMar>
              <w:top w:w="100" w:type="dxa"/>
              <w:start w:w="120" w:type="dxa"/>
              <w:bottom w:w="100" w:type="dxa"/>
              <w:end w:w="120" w:type="dxa"/>
            </w:tcMar>
            <w:vAlign w:val="center"/>
          </w:tcPr>
          <w:p>
            <w:pPr>
              <w:spacing w:after="0"/>
              <w:jc w:val="center"/>
            </w:pPr>
            <w:r/>
            <w:r>
              <w:rPr>
                <w:b/>
                <w:color w:val="FFFFFF"/>
                <w:sz w:val="20"/>
              </w:rPr>
              <w:t>Reason for inclusion</w:t>
            </w:r>
          </w:p>
        </w:tc>
      </w:tr>
      <w:tr>
        <w:tc>
          <w:tcPr>
            <w:tcW w:type="dxa" w:w="2880"/>
            <w:tcMar>
              <w:top w:w="100" w:type="dxa"/>
              <w:start w:w="120" w:type="dxa"/>
              <w:bottom w:w="100" w:type="dxa"/>
              <w:end w:w="120" w:type="dxa"/>
            </w:tcMar>
            <w:vAlign w:val="center"/>
            <w:shd w:fill="F8FBFD"/>
          </w:tcPr>
          <w:p>
            <w:pPr>
              <w:spacing w:after="0"/>
              <w:jc w:val="left"/>
            </w:pPr>
            <w:r/>
            <w:r>
              <w:rPr>
                <w:sz w:val="20"/>
              </w:rPr>
              <w:t>GPT-5.4 (OpenAI)</w:t>
            </w:r>
          </w:p>
        </w:tc>
        <w:tc>
          <w:tcPr>
            <w:tcW w:type="dxa" w:w="2880"/>
            <w:tcMar>
              <w:top w:w="100" w:type="dxa"/>
              <w:start w:w="120" w:type="dxa"/>
              <w:bottom w:w="100" w:type="dxa"/>
              <w:end w:w="120" w:type="dxa"/>
            </w:tcMar>
            <w:vAlign w:val="center"/>
            <w:shd w:fill="F8FBFD"/>
          </w:tcPr>
          <w:p>
            <w:pPr>
              <w:spacing w:after="0"/>
              <w:jc w:val="center"/>
            </w:pPr>
            <w:r/>
            <w:r>
              <w:rPr>
                <w:sz w:val="20"/>
              </w:rPr>
              <w:t>Frontier proprietary</w:t>
            </w:r>
          </w:p>
        </w:tc>
        <w:tc>
          <w:tcPr>
            <w:tcW w:type="dxa" w:w="3888"/>
            <w:tcMar>
              <w:top w:w="100" w:type="dxa"/>
              <w:start w:w="120" w:type="dxa"/>
              <w:bottom w:w="100" w:type="dxa"/>
              <w:end w:w="120" w:type="dxa"/>
            </w:tcMar>
            <w:vAlign w:val="center"/>
            <w:shd w:fill="F8FBFD"/>
          </w:tcPr>
          <w:p>
            <w:pPr>
              <w:spacing w:after="0"/>
              <w:jc w:val="left"/>
            </w:pPr>
            <w:r/>
            <w:r>
              <w:rPr>
                <w:sz w:val="20"/>
              </w:rPr>
              <w:t>Main proprietary frontier model</w:t>
            </w:r>
          </w:p>
        </w:tc>
      </w:tr>
      <w:tr>
        <w:tc>
          <w:tcPr>
            <w:tcW w:type="dxa" w:w="2880"/>
            <w:tcMar>
              <w:top w:w="100" w:type="dxa"/>
              <w:start w:w="120" w:type="dxa"/>
              <w:bottom w:w="100" w:type="dxa"/>
              <w:end w:w="120" w:type="dxa"/>
            </w:tcMar>
            <w:vAlign w:val="center"/>
            <w:shd w:fill="EEF5FA"/>
          </w:tcPr>
          <w:p>
            <w:pPr>
              <w:spacing w:after="0"/>
              <w:jc w:val="left"/>
            </w:pPr>
            <w:r/>
            <w:r>
              <w:rPr>
                <w:sz w:val="20"/>
              </w:rPr>
              <w:t>Claude Sonnet 4.6 (Anthropic)</w:t>
            </w:r>
          </w:p>
        </w:tc>
        <w:tc>
          <w:tcPr>
            <w:tcW w:type="dxa" w:w="2880"/>
            <w:tcMar>
              <w:top w:w="100" w:type="dxa"/>
              <w:start w:w="120" w:type="dxa"/>
              <w:bottom w:w="100" w:type="dxa"/>
              <w:end w:w="120" w:type="dxa"/>
            </w:tcMar>
            <w:vAlign w:val="center"/>
            <w:shd w:fill="EEF5FA"/>
          </w:tcPr>
          <w:p>
            <w:pPr>
              <w:spacing w:after="0"/>
              <w:jc w:val="center"/>
            </w:pPr>
            <w:r/>
            <w:r>
              <w:rPr>
                <w:sz w:val="20"/>
              </w:rPr>
              <w:t>Frontier competitor</w:t>
            </w:r>
          </w:p>
        </w:tc>
        <w:tc>
          <w:tcPr>
            <w:tcW w:type="dxa" w:w="3888"/>
            <w:tcMar>
              <w:top w:w="100" w:type="dxa"/>
              <w:start w:w="120" w:type="dxa"/>
              <w:bottom w:w="100" w:type="dxa"/>
              <w:end w:w="120" w:type="dxa"/>
            </w:tcMar>
            <w:vAlign w:val="center"/>
            <w:shd w:fill="EEF5FA"/>
          </w:tcPr>
          <w:p>
            <w:pPr>
              <w:spacing w:after="0"/>
              <w:jc w:val="left"/>
            </w:pPr>
            <w:r/>
            <w:r>
              <w:rPr>
                <w:sz w:val="20"/>
              </w:rPr>
              <w:t>Strong competing provider family</w:t>
            </w:r>
          </w:p>
        </w:tc>
      </w:tr>
      <w:tr>
        <w:tc>
          <w:tcPr>
            <w:tcW w:type="dxa" w:w="2880"/>
            <w:tcMar>
              <w:top w:w="100" w:type="dxa"/>
              <w:start w:w="120" w:type="dxa"/>
              <w:bottom w:w="100" w:type="dxa"/>
              <w:end w:w="120" w:type="dxa"/>
            </w:tcMar>
            <w:vAlign w:val="center"/>
            <w:shd w:fill="F8FBFD"/>
          </w:tcPr>
          <w:p>
            <w:pPr>
              <w:spacing w:after="0"/>
              <w:jc w:val="left"/>
            </w:pPr>
            <w:r/>
            <w:r>
              <w:rPr>
                <w:sz w:val="20"/>
              </w:rPr>
              <w:t>Llama 4 (Meta)</w:t>
            </w:r>
          </w:p>
        </w:tc>
        <w:tc>
          <w:tcPr>
            <w:tcW w:type="dxa" w:w="2880"/>
            <w:tcMar>
              <w:top w:w="100" w:type="dxa"/>
              <w:start w:w="120" w:type="dxa"/>
              <w:bottom w:w="100" w:type="dxa"/>
              <w:end w:w="120" w:type="dxa"/>
            </w:tcMar>
            <w:vAlign w:val="center"/>
            <w:shd w:fill="F8FBFD"/>
          </w:tcPr>
          <w:p>
            <w:pPr>
              <w:spacing w:after="0"/>
              <w:jc w:val="center"/>
            </w:pPr>
            <w:r/>
            <w:r>
              <w:rPr>
                <w:sz w:val="20"/>
              </w:rPr>
              <w:t>Open-source</w:t>
            </w:r>
          </w:p>
        </w:tc>
        <w:tc>
          <w:tcPr>
            <w:tcW w:type="dxa" w:w="3888"/>
            <w:tcMar>
              <w:top w:w="100" w:type="dxa"/>
              <w:start w:w="120" w:type="dxa"/>
              <w:bottom w:w="100" w:type="dxa"/>
              <w:end w:w="120" w:type="dxa"/>
            </w:tcMar>
            <w:vAlign w:val="center"/>
            <w:shd w:fill="F8FBFD"/>
          </w:tcPr>
          <w:p>
            <w:pPr>
              <w:spacing w:after="0"/>
              <w:jc w:val="left"/>
            </w:pPr>
            <w:r/>
            <w:r>
              <w:rPr>
                <w:sz w:val="20"/>
              </w:rPr>
              <w:t>Different ecosystem and open-source representation</w:t>
            </w:r>
          </w:p>
        </w:tc>
      </w:tr>
      <w:tr>
        <w:tc>
          <w:tcPr>
            <w:tcW w:type="dxa" w:w="2880"/>
            <w:tcMar>
              <w:top w:w="100" w:type="dxa"/>
              <w:start w:w="120" w:type="dxa"/>
              <w:bottom w:w="100" w:type="dxa"/>
              <w:end w:w="120" w:type="dxa"/>
            </w:tcMar>
            <w:vAlign w:val="center"/>
            <w:shd w:fill="EEF5FA"/>
          </w:tcPr>
          <w:p>
            <w:pPr>
              <w:spacing w:after="0"/>
              <w:jc w:val="left"/>
            </w:pPr>
            <w:r/>
            <w:r>
              <w:rPr>
                <w:sz w:val="20"/>
              </w:rPr>
              <w:t>GPT-5.4-mini (OpenAI)</w:t>
            </w:r>
          </w:p>
        </w:tc>
        <w:tc>
          <w:tcPr>
            <w:tcW w:type="dxa" w:w="2880"/>
            <w:tcMar>
              <w:top w:w="100" w:type="dxa"/>
              <w:start w:w="120" w:type="dxa"/>
              <w:bottom w:w="100" w:type="dxa"/>
              <w:end w:w="120" w:type="dxa"/>
            </w:tcMar>
            <w:vAlign w:val="center"/>
            <w:shd w:fill="EEF5FA"/>
          </w:tcPr>
          <w:p>
            <w:pPr>
              <w:spacing w:after="0"/>
              <w:jc w:val="center"/>
            </w:pPr>
            <w:r/>
            <w:r>
              <w:rPr>
                <w:sz w:val="20"/>
              </w:rPr>
              <w:t>Budget / lightweight</w:t>
            </w:r>
          </w:p>
        </w:tc>
        <w:tc>
          <w:tcPr>
            <w:tcW w:type="dxa" w:w="3888"/>
            <w:tcMar>
              <w:top w:w="100" w:type="dxa"/>
              <w:start w:w="120" w:type="dxa"/>
              <w:bottom w:w="100" w:type="dxa"/>
              <w:end w:w="120" w:type="dxa"/>
            </w:tcMar>
            <w:vAlign w:val="center"/>
            <w:shd w:fill="EEF5FA"/>
          </w:tcPr>
          <w:p>
            <w:pPr>
              <w:spacing w:after="0"/>
              <w:jc w:val="left"/>
            </w:pPr>
            <w:r/>
            <w:r>
              <w:rPr>
                <w:sz w:val="20"/>
              </w:rPr>
              <w:t>Quality-versus-cost comparison inside one provider family</w:t>
            </w:r>
          </w:p>
        </w:tc>
      </w:tr>
    </w:tbl>
    <w:p>
      <w:pPr>
        <w:spacing w:before="200" w:after="80"/>
      </w:pPr>
      <w:r>
        <w:rPr>
          <w:rFonts w:ascii="Aptos Display" w:hAnsi="Aptos Display" w:eastAsia="Aptos Display"/>
          <w:b/>
          <w:color w:val="1F4E79"/>
          <w:sz w:val="26"/>
        </w:rPr>
        <w:t>4. Why this decision</w:t>
      </w:r>
    </w:p>
    <w:p>
      <w:pPr>
        <w:spacing w:before="120" w:after="80"/>
      </w:pPr>
      <w:r>
        <w:rPr>
          <w:rFonts w:ascii="Aptos Display" w:hAnsi="Aptos Display" w:eastAsia="Aptos Display"/>
          <w:b/>
          <w:color w:val="1F4E79"/>
          <w:sz w:val="23"/>
        </w:rPr>
        <w:t>Method I used</w:t>
      </w:r>
    </w:p>
    <w:p>
      <w:pPr>
        <w:spacing w:before="0" w:after="120" w:line="276" w:lineRule="auto"/>
      </w:pPr>
      <w:r>
        <w:rPr>
          <w:sz w:val="21"/>
        </w:rPr>
        <w:t>I used a combination of document review, benchmark comparison, platform verification, and Socratic reasoning. In practice, this meant that I:</w:t>
      </w:r>
    </w:p>
    <w:p>
      <w:pPr>
        <w:spacing w:after="60" w:line="269" w:lineRule="auto"/>
        <w:ind w:left="317" w:hanging="259"/>
      </w:pPr>
      <w:r>
        <w:rPr>
          <w:b/>
        </w:rPr>
        <w:t xml:space="preserve">• </w:t>
      </w:r>
      <w:r>
        <w:t>reviewed model and API pages from OpenAI, Anthropic, and Meta-related access routes to check availability for automated use;</w:t>
      </w:r>
    </w:p>
    <w:p>
      <w:pPr>
        <w:spacing w:after="60" w:line="269" w:lineRule="auto"/>
        <w:ind w:left="317" w:hanging="259"/>
      </w:pPr>
      <w:r>
        <w:rPr>
          <w:b/>
        </w:rPr>
        <w:t xml:space="preserve">• </w:t>
      </w:r>
      <w:r>
        <w:t>checked leaderboard-style benchmark sources to compare older and newer generations and to look at coding-, reasoning-, and speed-related evidence;</w:t>
      </w:r>
    </w:p>
    <w:p>
      <w:pPr>
        <w:spacing w:after="60" w:line="269" w:lineRule="auto"/>
        <w:ind w:left="317" w:hanging="259"/>
      </w:pPr>
      <w:r>
        <w:rPr>
          <w:b/>
        </w:rPr>
        <w:t xml:space="preserve">• </w:t>
      </w:r>
      <w:r>
        <w:t>used a Socratic conversation to challenge weak criteria such as familiarity and to test whether my reasoning was evidence-based or only preference-based;</w:t>
      </w:r>
    </w:p>
    <w:p>
      <w:pPr>
        <w:spacing w:after="60" w:line="269" w:lineRule="auto"/>
        <w:ind w:left="317" w:hanging="259"/>
      </w:pPr>
      <w:r>
        <w:rPr>
          <w:b/>
        </w:rPr>
        <w:t xml:space="preserve">• </w:t>
      </w:r>
      <w:r>
        <w:t>revised the model-selection logic after feedback, especially where my earlier version lacked visible evidence.</w:t>
      </w:r>
    </w:p>
    <w:p>
      <w:pPr>
        <w:spacing w:before="120" w:after="80"/>
      </w:pPr>
      <w:r>
        <w:rPr>
          <w:rFonts w:ascii="Aptos Display" w:hAnsi="Aptos Display" w:eastAsia="Aptos Display"/>
          <w:b/>
          <w:color w:val="1F4E79"/>
          <w:sz w:val="23"/>
        </w:rPr>
        <w:t>What I found</w:t>
      </w:r>
    </w:p>
    <w:p>
      <w:pPr>
        <w:spacing w:before="0" w:after="120" w:line="276" w:lineRule="auto"/>
      </w:pPr>
      <w:r>
        <w:rPr>
          <w:sz w:val="21"/>
        </w:rPr>
        <w:t>The most important finding was that version differences inside the same model family could be large enough to change the whole selection strategy. In the benchmark material I reviewed, older and newer GPT generations showed major gaps rather than small incremental changes. That pushed me away from using older familiar models as default choices and toward using the strongest current generations available at the time of selection.</w:t>
      </w:r>
    </w:p>
    <w:p>
      <w:pPr>
        <w:spacing w:before="0" w:after="120" w:line="276" w:lineRule="auto"/>
      </w:pPr>
      <w:r>
        <w:rPr>
          <w:sz w:val="21"/>
        </w:rPr>
        <w:t>I also found that the benchmark decision could not rely on one generic statement such as “this model is popular” or “this one is my favorite.” The evidence needed to answer more specific questions: which model family currently looks strongest for a coding-oriented benchmark, which provider gives me a meaningful competitor, which open-source ecosystem is worth including, and whether a smaller model can stay close enough in quality to justify a budget slot.</w:t>
      </w:r>
    </w:p>
    <w:p>
      <w:pPr>
        <w:spacing w:before="120" w:after="80"/>
      </w:pPr>
      <w:r>
        <w:t>Evidence and artifacts</w:t>
      </w:r>
    </w:p>
    <w:p>
      <w:pPr>
        <w:spacing w:after="60" w:line="269" w:lineRule="auto"/>
        <w:ind w:left="317" w:hanging="259"/>
      </w:pPr>
      <w:r>
        <w:t>• The @Model-Selection-Research.pdf document supports and confirms the findings discussed in this research.</w:t>
      </w:r>
    </w:p>
    <w:p>
      <w:pPr>
        <w:spacing w:after="60" w:line="269" w:lineRule="auto"/>
        <w:ind w:left="317" w:hanging="259"/>
      </w:pPr>
      <w:r>
        <w:t>• Supporting Evidence – Model Selection Rationale with Pictures. This document includes the benchmark-based model reasoning in a clearer and more detailed way, including version-gap comparisons, per-model observations, and the evidence used to justify GPT-5.4, Claude Sonnet 4.6, Llama 4, and GPT-5.4-mini.</w:t>
      </w:r>
    </w:p>
    <w:p>
      <w:pPr>
        <w:spacing w:after="60" w:line="269" w:lineRule="auto"/>
        <w:ind w:left="317" w:hanging="259"/>
      </w:pPr>
      <w:r>
        <w:t>• OpenAI. (2026). ChatGPT Socratic dialogue discussion [Large language model]. https://chatgpt.com/share/69b7f668-b368-8002-90b6-d4634e666ecd</w:t>
      </w:r>
    </w:p>
    <w:p>
      <w:pPr>
        <w:spacing w:after="60" w:line="269" w:lineRule="auto"/>
        <w:ind w:left="317" w:hanging="259"/>
      </w:pPr>
      <w:r>
        <w:t>• Screenshot of the reasoning process included in portfolio evidence.</w:t>
      </w:r>
    </w:p>
    <w:p>
      <w:pPr>
        <w:spacing w:before="0" w:after="120" w:line="276" w:lineRule="auto"/>
      </w:pPr>
      <w:r>
        <w:t>• OpenAI. (2026). Models API and platform overview. https://developers.openai.com/api/docs/models</w:t>
        <w:br/>
        <w:t>• Anthropic. (2026). Claude API platform. https://platform.claude.com/docs/en/home</w:t>
        <w:br/>
        <w:t>• OpenRouter. (2026). Meta Llama models via API platform. https://openrouter.ai/meta-llama</w:t>
        <w:br/>
        <w:t>• ProLLM. (2026). LLM leaderboard and benchmark comparisons. https://www.prollm.ai/leaderboard</w:t>
        <w:br/>
        <w:t>• Vellum AI. (2026). LLM leaderboard. https://www.vellum.ai/llm-leaderboard</w:t>
        <w:br/>
        <w:t>• Onyx. (2026). LLM leaderboard. https://onyx.app/llm-leaderboard</w:t>
        <w:br/>
        <w:t>• Decision Log 3 confirming API-based querying as the chosen method, ensuring consistency and reproducibility.</w:t>
      </w:r>
    </w:p>
    <w:p>
      <w:pPr>
        <w:spacing w:before="120" w:after="80"/>
      </w:pPr>
      <w:r>
        <w:t>To avoid repeating the full benchmark discussion in this log, the detailed model-by-model justification is documented separately in the supporting evidence file. This decision log therefore focuses on the methodological reasoning, while the supporting document contains the benchmark observations and evidence behind each selected model.</w:t>
      </w:r>
    </w:p>
    <w:p>
      <w:pPr>
        <w:spacing w:before="0" w:after="120" w:line="276" w:lineRule="auto"/>
      </w:pPr>
      <w:r>
        <w:rPr>
          <w:sz w:val="21"/>
        </w:rPr>
        <w:t>The evidence changed my model-selection logic in two ways. First, it showed that choosing “widely used” models was too weak as a method, because strong benchmark gaps between older and newer generations can make an older popular version a poor representative of the current landscape. Second, it made me justify each selected model more precisely: GPT for the main proprietary slot, Claude as a serious competitor, Llama as the open-source contrast, and a lightweight GPT variant to make the cost-versus-quality trade-off visible within the same family.</w:t>
      </w:r>
    </w:p>
    <w:p>
      <w:pPr>
        <w:spacing w:before="0" w:after="120" w:line="276" w:lineRule="auto"/>
      </w:pPr>
      <w:r>
        <w:rPr>
          <w:sz w:val="21"/>
        </w:rPr>
        <w:t>This made the final set more defensible than my earlier version because the decision is no longer based mainly on familiarity or broad impressions. It is based on category coverage, benchmark relevance, and API feasibility.</w:t>
      </w:r>
    </w:p>
    <w:p>
      <w:pPr>
        <w:spacing w:before="120" w:after="80"/>
      </w:pPr>
      <w:r>
        <w:rPr>
          <w:rFonts w:ascii="Aptos Display" w:hAnsi="Aptos Display" w:eastAsia="Aptos Display"/>
          <w:b/>
          <w:color w:val="1F4E79"/>
          <w:sz w:val="23"/>
        </w:rPr>
        <w:t>So I decided</w:t>
      </w:r>
    </w:p>
    <w:p>
      <w:pPr>
        <w:spacing w:before="0" w:after="120" w:line="276" w:lineRule="auto"/>
      </w:pPr>
      <w:r>
        <w:rPr>
          <w:sz w:val="21"/>
        </w:rPr>
        <w:t>I therefore selected GPT-5.4, Claude Sonnet 4.6, Llama 4, and GPT-5.4-mini as the final benchmark set for this experiment. Detailed benchmark observations that support each choice are documented in the separate supporting evidence file.</w:t>
      </w:r>
    </w:p>
    <w:p>
      <w:pPr>
        <w:spacing w:before="200" w:after="80"/>
      </w:pPr>
      <w:r>
        <w:rPr>
          <w:rFonts w:ascii="Aptos Display" w:hAnsi="Aptos Display" w:eastAsia="Aptos Display"/>
          <w:b/>
          <w:color w:val="1F4E79"/>
          <w:sz w:val="26"/>
        </w:rPr>
        <w:t>5. Does this hold up?</w:t>
      </w:r>
    </w:p>
    <w:p>
      <w:pPr>
        <w:spacing w:before="0" w:after="120" w:line="276" w:lineRule="auto"/>
      </w:pPr>
      <w:r>
        <w:rPr>
          <w:sz w:val="21"/>
        </w:rPr>
        <w:t>Below I check the decision against the criteria that were set at the start of the log.</w:t>
      </w:r>
    </w:p>
    <w:tbl>
      <w:tblPr>
        <w:tblW w:type="auto" w:w="0"/>
        <w:jc w:val="center"/>
        <w:tblLayout w:type="fixed"/>
        <w:tblLook w:firstColumn="1" w:firstRow="1" w:lastColumn="0" w:lastRow="0" w:noHBand="0" w:noVBand="1" w:val="04A0"/>
      </w:tblPr>
      <w:tblGrid>
        <w:gridCol w:w="3264"/>
        <w:gridCol w:w="3264"/>
        <w:gridCol w:w="3264"/>
      </w:tblGrid>
      <w:tr>
        <w:tc>
          <w:tcPr>
            <w:tcW w:type="dxa" w:w="3672"/>
            <w:shd w:fill="1F4E79"/>
            <w:tcMar>
              <w:top w:w="100" w:type="dxa"/>
              <w:start w:w="120" w:type="dxa"/>
              <w:bottom w:w="100" w:type="dxa"/>
              <w:end w:w="120" w:type="dxa"/>
            </w:tcMar>
          </w:tcPr>
          <w:p>
            <w:pPr>
              <w:spacing w:after="0"/>
              <w:jc w:val="center"/>
            </w:pPr>
            <w:r/>
            <w:r>
              <w:rPr>
                <w:b/>
                <w:color w:val="FFFFFF"/>
                <w:sz w:val="20"/>
              </w:rPr>
              <w:t>Criterion</w:t>
            </w:r>
          </w:p>
        </w:tc>
        <w:tc>
          <w:tcPr>
            <w:tcW w:type="dxa" w:w="1368"/>
            <w:shd w:fill="1F4E79"/>
            <w:tcMar>
              <w:top w:w="100" w:type="dxa"/>
              <w:start w:w="120" w:type="dxa"/>
              <w:bottom w:w="100" w:type="dxa"/>
              <w:end w:w="120" w:type="dxa"/>
            </w:tcMar>
          </w:tcPr>
          <w:p>
            <w:pPr>
              <w:spacing w:after="0"/>
              <w:jc w:val="center"/>
            </w:pPr>
            <w:r/>
            <w:r>
              <w:rPr>
                <w:b/>
                <w:color w:val="FFFFFF"/>
                <w:sz w:val="20"/>
              </w:rPr>
              <w:t>Result</w:t>
            </w:r>
          </w:p>
        </w:tc>
        <w:tc>
          <w:tcPr>
            <w:tcW w:type="dxa" w:w="4608"/>
            <w:shd w:fill="1F4E79"/>
            <w:tcMar>
              <w:top w:w="100" w:type="dxa"/>
              <w:start w:w="120" w:type="dxa"/>
              <w:bottom w:w="100" w:type="dxa"/>
              <w:end w:w="120" w:type="dxa"/>
            </w:tcMar>
          </w:tcPr>
          <w:p>
            <w:pPr>
              <w:spacing w:after="0"/>
              <w:jc w:val="center"/>
            </w:pPr>
            <w:r/>
            <w:r>
              <w:rPr>
                <w:b/>
                <w:color w:val="FFFFFF"/>
                <w:sz w:val="20"/>
              </w:rPr>
              <w:t>Evaluation</w:t>
            </w:r>
          </w:p>
        </w:tc>
      </w:tr>
      <w:tr>
        <w:tc>
          <w:tcPr>
            <w:tcW w:type="dxa" w:w="3672"/>
            <w:tcMar>
              <w:top w:w="100" w:type="dxa"/>
              <w:start w:w="120" w:type="dxa"/>
              <w:bottom w:w="100" w:type="dxa"/>
              <w:end w:w="120" w:type="dxa"/>
            </w:tcMar>
            <w:shd w:fill="F8FBFD"/>
            <w:vAlign w:val="center"/>
          </w:tcPr>
          <w:p>
            <w:pPr>
              <w:spacing w:after="0" w:line="264" w:lineRule="auto"/>
              <w:jc w:val="left"/>
            </w:pPr>
            <w:r/>
            <w:r>
              <w:rPr>
                <w:sz w:val="20"/>
              </w:rPr>
              <w:t>Different categories are represented</w:t>
            </w:r>
          </w:p>
        </w:tc>
        <w:tc>
          <w:tcPr>
            <w:tcW w:type="dxa" w:w="1368"/>
            <w:tcMar>
              <w:top w:w="100" w:type="dxa"/>
              <w:start w:w="120" w:type="dxa"/>
              <w:bottom w:w="100" w:type="dxa"/>
              <w:end w:w="120" w:type="dxa"/>
            </w:tcMar>
            <w:shd w:fill="F8FBFD"/>
            <w:vAlign w:val="center"/>
          </w:tcPr>
          <w:p>
            <w:pPr>
              <w:spacing w:after="0" w:line="264" w:lineRule="auto"/>
              <w:jc w:val="center"/>
            </w:pPr>
            <w:r/>
            <w:r>
              <w:rPr>
                <w:sz w:val="20"/>
              </w:rPr>
              <w:t>Yes</w:t>
            </w:r>
          </w:p>
        </w:tc>
        <w:tc>
          <w:tcPr>
            <w:tcW w:type="dxa" w:w="4608"/>
            <w:tcMar>
              <w:top w:w="100" w:type="dxa"/>
              <w:start w:w="120" w:type="dxa"/>
              <w:bottom w:w="100" w:type="dxa"/>
              <w:end w:w="120" w:type="dxa"/>
            </w:tcMar>
            <w:shd w:fill="F8FBFD"/>
            <w:vAlign w:val="center"/>
          </w:tcPr>
          <w:p>
            <w:pPr>
              <w:spacing w:after="0" w:line="264" w:lineRule="auto"/>
              <w:jc w:val="left"/>
            </w:pPr>
            <w:r/>
            <w:r>
              <w:rPr>
                <w:sz w:val="19"/>
              </w:rPr>
              <w:t>The set covers frontier proprietary, frontier competitor, open-source, and budget/lightweight roles.</w:t>
            </w:r>
          </w:p>
        </w:tc>
      </w:tr>
      <w:tr>
        <w:tc>
          <w:tcPr>
            <w:tcW w:type="dxa" w:w="3672"/>
            <w:tcMar>
              <w:top w:w="100" w:type="dxa"/>
              <w:start w:w="120" w:type="dxa"/>
              <w:bottom w:w="100" w:type="dxa"/>
              <w:end w:w="120" w:type="dxa"/>
            </w:tcMar>
            <w:shd w:fill="EEF5FA"/>
            <w:vAlign w:val="center"/>
          </w:tcPr>
          <w:p>
            <w:pPr>
              <w:spacing w:after="0" w:line="264" w:lineRule="auto"/>
              <w:jc w:val="left"/>
            </w:pPr>
            <w:r/>
            <w:r>
              <w:rPr>
                <w:sz w:val="20"/>
              </w:rPr>
              <w:t>Newer stronger generations are prioritized</w:t>
            </w:r>
          </w:p>
        </w:tc>
        <w:tc>
          <w:tcPr>
            <w:tcW w:type="dxa" w:w="1368"/>
            <w:tcMar>
              <w:top w:w="100" w:type="dxa"/>
              <w:start w:w="120" w:type="dxa"/>
              <w:bottom w:w="100" w:type="dxa"/>
              <w:end w:w="120" w:type="dxa"/>
            </w:tcMar>
            <w:shd w:fill="EEF5FA"/>
            <w:vAlign w:val="center"/>
          </w:tcPr>
          <w:p>
            <w:pPr>
              <w:spacing w:after="0" w:line="264" w:lineRule="auto"/>
              <w:jc w:val="center"/>
            </w:pPr>
            <w:r/>
            <w:r>
              <w:rPr>
                <w:sz w:val="20"/>
              </w:rPr>
              <w:t>Yes</w:t>
            </w:r>
          </w:p>
        </w:tc>
        <w:tc>
          <w:tcPr>
            <w:tcW w:type="dxa" w:w="4608"/>
            <w:tcMar>
              <w:top w:w="100" w:type="dxa"/>
              <w:start w:w="120" w:type="dxa"/>
              <w:bottom w:w="100" w:type="dxa"/>
              <w:end w:w="120" w:type="dxa"/>
            </w:tcMar>
            <w:shd w:fill="EEF5FA"/>
            <w:vAlign w:val="center"/>
          </w:tcPr>
          <w:p>
            <w:pPr>
              <w:spacing w:after="0" w:line="264" w:lineRule="auto"/>
              <w:jc w:val="left"/>
            </w:pPr>
            <w:r/>
            <w:r>
              <w:rPr>
                <w:sz w:val="19"/>
              </w:rPr>
              <w:t>The benchmark comparisons supported moving away from older familiar versions and toward current stronger families.</w:t>
            </w:r>
          </w:p>
        </w:tc>
      </w:tr>
      <w:tr>
        <w:tc>
          <w:tcPr>
            <w:tcW w:type="dxa" w:w="3672"/>
            <w:tcMar>
              <w:top w:w="100" w:type="dxa"/>
              <w:start w:w="120" w:type="dxa"/>
              <w:bottom w:w="100" w:type="dxa"/>
              <w:end w:w="120" w:type="dxa"/>
            </w:tcMar>
            <w:shd w:fill="F8FBFD"/>
            <w:vAlign w:val="center"/>
          </w:tcPr>
          <w:p>
            <w:pPr>
              <w:spacing w:after="0" w:line="264" w:lineRule="auto"/>
              <w:jc w:val="left"/>
            </w:pPr>
            <w:r/>
            <w:r>
              <w:rPr>
                <w:sz w:val="20"/>
              </w:rPr>
              <w:t>Relevant to a coding benchmark</w:t>
            </w:r>
          </w:p>
        </w:tc>
        <w:tc>
          <w:tcPr>
            <w:tcW w:type="dxa" w:w="1368"/>
            <w:tcMar>
              <w:top w:w="100" w:type="dxa"/>
              <w:start w:w="120" w:type="dxa"/>
              <w:bottom w:w="100" w:type="dxa"/>
              <w:end w:w="120" w:type="dxa"/>
            </w:tcMar>
            <w:shd w:fill="F8FBFD"/>
            <w:vAlign w:val="center"/>
          </w:tcPr>
          <w:p>
            <w:pPr>
              <w:spacing w:after="0" w:line="264" w:lineRule="auto"/>
              <w:jc w:val="center"/>
            </w:pPr>
            <w:r/>
            <w:r>
              <w:rPr>
                <w:sz w:val="20"/>
              </w:rPr>
              <w:t>Yes</w:t>
            </w:r>
          </w:p>
        </w:tc>
        <w:tc>
          <w:tcPr>
            <w:tcW w:type="dxa" w:w="4608"/>
            <w:tcMar>
              <w:top w:w="100" w:type="dxa"/>
              <w:start w:w="120" w:type="dxa"/>
              <w:bottom w:w="100" w:type="dxa"/>
              <w:end w:w="120" w:type="dxa"/>
            </w:tcMar>
            <w:shd w:fill="F8FBFD"/>
            <w:vAlign w:val="center"/>
          </w:tcPr>
          <w:p>
            <w:pPr>
              <w:spacing w:after="0" w:line="264" w:lineRule="auto"/>
              <w:jc w:val="left"/>
            </w:pPr>
            <w:r/>
            <w:r>
              <w:rPr>
                <w:sz w:val="19"/>
              </w:rPr>
              <w:t>Coding-related and closely related benchmark evidence influenced the main model choices instead of only generic brand preference.</w:t>
            </w:r>
          </w:p>
        </w:tc>
      </w:tr>
      <w:tr>
        <w:tc>
          <w:tcPr>
            <w:tcW w:type="dxa" w:w="3672"/>
            <w:tcMar>
              <w:top w:w="100" w:type="dxa"/>
              <w:start w:w="120" w:type="dxa"/>
              <w:bottom w:w="100" w:type="dxa"/>
              <w:end w:w="120" w:type="dxa"/>
            </w:tcMar>
            <w:shd w:fill="EEF5FA"/>
            <w:vAlign w:val="center"/>
          </w:tcPr>
          <w:p>
            <w:pPr>
              <w:spacing w:after="0" w:line="264" w:lineRule="auto"/>
              <w:jc w:val="left"/>
            </w:pPr>
            <w:r/>
            <w:r>
              <w:rPr>
                <w:sz w:val="20"/>
              </w:rPr>
              <w:t>API-based use is feasible</w:t>
            </w:r>
          </w:p>
        </w:tc>
        <w:tc>
          <w:tcPr>
            <w:tcW w:type="dxa" w:w="1368"/>
            <w:tcMar>
              <w:top w:w="100" w:type="dxa"/>
              <w:start w:w="120" w:type="dxa"/>
              <w:bottom w:w="100" w:type="dxa"/>
              <w:end w:w="120" w:type="dxa"/>
            </w:tcMar>
            <w:shd w:fill="EEF5FA"/>
            <w:vAlign w:val="center"/>
          </w:tcPr>
          <w:p>
            <w:pPr>
              <w:spacing w:after="0" w:line="264" w:lineRule="auto"/>
              <w:jc w:val="center"/>
            </w:pPr>
            <w:r/>
            <w:r>
              <w:rPr>
                <w:sz w:val="20"/>
              </w:rPr>
              <w:t>Yes</w:t>
            </w:r>
          </w:p>
        </w:tc>
        <w:tc>
          <w:tcPr>
            <w:tcW w:type="dxa" w:w="4608"/>
            <w:tcMar>
              <w:top w:w="100" w:type="dxa"/>
              <w:start w:w="120" w:type="dxa"/>
              <w:bottom w:w="100" w:type="dxa"/>
              <w:end w:w="120" w:type="dxa"/>
            </w:tcMar>
            <w:shd w:fill="EEF5FA"/>
            <w:vAlign w:val="center"/>
          </w:tcPr>
          <w:p>
            <w:pPr>
              <w:spacing w:after="0" w:line="264" w:lineRule="auto"/>
              <w:jc w:val="left"/>
            </w:pPr>
            <w:r/>
            <w:r>
              <w:rPr>
                <w:sz w:val="19"/>
              </w:rPr>
              <w:t>The set was filtered through provider/platform feasibility checks to align with the automated benchmark design.</w:t>
            </w:r>
          </w:p>
        </w:tc>
      </w:tr>
      <w:tr>
        <w:tc>
          <w:tcPr>
            <w:tcW w:type="dxa" w:w="3672"/>
            <w:tcMar>
              <w:top w:w="100" w:type="dxa"/>
              <w:start w:w="120" w:type="dxa"/>
              <w:bottom w:w="100" w:type="dxa"/>
              <w:end w:w="120" w:type="dxa"/>
            </w:tcMar>
            <w:shd w:fill="F8FBFD"/>
            <w:vAlign w:val="center"/>
          </w:tcPr>
          <w:p>
            <w:pPr>
              <w:spacing w:after="0" w:line="264" w:lineRule="auto"/>
              <w:jc w:val="left"/>
            </w:pPr>
            <w:r/>
            <w:r>
              <w:rPr>
                <w:sz w:val="20"/>
              </w:rPr>
              <w:t>Manageable within project scope</w:t>
            </w:r>
          </w:p>
        </w:tc>
        <w:tc>
          <w:tcPr>
            <w:tcW w:type="dxa" w:w="1368"/>
            <w:tcMar>
              <w:top w:w="100" w:type="dxa"/>
              <w:start w:w="120" w:type="dxa"/>
              <w:bottom w:w="100" w:type="dxa"/>
              <w:end w:w="120" w:type="dxa"/>
            </w:tcMar>
            <w:shd w:fill="F8FBFD"/>
            <w:vAlign w:val="center"/>
          </w:tcPr>
          <w:p>
            <w:pPr>
              <w:spacing w:after="0" w:line="264" w:lineRule="auto"/>
              <w:jc w:val="center"/>
            </w:pPr>
            <w:r/>
            <w:r>
              <w:rPr>
                <w:sz w:val="20"/>
              </w:rPr>
              <w:t>Yes</w:t>
            </w:r>
          </w:p>
        </w:tc>
        <w:tc>
          <w:tcPr>
            <w:tcW w:type="dxa" w:w="4608"/>
            <w:tcMar>
              <w:top w:w="100" w:type="dxa"/>
              <w:start w:w="120" w:type="dxa"/>
              <w:bottom w:w="100" w:type="dxa"/>
              <w:end w:w="120" w:type="dxa"/>
            </w:tcMar>
            <w:shd w:fill="F8FBFD"/>
            <w:vAlign w:val="center"/>
          </w:tcPr>
          <w:p>
            <w:pPr>
              <w:spacing w:after="0" w:line="264" w:lineRule="auto"/>
              <w:jc w:val="left"/>
            </w:pPr>
            <w:r/>
            <w:r>
              <w:rPr>
                <w:sz w:val="19"/>
              </w:rPr>
              <w:t>Four models keep the experiment broad enough to compare categories while still remaining realistic to run and analyze.</w:t>
            </w:r>
          </w:p>
        </w:tc>
      </w:tr>
    </w:tbl>
    <w:p>
      <w:pPr>
        <w:spacing w:before="120" w:after="80"/>
      </w:pPr>
      <w:r>
        <w:rPr>
          <w:rFonts w:ascii="Aptos Display" w:hAnsi="Aptos Display" w:eastAsia="Aptos Display"/>
          <w:b/>
          <w:color w:val="1F4E79"/>
          <w:sz w:val="23"/>
        </w:rPr>
        <w:t>Assumptions</w:t>
      </w:r>
    </w:p>
    <w:p>
      <w:pPr>
        <w:spacing w:after="60" w:line="269" w:lineRule="auto"/>
        <w:ind w:left="317" w:hanging="259"/>
      </w:pPr>
      <w:r>
        <w:rPr>
          <w:b/>
        </w:rPr>
        <w:t xml:space="preserve">• </w:t>
      </w:r>
      <w:r>
        <w:t>The selected models will remain accessible and stable enough to benchmark during the implementation phase.</w:t>
      </w:r>
    </w:p>
    <w:p>
      <w:pPr>
        <w:spacing w:after="60" w:line="269" w:lineRule="auto"/>
        <w:ind w:left="317" w:hanging="259"/>
      </w:pPr>
      <w:r>
        <w:rPr>
          <w:b/>
        </w:rPr>
        <w:t xml:space="preserve">• </w:t>
      </w:r>
      <w:r>
        <w:t>The benchmark evidence reviewed during selection is relevant enough to justify the categories even though the project itself will still need its own direct experiment.</w:t>
      </w:r>
    </w:p>
    <w:p>
      <w:pPr>
        <w:spacing w:after="60" w:line="269" w:lineRule="auto"/>
        <w:ind w:left="317" w:hanging="259"/>
      </w:pPr>
      <w:r>
        <w:rPr>
          <w:b/>
        </w:rPr>
        <w:t xml:space="preserve">• </w:t>
      </w:r>
      <w:r>
        <w:t>The lightweight model will produce a meaningful contrast rather than only a weaker version with no practical value.</w:t>
      </w:r>
    </w:p>
    <w:p>
      <w:pPr>
        <w:spacing w:before="120" w:after="80"/>
      </w:pPr>
      <w:r>
        <w:rPr>
          <w:rFonts w:ascii="Aptos Display" w:hAnsi="Aptos Display" w:eastAsia="Aptos Display"/>
          <w:b/>
          <w:color w:val="1F4E79"/>
          <w:sz w:val="23"/>
        </w:rPr>
        <w:t>What surprised me</w:t>
      </w:r>
    </w:p>
    <w:p>
      <w:pPr>
        <w:spacing w:before="0" w:after="120" w:line="276" w:lineRule="auto"/>
      </w:pPr>
      <w:r>
        <w:rPr>
          <w:sz w:val="21"/>
        </w:rPr>
        <w:t>What surprised me most was not only that newer generations performed better, but how large the gap could be. Before checking the benchmark comparisons, I treated older well-known models as acceptable representatives. After reviewing the evidence, that position became much harder to defend. That pushed me to make the decision more evidence-based and less familiarity-based.</w:t>
      </w:r>
    </w:p>
    <w:p>
      <w:pPr>
        <w:spacing w:before="200" w:after="80"/>
      </w:pPr>
      <w:r>
        <w:rPr>
          <w:rFonts w:ascii="Aptos Display" w:hAnsi="Aptos Display" w:eastAsia="Aptos Display"/>
          <w:b/>
          <w:color w:val="1F4E79"/>
          <w:sz w:val="26"/>
        </w:rPr>
        <w:t>6. What this unlocks</w:t>
      </w:r>
    </w:p>
    <w:p>
      <w:pPr>
        <w:spacing w:before="0" w:after="120" w:line="276" w:lineRule="auto"/>
      </w:pPr>
      <w:r>
        <w:rPr>
          <w:sz w:val="21"/>
        </w:rPr>
        <w:t>This decision unlocks the implementation stage of the benchmark.</w:t>
      </w:r>
    </w:p>
    <w:p>
      <w:pPr>
        <w:spacing w:after="60" w:line="269" w:lineRule="auto"/>
        <w:ind w:left="317" w:hanging="259"/>
      </w:pPr>
      <w:r>
        <w:rPr>
          <w:b/>
        </w:rPr>
        <w:t xml:space="preserve">• </w:t>
      </w:r>
      <w:r>
        <w:t>I can now prepare the API configuration and response-collection script for a fixed model set.</w:t>
      </w:r>
    </w:p>
    <w:p>
      <w:pPr>
        <w:spacing w:after="60" w:line="269" w:lineRule="auto"/>
        <w:ind w:left="317" w:hanging="259"/>
      </w:pPr>
      <w:r>
        <w:rPr>
          <w:b/>
        </w:rPr>
        <w:t xml:space="preserve">• </w:t>
      </w:r>
      <w:r>
        <w:t>I can create a cleaner experiment design because the categories are now decided before implementation starts.</w:t>
      </w:r>
    </w:p>
    <w:p>
      <w:pPr>
        <w:spacing w:after="60" w:line="269" w:lineRule="auto"/>
        <w:ind w:left="317" w:hanging="259"/>
      </w:pPr>
      <w:r>
        <w:rPr>
          <w:b/>
        </w:rPr>
        <w:t xml:space="preserve">• </w:t>
      </w:r>
      <w:r>
        <w:t>I can compare both cross-provider differences and a cost-versus-quality trade-off inside one provider family.</w:t>
      </w:r>
    </w:p>
    <w:p>
      <w:pPr>
        <w:spacing w:after="60" w:line="269" w:lineRule="auto"/>
        <w:ind w:left="317" w:hanging="259"/>
      </w:pPr>
      <w:r>
        <w:rPr>
          <w:b/>
        </w:rPr>
        <w:t xml:space="preserve">• </w:t>
      </w:r>
      <w:r>
        <w:t>I can connect this decision more clearly to later evidence, such as API tests, stored outputs, and scoring results.</w:t>
      </w:r>
    </w:p>
    <w:p>
      <w:pPr>
        <w:spacing w:before="120" w:after="80"/>
      </w:pPr>
      <w:r>
        <w:rPr>
          <w:rFonts w:ascii="Aptos Display" w:hAnsi="Aptos Display" w:eastAsia="Aptos Display"/>
          <w:b/>
          <w:color w:val="1F4E79"/>
          <w:sz w:val="23"/>
        </w:rPr>
        <w:t>Next LO stage</w:t>
      </w:r>
    </w:p>
    <w:p>
      <w:pPr>
        <w:spacing w:before="0" w:after="120" w:line="276" w:lineRule="auto"/>
      </w:pPr>
      <w:r>
        <w:rPr>
          <w:sz w:val="21"/>
        </w:rPr>
        <w:t>Realizing. The next step is to run the selected models through the benchmark pipeline and collect outputs consistently.</w:t>
      </w:r>
    </w:p>
    <w:p>
      <w:pPr>
        <w:spacing w:before="120" w:after="80"/>
      </w:pPr>
      <w:r>
        <w:rPr>
          <w:rFonts w:ascii="Aptos Display" w:hAnsi="Aptos Display" w:eastAsia="Aptos Display"/>
          <w:b/>
          <w:color w:val="1F4E79"/>
          <w:sz w:val="23"/>
        </w:rPr>
        <w:t>How I will measure success</w:t>
      </w:r>
    </w:p>
    <w:p>
      <w:pPr>
        <w:spacing w:before="0" w:after="120" w:line="276" w:lineRule="auto"/>
      </w:pPr>
      <w:r>
        <w:rPr>
          <w:sz w:val="21"/>
        </w:rPr>
        <w:t>I will know this decision worked if all four selected models can be queried through the planned API workflow, produce outputs for the same question set, and create a dataset that is broad enough to compare provider differences, category differences, and budget-versus-frontier trade-offs.</w:t>
      </w:r>
    </w:p>
    <w:p>
      <w:pPr>
        <w:spacing w:before="200" w:after="80"/>
      </w:pPr>
      <w:r>
        <w:t>Referenced material</w:t>
      </w:r>
    </w:p>
    <w:p>
      <w:pPr>
        <w:spacing w:after="60" w:line="269" w:lineRule="auto"/>
        <w:ind w:left="317" w:hanging="259"/>
      </w:pPr>
      <w:r>
        <w:t>• @Model-Selection-Research.pdf</w:t>
      </w:r>
    </w:p>
    <w:p>
      <w:pPr>
        <w:spacing w:after="60" w:line="269" w:lineRule="auto"/>
        <w:ind w:left="317" w:hanging="259"/>
      </w:pPr>
      <w:r>
        <w:t>• Supporting Evidence – Model Selection Rationale with Pictures</w:t>
      </w:r>
    </w:p>
    <w:p>
      <w:pPr>
        <w:spacing w:after="60" w:line="269" w:lineRule="auto"/>
        <w:ind w:left="317" w:hanging="259"/>
      </w:pPr>
      <w:r>
        <w:t>• OpenAI, Anthropic, and OpenRouter platform/API documentation</w:t>
      </w:r>
    </w:p>
    <w:p>
      <w:pPr>
        <w:spacing w:after="60" w:line="269" w:lineRule="auto"/>
        <w:ind w:left="317" w:hanging="259"/>
      </w:pPr>
      <w:r>
        <w:t>• ProLLM, Vellum AI, and Onyx leaderboard views used during comparison</w:t>
      </w:r>
    </w:p>
    <w:p>
      <w:pPr>
        <w:spacing w:after="60" w:line="269" w:lineRule="auto"/>
        <w:ind w:left="317" w:hanging="259"/>
      </w:pPr>
      <w:r>
        <w:t>• Decision Log 3 and the Socratic reasoning evidence used during selection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