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9899" w14:textId="4E010675" w:rsidR="00C318CE" w:rsidRDefault="00F427BC">
      <w:pPr>
        <w:pStyle w:val="Title"/>
        <w:pBdr>
          <w:bottom w:val="single" w:sz="12" w:space="1" w:color="4F46E5"/>
        </w:pBdr>
        <w:spacing w:after="160"/>
        <w:jc w:val="center"/>
      </w:pPr>
      <w:r>
        <w:rPr>
          <w:b/>
          <w:bCs/>
          <w:color w:val="312E81"/>
          <w:sz w:val="36"/>
          <w:szCs w:val="36"/>
        </w:rPr>
        <w:t>Discover Ancient Wonders of Turkey</w:t>
      </w:r>
    </w:p>
    <w:p w14:paraId="08E9EBCD" w14:textId="447E16A4" w:rsidR="00F427BC" w:rsidRDefault="00F427BC">
      <w:pPr>
        <w:spacing w:after="240"/>
        <w:jc w:val="center"/>
        <w:rPr>
          <w:i/>
          <w:iCs/>
          <w:color w:val="6B7280"/>
          <w:sz w:val="24"/>
          <w:szCs w:val="24"/>
        </w:rPr>
      </w:pPr>
      <w:r>
        <w:rPr>
          <w:i/>
          <w:iCs/>
          <w:color w:val="6B7280"/>
          <w:sz w:val="24"/>
          <w:szCs w:val="24"/>
        </w:rPr>
        <w:t>Istanbul &amp; Kusadasi</w:t>
      </w:r>
    </w:p>
    <w:p w14:paraId="4F94EC2A" w14:textId="0705E9E0" w:rsidR="00C318CE" w:rsidRDefault="00F427BC">
      <w:pPr>
        <w:spacing w:after="240"/>
        <w:jc w:val="center"/>
      </w:pPr>
      <w:r>
        <w:rPr>
          <w:i/>
          <w:iCs/>
          <w:color w:val="6B7280"/>
          <w:sz w:val="24"/>
          <w:szCs w:val="24"/>
        </w:rPr>
        <w:t>6 Nights / 7 Days</w:t>
      </w:r>
    </w:p>
    <w:p w14:paraId="1F34F0A6"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1 -</w:t>
      </w:r>
      <w:proofErr w:type="gramEnd"/>
      <w:r>
        <w:rPr>
          <w:b/>
          <w:bCs/>
          <w:color w:val="1F2937"/>
        </w:rPr>
        <w:t xml:space="preserve"> Istanbul</w:t>
      </w:r>
      <w:r>
        <w:rPr>
          <w:b/>
          <w:bCs/>
        </w:rPr>
        <w:tab/>
      </w:r>
      <w:r>
        <w:rPr>
          <w:color w:val="6B7280"/>
          <w:sz w:val="22"/>
          <w:szCs w:val="22"/>
        </w:rPr>
        <w:t>((-))</w:t>
      </w:r>
    </w:p>
    <w:p w14:paraId="4D00C2F5" w14:textId="77777777" w:rsidR="00C318CE" w:rsidRDefault="00F427BC">
      <w:pPr>
        <w:spacing w:line="340" w:lineRule="auto"/>
        <w:jc w:val="both"/>
      </w:pPr>
      <w:r>
        <w:t xml:space="preserve">Upon your arrival at Istanbul Airport, immerse yourself in the Turkish hospitality as you are privately transferred to your accommodation. Delight in the anticipation of the days ahead, filled with rich history and captivating experiences. Rest of the day is yours to unwind and acclimate to the vibrant city that awaits your exploration. Check-in time at your hotel is typically 14:00, but if you arrive earlier, feel free to store your luggage and venture out to discover some local flavors or simply relax by </w:t>
      </w:r>
      <w:r>
        <w:t>the Bosphorus Strait, one of Istanbul's most iconic landmarks that offers a mesmerizing blend of European and Asian landscapes. Istanbul, the city where East meets West, promises an unforgettable journey through its labyrinthine streets, bustling markets, and breathtaking architecture. From the Blue Mosque with its intricate tilework to the grand Hagia Sophia, every corner of Istanbul brims with history and allure. Your hotel offers a sanctuary amidst the city's energy, providing the perfect base for your T</w:t>
      </w:r>
      <w:r>
        <w:t>urkish adventure. Rest up tonight, as tomorrow awaits a full day of exploration in this captivating city.</w:t>
      </w:r>
    </w:p>
    <w:p w14:paraId="314402C0"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2 -</w:t>
      </w:r>
      <w:proofErr w:type="gramEnd"/>
      <w:r>
        <w:rPr>
          <w:b/>
          <w:bCs/>
          <w:color w:val="1F2937"/>
        </w:rPr>
        <w:t xml:space="preserve"> Istanbul</w:t>
      </w:r>
      <w:r>
        <w:rPr>
          <w:b/>
          <w:bCs/>
        </w:rPr>
        <w:tab/>
      </w:r>
      <w:r>
        <w:rPr>
          <w:color w:val="6B7280"/>
          <w:sz w:val="22"/>
          <w:szCs w:val="22"/>
        </w:rPr>
        <w:t>((B))</w:t>
      </w:r>
    </w:p>
    <w:p w14:paraId="192A601C" w14:textId="77777777" w:rsidR="00C318CE" w:rsidRDefault="00F427BC">
      <w:pPr>
        <w:spacing w:line="340" w:lineRule="auto"/>
        <w:jc w:val="both"/>
      </w:pPr>
      <w:r>
        <w:t>After breakfast, embark on an exhilarating Half Day Bosphorus Cruise AM, where the sparkling waters of the Bosphorus Strait serve as a divine backdrop to Istanbul's stunning skyline. Your journey begins at the Dolmabahçe Palace, a resplendent 19th-century palace that once housed Ottoman sultans and now stands as a museum brimming with imperial treasures.</w:t>
      </w:r>
    </w:p>
    <w:p w14:paraId="09B5DC48" w14:textId="77777777" w:rsidR="00C318CE" w:rsidRDefault="00F427BC">
      <w:pPr>
        <w:spacing w:line="340" w:lineRule="auto"/>
        <w:jc w:val="both"/>
      </w:pPr>
      <w:r>
        <w:t>As your vessel glides through the strait, take in breathtaking vistas of grand palaces, ancient fortresses, and bustling neighborhoods perched upon dramatic cliffs. Marvel at the majestic Dolmabahçe Clock Tower, a testament to Ottoman architectural prowess, and the imposing Rumeli Fortress, built by Sultan Mehmed II in just four months before the conquest of Constantinople.</w:t>
      </w:r>
    </w:p>
    <w:p w14:paraId="20D05BEC" w14:textId="77777777" w:rsidR="00C318CE" w:rsidRDefault="00F427BC">
      <w:pPr>
        <w:spacing w:line="340" w:lineRule="auto"/>
        <w:jc w:val="both"/>
      </w:pPr>
      <w:r>
        <w:t>Discover the enchanting charm of the Asian side as you cruise past picturesque villages nestled within lush hillsides, and witness the iconic Maiden's Tower, a fairytale-like structure that has captivated travelers for centuries. The cruise concludes at the vibrant Spice Bazaar, where aromatic spices, colorful textiles, and delectable sweets await your senses. This unforgettable experience offers a mesmerizing glimpse into Istanbul's rich history and vibrant culture.</w:t>
      </w:r>
    </w:p>
    <w:p w14:paraId="74633530"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3 -</w:t>
      </w:r>
      <w:proofErr w:type="gramEnd"/>
      <w:r>
        <w:rPr>
          <w:b/>
          <w:bCs/>
          <w:color w:val="1F2937"/>
        </w:rPr>
        <w:t xml:space="preserve"> Istanbul</w:t>
      </w:r>
      <w:r>
        <w:rPr>
          <w:b/>
          <w:bCs/>
        </w:rPr>
        <w:tab/>
      </w:r>
      <w:r>
        <w:rPr>
          <w:color w:val="6B7280"/>
          <w:sz w:val="22"/>
          <w:szCs w:val="22"/>
        </w:rPr>
        <w:t>((B/L))</w:t>
      </w:r>
    </w:p>
    <w:p w14:paraId="1CFC6515" w14:textId="77777777" w:rsidR="00C318CE" w:rsidRDefault="00F427BC">
      <w:pPr>
        <w:spacing w:line="340" w:lineRule="auto"/>
        <w:jc w:val="both"/>
      </w:pPr>
      <w:r>
        <w:t>After breakfast, immerse yourself in the rich history and vibrant culture of Istanbul as you embark on a Full Day Classic Istanbul Old City Tour. Your journey begins at the Hagia Sophia, a magnificent architectural marvel that stands as a testament to Byzantine and Ottoman empires. Marvel at its intricate mosaics and soaring dome while learning about its transformation from a church to a mosque and now a museum.</w:t>
      </w:r>
    </w:p>
    <w:p w14:paraId="19BE86CF" w14:textId="77777777" w:rsidR="00C318CE" w:rsidRDefault="00F427BC">
      <w:pPr>
        <w:spacing w:line="340" w:lineRule="auto"/>
        <w:jc w:val="both"/>
      </w:pPr>
      <w:r>
        <w:t>Next, visit the iconic Blue Mosque, renowned for its six minarets and exquisite blue tiles adorning its interior. The harmony between this religious monument and Hagia Sophia adds an enchanting touch to the cityscape.</w:t>
      </w:r>
    </w:p>
    <w:p w14:paraId="3D46852C" w14:textId="77777777" w:rsidR="00C318CE" w:rsidRDefault="00F427BC">
      <w:pPr>
        <w:spacing w:line="340" w:lineRule="auto"/>
        <w:jc w:val="both"/>
      </w:pPr>
      <w:r>
        <w:t>Continue your exploration at Topkapi Palace, a former royal residence that houses an extensive collection of treasures including the legendary Emerald-encrusted dagger and the Topkapi Diamond. As you wander through its opulent courtyards and opulent halls, you'll gain insight into the lives of Ottoman sultans.</w:t>
      </w:r>
    </w:p>
    <w:p w14:paraId="556FB7E2" w14:textId="77777777" w:rsidR="00C318CE" w:rsidRDefault="00F427BC">
      <w:pPr>
        <w:spacing w:line="340" w:lineRule="auto"/>
        <w:jc w:val="both"/>
      </w:pPr>
      <w:r>
        <w:lastRenderedPageBreak/>
        <w:t>Round off your day with a visit to the bustling Grand Bazaar, where over 4,000 shops brimming with jewelry, textiles, spices, and ceramics await discovery. Haggle like a local and take home souvenirs that will remind you of this captivating city for years to come.</w:t>
      </w:r>
    </w:p>
    <w:p w14:paraId="39EE3D35" w14:textId="77777777" w:rsidR="00C318CE" w:rsidRDefault="00F427BC">
      <w:pPr>
        <w:spacing w:line="340" w:lineRule="auto"/>
        <w:jc w:val="both"/>
      </w:pPr>
      <w:r>
        <w:t>Return to your hotel after an enriching day, filled with new experiences and unforgettable memories of Istanbul's storied past.</w:t>
      </w:r>
    </w:p>
    <w:p w14:paraId="03AEE782"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4 -</w:t>
      </w:r>
      <w:proofErr w:type="gramEnd"/>
      <w:r>
        <w:rPr>
          <w:b/>
          <w:bCs/>
          <w:color w:val="1F2937"/>
        </w:rPr>
        <w:t xml:space="preserve"> </w:t>
      </w:r>
      <w:proofErr w:type="gramStart"/>
      <w:r>
        <w:rPr>
          <w:b/>
          <w:bCs/>
          <w:color w:val="1F2937"/>
        </w:rPr>
        <w:t>Istanbul -</w:t>
      </w:r>
      <w:proofErr w:type="gramEnd"/>
      <w:r>
        <w:rPr>
          <w:b/>
          <w:bCs/>
          <w:color w:val="1F2937"/>
        </w:rPr>
        <w:t xml:space="preserve"> </w:t>
      </w:r>
      <w:proofErr w:type="gramStart"/>
      <w:r>
        <w:rPr>
          <w:b/>
          <w:bCs/>
          <w:color w:val="1F2937"/>
        </w:rPr>
        <w:t>Fly -</w:t>
      </w:r>
      <w:proofErr w:type="gramEnd"/>
      <w:r>
        <w:rPr>
          <w:b/>
          <w:bCs/>
          <w:color w:val="1F2937"/>
        </w:rPr>
        <w:t xml:space="preserve"> Kusadasi</w:t>
      </w:r>
      <w:r>
        <w:rPr>
          <w:b/>
          <w:bCs/>
        </w:rPr>
        <w:tab/>
      </w:r>
      <w:r>
        <w:rPr>
          <w:color w:val="6B7280"/>
          <w:sz w:val="22"/>
          <w:szCs w:val="22"/>
        </w:rPr>
        <w:t>((B))</w:t>
      </w:r>
    </w:p>
    <w:p w14:paraId="67F4241D" w14:textId="77777777" w:rsidR="00C318CE" w:rsidRDefault="00F427BC">
      <w:pPr>
        <w:spacing w:line="340" w:lineRule="auto"/>
        <w:jc w:val="both"/>
      </w:pPr>
      <w:r>
        <w:t>After a hearty breakfast at your Istanbul hotel, you'll be privately transferred to the airport for your flight bound for Kusadasi. As the plane wings its way across Turkey's breathtaking landscapes, anticipation builds for your upcoming adventures. Upon landing in Kusadasi, you'll meet your representative and continue on to your hotel, marking a seamless transition into your next destination. The rest of the day is yours to settle into your accommodation or explore the vibrant streets at your leisure, prom</w:t>
      </w:r>
      <w:r>
        <w:t>ising an enticing introduction to this captivating coastal city.</w:t>
      </w:r>
    </w:p>
    <w:p w14:paraId="1C1A6E17"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5 -</w:t>
      </w:r>
      <w:proofErr w:type="gramEnd"/>
      <w:r>
        <w:rPr>
          <w:b/>
          <w:bCs/>
          <w:color w:val="1F2937"/>
        </w:rPr>
        <w:t xml:space="preserve"> Kusadasi</w:t>
      </w:r>
      <w:r>
        <w:rPr>
          <w:b/>
          <w:bCs/>
        </w:rPr>
        <w:tab/>
      </w:r>
      <w:r>
        <w:rPr>
          <w:color w:val="6B7280"/>
          <w:sz w:val="22"/>
          <w:szCs w:val="22"/>
        </w:rPr>
        <w:t>((B/L))</w:t>
      </w:r>
    </w:p>
    <w:p w14:paraId="3CFE1E01" w14:textId="77777777" w:rsidR="00C318CE" w:rsidRDefault="00F427BC">
      <w:pPr>
        <w:spacing w:line="340" w:lineRule="auto"/>
        <w:jc w:val="both"/>
      </w:pPr>
      <w:r>
        <w:t>After breakfast, delve into the rich historical tapestry of Kusadasi with the Full Day Ephesus Tour. Begin your journey at the Ancient City of Ephesus, a UNESCO World Heritage Site and one of the best-preserved classical cities in the world. Wander through its grand marble streets, admiring the majestic Library of Celsius, the imposing Temple of Hadrian, and the vast Amphitheater.</w:t>
      </w:r>
    </w:p>
    <w:p w14:paraId="7BD1E84C" w14:textId="77777777" w:rsidR="00C318CE" w:rsidRDefault="00F427BC">
      <w:pPr>
        <w:spacing w:line="340" w:lineRule="auto"/>
        <w:jc w:val="both"/>
      </w:pPr>
      <w:r>
        <w:t>Next, visit the House of Virgin Mary, a serene sanctuary nestled amidst lush greenery on Bulbul Mountain. This site is believed to be where Mary spent her final days, and the peaceful atmosphere here is truly spellbinding.</w:t>
      </w:r>
    </w:p>
    <w:p w14:paraId="3EC9A6F1" w14:textId="77777777" w:rsidR="00C318CE" w:rsidRDefault="00F427BC">
      <w:pPr>
        <w:spacing w:line="340" w:lineRule="auto"/>
        <w:jc w:val="both"/>
      </w:pPr>
      <w:r>
        <w:t>Your adventure continues at the Isabey Mosque, an elegant example of Seljuk architecture boasting beautiful blue tiles and a striking minaret. Finally, explore the bustling Ephesus Archaeological Museum, home to countless artifacts that tell the captivating story of this ancient city. At the end of the day, return to your hotel, inspired by the magic of Ephesus.</w:t>
      </w:r>
    </w:p>
    <w:p w14:paraId="591644CA"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6 -</w:t>
      </w:r>
      <w:proofErr w:type="gramEnd"/>
      <w:r>
        <w:rPr>
          <w:b/>
          <w:bCs/>
          <w:color w:val="1F2937"/>
        </w:rPr>
        <w:t xml:space="preserve"> Kusadasi</w:t>
      </w:r>
      <w:r>
        <w:rPr>
          <w:b/>
          <w:bCs/>
        </w:rPr>
        <w:tab/>
      </w:r>
      <w:r>
        <w:rPr>
          <w:color w:val="6B7280"/>
          <w:sz w:val="22"/>
          <w:szCs w:val="22"/>
        </w:rPr>
        <w:t>((B/L))</w:t>
      </w:r>
    </w:p>
    <w:p w14:paraId="4659E009" w14:textId="77777777" w:rsidR="00C318CE" w:rsidRDefault="00F427BC">
      <w:pPr>
        <w:spacing w:line="340" w:lineRule="auto"/>
        <w:jc w:val="both"/>
      </w:pPr>
      <w:r>
        <w:t>After breakfast, embark on an unforgettable Full Day Pamukkale Tour. Marvel at the breathtaking travertine terraces of white calcium carbonate cascading down the hillside like frozen waterfalls, a mesmerizing sight reminiscent of dreams. Wander through the ancient city ruins of Hierapolis, where you can explore the Necropolis, the Theatre, and the magnificent Roman Baths. Soak in the healing properties of the natural thermal pools at Pamukkale, feeling rejuvenated as the warm mineral-rich waters caress your</w:t>
      </w:r>
      <w:r>
        <w:t xml:space="preserve"> skin. Return to your hotel, brimming with stories of a day spent amidst Turkey's breathtaking natural wonders and ancient history.</w:t>
      </w:r>
    </w:p>
    <w:p w14:paraId="00F48D45" w14:textId="77777777" w:rsidR="00C318CE" w:rsidRDefault="00F427BC">
      <w:pPr>
        <w:pStyle w:val="Heading2"/>
        <w:tabs>
          <w:tab w:val="right" w:pos="9026"/>
        </w:tabs>
        <w:spacing w:before="200" w:after="120"/>
      </w:pPr>
      <w:r>
        <w:rPr>
          <w:b/>
          <w:bCs/>
          <w:color w:val="1F2937"/>
        </w:rPr>
        <w:t xml:space="preserve">Day </w:t>
      </w:r>
      <w:proofErr w:type="gramStart"/>
      <w:r>
        <w:rPr>
          <w:b/>
          <w:bCs/>
          <w:color w:val="1F2937"/>
        </w:rPr>
        <w:t>7 -</w:t>
      </w:r>
      <w:proofErr w:type="gramEnd"/>
      <w:r>
        <w:rPr>
          <w:b/>
          <w:bCs/>
          <w:color w:val="1F2937"/>
        </w:rPr>
        <w:t xml:space="preserve"> </w:t>
      </w:r>
      <w:proofErr w:type="gramStart"/>
      <w:r>
        <w:rPr>
          <w:b/>
          <w:bCs/>
          <w:color w:val="1F2937"/>
        </w:rPr>
        <w:t>Kusadasi -</w:t>
      </w:r>
      <w:proofErr w:type="gramEnd"/>
      <w:r>
        <w:rPr>
          <w:b/>
          <w:bCs/>
          <w:color w:val="1F2937"/>
        </w:rPr>
        <w:t xml:space="preserve"> Departure</w:t>
      </w:r>
      <w:r>
        <w:rPr>
          <w:b/>
          <w:bCs/>
        </w:rPr>
        <w:tab/>
      </w:r>
      <w:r>
        <w:rPr>
          <w:color w:val="6B7280"/>
          <w:sz w:val="22"/>
          <w:szCs w:val="22"/>
        </w:rPr>
        <w:t>((B))</w:t>
      </w:r>
    </w:p>
    <w:p w14:paraId="40DC34EE" w14:textId="77777777" w:rsidR="00C318CE" w:rsidRDefault="00F427BC">
      <w:pPr>
        <w:spacing w:line="340" w:lineRule="auto"/>
        <w:jc w:val="both"/>
      </w:pPr>
      <w:r>
        <w:t>After a nourishing breakfast at your hotel, it's time to bid adieu as you prepare for departure. Immerse in an enchanting journey as you transfer to Istanbul Airport, where the next chapter of your adventure awaits. Savor the last whiffs of Turkish hospitality before embarking on your flight, concluding your stay with Funny Tourism. Thank you for choosing us to facilitate your unforgettable sojourn through the mystical lands of Turkey.</w:t>
      </w:r>
    </w:p>
    <w:p w14:paraId="5AE77663" w14:textId="77777777" w:rsidR="00C318CE" w:rsidRDefault="00F427BC">
      <w:r>
        <w:br w:type="page"/>
      </w:r>
    </w:p>
    <w:p w14:paraId="7CB596CB" w14:textId="77777777" w:rsidR="00C318CE" w:rsidRDefault="00F427BC">
      <w:pPr>
        <w:pStyle w:val="Heading1"/>
        <w:pBdr>
          <w:bottom w:val="single" w:sz="8" w:space="1" w:color="4F46E5"/>
        </w:pBdr>
        <w:spacing w:before="240" w:after="140"/>
      </w:pPr>
      <w:r>
        <w:rPr>
          <w:b/>
          <w:bCs/>
          <w:color w:val="312E81"/>
          <w:sz w:val="28"/>
          <w:szCs w:val="28"/>
        </w:rPr>
        <w:lastRenderedPageBreak/>
        <w:t>INCLUSIONS</w:t>
      </w:r>
    </w:p>
    <w:p w14:paraId="5D66D9FD" w14:textId="77777777" w:rsidR="00C318CE" w:rsidRDefault="00F427BC">
      <w:pPr>
        <w:pStyle w:val="ListParagraph"/>
        <w:numPr>
          <w:ilvl w:val="0"/>
          <w:numId w:val="1"/>
        </w:numPr>
        <w:spacing w:line="280" w:lineRule="auto"/>
      </w:pPr>
      <w:r>
        <w:t>6 nights accommodation in the mentioned hotels</w:t>
      </w:r>
    </w:p>
    <w:p w14:paraId="4DC59CA5" w14:textId="77777777" w:rsidR="00C318CE" w:rsidRDefault="00F427BC">
      <w:pPr>
        <w:pStyle w:val="ListParagraph"/>
        <w:numPr>
          <w:ilvl w:val="0"/>
          <w:numId w:val="1"/>
        </w:numPr>
        <w:spacing w:line="280" w:lineRule="auto"/>
      </w:pPr>
      <w:r>
        <w:t>Meals are as per itinerary with code letters (B=Breakfast, L=Lunch, D=Dinner)</w:t>
      </w:r>
    </w:p>
    <w:p w14:paraId="311748B3" w14:textId="77777777" w:rsidR="00C318CE" w:rsidRDefault="00F427BC">
      <w:pPr>
        <w:pStyle w:val="ListParagraph"/>
        <w:numPr>
          <w:ilvl w:val="0"/>
          <w:numId w:val="1"/>
        </w:numPr>
        <w:spacing w:line="280" w:lineRule="auto"/>
      </w:pPr>
      <w:r>
        <w:t>Return airport transfers on Private basis</w:t>
      </w:r>
    </w:p>
    <w:p w14:paraId="654CBDF0" w14:textId="77777777" w:rsidR="00C318CE" w:rsidRDefault="00F427BC">
      <w:pPr>
        <w:pStyle w:val="ListParagraph"/>
        <w:numPr>
          <w:ilvl w:val="0"/>
          <w:numId w:val="1"/>
        </w:numPr>
        <w:spacing w:line="280" w:lineRule="auto"/>
      </w:pPr>
      <w:r>
        <w:t>Professional English-Speaking Guidance on tour days</w:t>
      </w:r>
    </w:p>
    <w:p w14:paraId="4C1F81E5" w14:textId="77777777" w:rsidR="00C318CE" w:rsidRDefault="00F427BC">
      <w:pPr>
        <w:pStyle w:val="ListParagraph"/>
        <w:numPr>
          <w:ilvl w:val="0"/>
          <w:numId w:val="1"/>
        </w:numPr>
        <w:spacing w:line="280" w:lineRule="auto"/>
      </w:pPr>
      <w:r>
        <w:t>Sightseeings as per itinerary on SIC (Group Tours) basis with entrance fees for mentioned places</w:t>
      </w:r>
    </w:p>
    <w:p w14:paraId="6FC702A2" w14:textId="77777777" w:rsidR="00C318CE" w:rsidRDefault="00F427BC">
      <w:pPr>
        <w:pStyle w:val="ListParagraph"/>
        <w:numPr>
          <w:ilvl w:val="0"/>
          <w:numId w:val="1"/>
        </w:numPr>
        <w:spacing w:line="280" w:lineRule="auto"/>
      </w:pPr>
      <w:r>
        <w:t>Local Taxes.</w:t>
      </w:r>
    </w:p>
    <w:p w14:paraId="40BCF5E4" w14:textId="77777777" w:rsidR="00C318CE" w:rsidRDefault="00F427BC">
      <w:pPr>
        <w:pStyle w:val="Heading1"/>
        <w:pBdr>
          <w:bottom w:val="single" w:sz="8" w:space="1" w:color="4F46E5"/>
        </w:pBdr>
        <w:spacing w:before="300" w:after="140"/>
      </w:pPr>
      <w:r>
        <w:rPr>
          <w:b/>
          <w:bCs/>
          <w:color w:val="312E81"/>
          <w:sz w:val="28"/>
          <w:szCs w:val="28"/>
        </w:rPr>
        <w:t>EXCLUSIONS</w:t>
      </w:r>
    </w:p>
    <w:p w14:paraId="2C31FB2E" w14:textId="77777777" w:rsidR="00C318CE" w:rsidRDefault="00F427BC">
      <w:pPr>
        <w:pStyle w:val="ListParagraph"/>
        <w:numPr>
          <w:ilvl w:val="0"/>
          <w:numId w:val="1"/>
        </w:numPr>
        <w:spacing w:line="280" w:lineRule="auto"/>
      </w:pPr>
      <w:r>
        <w:t>Flights</w:t>
      </w:r>
    </w:p>
    <w:p w14:paraId="147DD4E7" w14:textId="77777777" w:rsidR="00C318CE" w:rsidRDefault="00F427BC">
      <w:pPr>
        <w:pStyle w:val="ListParagraph"/>
        <w:numPr>
          <w:ilvl w:val="0"/>
          <w:numId w:val="1"/>
        </w:numPr>
        <w:spacing w:line="280" w:lineRule="auto"/>
      </w:pPr>
      <w:r>
        <w:t>Personal expenses</w:t>
      </w:r>
    </w:p>
    <w:p w14:paraId="3A5D5672" w14:textId="77777777" w:rsidR="00C318CE" w:rsidRDefault="00F427BC">
      <w:pPr>
        <w:pStyle w:val="ListParagraph"/>
        <w:numPr>
          <w:ilvl w:val="0"/>
          <w:numId w:val="1"/>
        </w:numPr>
        <w:spacing w:line="280" w:lineRule="auto"/>
      </w:pPr>
      <w:r>
        <w:t>Drinks at meals</w:t>
      </w:r>
    </w:p>
    <w:p w14:paraId="29CA138E" w14:textId="77777777" w:rsidR="00C318CE" w:rsidRDefault="00F427BC">
      <w:pPr>
        <w:pStyle w:val="ListParagraph"/>
        <w:numPr>
          <w:ilvl w:val="0"/>
          <w:numId w:val="1"/>
        </w:numPr>
        <w:spacing w:line="280" w:lineRule="auto"/>
      </w:pPr>
      <w:r>
        <w:t>Tips and porterage at hotels</w:t>
      </w:r>
    </w:p>
    <w:p w14:paraId="485CF4A5" w14:textId="77777777" w:rsidR="00C318CE" w:rsidRDefault="00F427BC">
      <w:pPr>
        <w:pStyle w:val="ListParagraph"/>
        <w:numPr>
          <w:ilvl w:val="0"/>
          <w:numId w:val="1"/>
        </w:numPr>
        <w:spacing w:line="280" w:lineRule="auto"/>
      </w:pPr>
      <w:r>
        <w:t>Tips to the driver and the guide.</w:t>
      </w:r>
    </w:p>
    <w:p w14:paraId="3122316A" w14:textId="77777777" w:rsidR="00C318CE" w:rsidRDefault="00F427BC">
      <w:pPr>
        <w:pStyle w:val="Heading1"/>
        <w:pBdr>
          <w:bottom w:val="single" w:sz="8" w:space="1" w:color="4F46E5"/>
        </w:pBdr>
        <w:spacing w:before="300" w:after="140"/>
      </w:pPr>
      <w:r>
        <w:rPr>
          <w:b/>
          <w:bCs/>
          <w:color w:val="312E81"/>
          <w:sz w:val="28"/>
          <w:szCs w:val="28"/>
        </w:rPr>
        <w:t>HOTEL OPTIONS</w:t>
      </w:r>
    </w:p>
    <w:tbl>
      <w:tblPr>
        <w:tblW w:w="5000" w:type="pct"/>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585"/>
        <w:gridCol w:w="2955"/>
        <w:gridCol w:w="2955"/>
        <w:gridCol w:w="2955"/>
      </w:tblGrid>
      <w:tr w:rsidR="00C318CE" w14:paraId="22FC421E" w14:textId="77777777">
        <w:tblPrEx>
          <w:tblCellMar>
            <w:top w:w="0" w:type="dxa"/>
            <w:bottom w:w="0" w:type="dxa"/>
          </w:tblCellMar>
        </w:tblPrEx>
        <w:trPr>
          <w:tblHeader/>
        </w:trPr>
        <w:tc>
          <w:tcPr>
            <w:tcW w:w="750" w:type="pct"/>
            <w:tcMar>
              <w:top w:w="100" w:type="dxa"/>
              <w:left w:w="100" w:type="dxa"/>
              <w:bottom w:w="100" w:type="dxa"/>
              <w:right w:w="100" w:type="dxa"/>
            </w:tcMar>
            <w:vAlign w:val="center"/>
          </w:tcPr>
          <w:p w14:paraId="07CE7053" w14:textId="77777777" w:rsidR="00C318CE" w:rsidRDefault="00F427BC">
            <w:pPr>
              <w:jc w:val="center"/>
            </w:pPr>
            <w:r>
              <w:rPr>
                <w:b/>
                <w:bCs/>
                <w:color w:val="000000"/>
                <w:sz w:val="18"/>
                <w:szCs w:val="18"/>
              </w:rPr>
              <w:t>City</w:t>
            </w:r>
          </w:p>
        </w:tc>
        <w:tc>
          <w:tcPr>
            <w:tcW w:w="1400" w:type="pct"/>
            <w:tcMar>
              <w:top w:w="100" w:type="dxa"/>
              <w:left w:w="100" w:type="dxa"/>
              <w:bottom w:w="100" w:type="dxa"/>
              <w:right w:w="100" w:type="dxa"/>
            </w:tcMar>
            <w:vAlign w:val="center"/>
          </w:tcPr>
          <w:p w14:paraId="15B7D834" w14:textId="77777777" w:rsidR="00C318CE" w:rsidRDefault="00F427BC">
            <w:pPr>
              <w:jc w:val="center"/>
            </w:pPr>
            <w:r>
              <w:rPr>
                <w:b/>
                <w:bCs/>
                <w:color w:val="000000"/>
                <w:sz w:val="18"/>
                <w:szCs w:val="18"/>
              </w:rPr>
              <w:t>3-Star Hotels</w:t>
            </w:r>
          </w:p>
        </w:tc>
        <w:tc>
          <w:tcPr>
            <w:tcW w:w="1400" w:type="pct"/>
            <w:tcMar>
              <w:top w:w="100" w:type="dxa"/>
              <w:left w:w="100" w:type="dxa"/>
              <w:bottom w:w="100" w:type="dxa"/>
              <w:right w:w="100" w:type="dxa"/>
            </w:tcMar>
            <w:vAlign w:val="center"/>
          </w:tcPr>
          <w:p w14:paraId="48EDF145" w14:textId="77777777" w:rsidR="00C318CE" w:rsidRDefault="00F427BC">
            <w:pPr>
              <w:jc w:val="center"/>
            </w:pPr>
            <w:r>
              <w:rPr>
                <w:b/>
                <w:bCs/>
                <w:color w:val="000000"/>
                <w:sz w:val="18"/>
                <w:szCs w:val="18"/>
              </w:rPr>
              <w:t>4-Star Hotels</w:t>
            </w:r>
          </w:p>
        </w:tc>
        <w:tc>
          <w:tcPr>
            <w:tcW w:w="1400" w:type="pct"/>
            <w:tcMar>
              <w:top w:w="100" w:type="dxa"/>
              <w:left w:w="100" w:type="dxa"/>
              <w:bottom w:w="100" w:type="dxa"/>
              <w:right w:w="100" w:type="dxa"/>
            </w:tcMar>
            <w:vAlign w:val="center"/>
          </w:tcPr>
          <w:p w14:paraId="6B4DCE9D" w14:textId="77777777" w:rsidR="00C318CE" w:rsidRDefault="00F427BC">
            <w:pPr>
              <w:jc w:val="center"/>
            </w:pPr>
            <w:r>
              <w:rPr>
                <w:b/>
                <w:bCs/>
                <w:color w:val="000000"/>
                <w:sz w:val="18"/>
                <w:szCs w:val="18"/>
              </w:rPr>
              <w:t>5-Star Hotels</w:t>
            </w:r>
          </w:p>
        </w:tc>
      </w:tr>
      <w:tr w:rsidR="00C318CE" w14:paraId="17F62D97" w14:textId="77777777">
        <w:tblPrEx>
          <w:tblCellMar>
            <w:top w:w="0" w:type="dxa"/>
            <w:bottom w:w="0" w:type="dxa"/>
          </w:tblCellMar>
        </w:tblPrEx>
        <w:tc>
          <w:tcPr>
            <w:tcW w:w="750" w:type="pct"/>
            <w:tcMar>
              <w:top w:w="80" w:type="dxa"/>
              <w:left w:w="100" w:type="dxa"/>
              <w:bottom w:w="80" w:type="dxa"/>
              <w:right w:w="100" w:type="dxa"/>
            </w:tcMar>
            <w:vAlign w:val="center"/>
          </w:tcPr>
          <w:p w14:paraId="42812DB9" w14:textId="77777777" w:rsidR="00C318CE" w:rsidRDefault="00F427BC">
            <w:r>
              <w:rPr>
                <w:color w:val="000000"/>
                <w:sz w:val="17"/>
                <w:szCs w:val="17"/>
              </w:rPr>
              <w:t>Istanbul</w:t>
            </w:r>
          </w:p>
        </w:tc>
        <w:tc>
          <w:tcPr>
            <w:tcW w:w="1400" w:type="pct"/>
            <w:tcMar>
              <w:top w:w="80" w:type="dxa"/>
              <w:left w:w="100" w:type="dxa"/>
              <w:bottom w:w="80" w:type="dxa"/>
              <w:right w:w="100" w:type="dxa"/>
            </w:tcMar>
            <w:vAlign w:val="center"/>
          </w:tcPr>
          <w:p w14:paraId="70C3EE37" w14:textId="77777777" w:rsidR="00C318CE" w:rsidRDefault="00F427BC">
            <w:pPr>
              <w:jc w:val="center"/>
            </w:pPr>
            <w:r>
              <w:rPr>
                <w:color w:val="000000"/>
                <w:sz w:val="17"/>
                <w:szCs w:val="17"/>
              </w:rPr>
              <w:t>Montagna Hera (3 star)</w:t>
            </w:r>
          </w:p>
        </w:tc>
        <w:tc>
          <w:tcPr>
            <w:tcW w:w="1400" w:type="pct"/>
            <w:tcMar>
              <w:top w:w="80" w:type="dxa"/>
              <w:left w:w="100" w:type="dxa"/>
              <w:bottom w:w="80" w:type="dxa"/>
              <w:right w:w="100" w:type="dxa"/>
            </w:tcMar>
            <w:vAlign w:val="center"/>
          </w:tcPr>
          <w:p w14:paraId="2796B648" w14:textId="77777777" w:rsidR="00C318CE" w:rsidRDefault="00F427BC">
            <w:pPr>
              <w:jc w:val="center"/>
            </w:pPr>
            <w:r>
              <w:rPr>
                <w:color w:val="000000"/>
                <w:sz w:val="17"/>
                <w:szCs w:val="17"/>
              </w:rPr>
              <w:t>ELITE WORLD COMFY (4 Star)</w:t>
            </w:r>
          </w:p>
        </w:tc>
        <w:tc>
          <w:tcPr>
            <w:tcW w:w="1400" w:type="pct"/>
            <w:tcMar>
              <w:top w:w="80" w:type="dxa"/>
              <w:left w:w="100" w:type="dxa"/>
              <w:bottom w:w="80" w:type="dxa"/>
              <w:right w:w="100" w:type="dxa"/>
            </w:tcMar>
            <w:vAlign w:val="center"/>
          </w:tcPr>
          <w:p w14:paraId="5BDBBD33" w14:textId="77777777" w:rsidR="00C318CE" w:rsidRDefault="00F427BC">
            <w:pPr>
              <w:jc w:val="center"/>
            </w:pPr>
            <w:r>
              <w:rPr>
                <w:color w:val="000000"/>
                <w:sz w:val="17"/>
                <w:szCs w:val="17"/>
              </w:rPr>
              <w:t>ELITE WORLD ISTANBUL HOTEL (5 Star)</w:t>
            </w:r>
          </w:p>
        </w:tc>
      </w:tr>
      <w:tr w:rsidR="00C318CE" w14:paraId="6A332043" w14:textId="77777777">
        <w:tblPrEx>
          <w:tblCellMar>
            <w:top w:w="0" w:type="dxa"/>
            <w:bottom w:w="0" w:type="dxa"/>
          </w:tblCellMar>
        </w:tblPrEx>
        <w:tc>
          <w:tcPr>
            <w:tcW w:w="750" w:type="pct"/>
            <w:tcMar>
              <w:top w:w="80" w:type="dxa"/>
              <w:left w:w="100" w:type="dxa"/>
              <w:bottom w:w="80" w:type="dxa"/>
              <w:right w:w="100" w:type="dxa"/>
            </w:tcMar>
            <w:vAlign w:val="center"/>
          </w:tcPr>
          <w:p w14:paraId="5A3FA816" w14:textId="77777777" w:rsidR="00C318CE" w:rsidRDefault="00F427BC">
            <w:r>
              <w:rPr>
                <w:color w:val="000000"/>
                <w:sz w:val="17"/>
                <w:szCs w:val="17"/>
              </w:rPr>
              <w:t>Kusadasi</w:t>
            </w:r>
          </w:p>
        </w:tc>
        <w:tc>
          <w:tcPr>
            <w:tcW w:w="1400" w:type="pct"/>
            <w:tcMar>
              <w:top w:w="80" w:type="dxa"/>
              <w:left w:w="100" w:type="dxa"/>
              <w:bottom w:w="80" w:type="dxa"/>
              <w:right w:w="100" w:type="dxa"/>
            </w:tcMar>
            <w:vAlign w:val="center"/>
          </w:tcPr>
          <w:p w14:paraId="5720309A" w14:textId="77777777" w:rsidR="00C318CE" w:rsidRDefault="00F427BC">
            <w:pPr>
              <w:jc w:val="center"/>
            </w:pPr>
            <w:r>
              <w:rPr>
                <w:color w:val="000000"/>
                <w:sz w:val="17"/>
                <w:szCs w:val="17"/>
              </w:rPr>
              <w:t xml:space="preserve">By Karaaslan </w:t>
            </w:r>
            <w:proofErr w:type="gramStart"/>
            <w:r>
              <w:rPr>
                <w:color w:val="000000"/>
                <w:sz w:val="17"/>
                <w:szCs w:val="17"/>
              </w:rPr>
              <w:t>Hotel  (</w:t>
            </w:r>
            <w:proofErr w:type="gramEnd"/>
            <w:r>
              <w:rPr>
                <w:color w:val="000000"/>
                <w:sz w:val="17"/>
                <w:szCs w:val="17"/>
              </w:rPr>
              <w:t>3 Star)</w:t>
            </w:r>
          </w:p>
        </w:tc>
        <w:tc>
          <w:tcPr>
            <w:tcW w:w="1400" w:type="pct"/>
            <w:tcMar>
              <w:top w:w="80" w:type="dxa"/>
              <w:left w:w="100" w:type="dxa"/>
              <w:bottom w:w="80" w:type="dxa"/>
              <w:right w:w="100" w:type="dxa"/>
            </w:tcMar>
            <w:vAlign w:val="center"/>
          </w:tcPr>
          <w:p w14:paraId="08F57145" w14:textId="77777777" w:rsidR="00C318CE" w:rsidRDefault="00F427BC">
            <w:pPr>
              <w:jc w:val="center"/>
            </w:pPr>
            <w:r>
              <w:rPr>
                <w:color w:val="000000"/>
                <w:sz w:val="17"/>
                <w:szCs w:val="17"/>
              </w:rPr>
              <w:t xml:space="preserve">Suhan Seaport </w:t>
            </w:r>
            <w:proofErr w:type="gramStart"/>
            <w:r>
              <w:rPr>
                <w:color w:val="000000"/>
                <w:sz w:val="17"/>
                <w:szCs w:val="17"/>
              </w:rPr>
              <w:t>Hotel  (</w:t>
            </w:r>
            <w:proofErr w:type="gramEnd"/>
            <w:r>
              <w:rPr>
                <w:color w:val="000000"/>
                <w:sz w:val="17"/>
                <w:szCs w:val="17"/>
              </w:rPr>
              <w:t>4 star)</w:t>
            </w:r>
          </w:p>
        </w:tc>
        <w:tc>
          <w:tcPr>
            <w:tcW w:w="1400" w:type="pct"/>
            <w:tcMar>
              <w:top w:w="80" w:type="dxa"/>
              <w:left w:w="100" w:type="dxa"/>
              <w:bottom w:w="80" w:type="dxa"/>
              <w:right w:w="100" w:type="dxa"/>
            </w:tcMar>
            <w:vAlign w:val="center"/>
          </w:tcPr>
          <w:p w14:paraId="4B071811" w14:textId="77777777" w:rsidR="00C318CE" w:rsidRDefault="00F427BC">
            <w:pPr>
              <w:jc w:val="center"/>
            </w:pPr>
            <w:r>
              <w:rPr>
                <w:color w:val="000000"/>
                <w:sz w:val="17"/>
                <w:szCs w:val="17"/>
              </w:rPr>
              <w:t xml:space="preserve">Seven For Life </w:t>
            </w:r>
            <w:proofErr w:type="gramStart"/>
            <w:r>
              <w:rPr>
                <w:color w:val="000000"/>
                <w:sz w:val="17"/>
                <w:szCs w:val="17"/>
              </w:rPr>
              <w:t>Hotel  (</w:t>
            </w:r>
            <w:proofErr w:type="gramEnd"/>
            <w:r>
              <w:rPr>
                <w:color w:val="000000"/>
                <w:sz w:val="17"/>
                <w:szCs w:val="17"/>
              </w:rPr>
              <w:t>5 Star)</w:t>
            </w:r>
          </w:p>
        </w:tc>
      </w:tr>
    </w:tbl>
    <w:p w14:paraId="46698D3F" w14:textId="77777777" w:rsidR="00C318CE" w:rsidRDefault="00F427BC">
      <w:pPr>
        <w:spacing w:before="100" w:after="80"/>
      </w:pPr>
      <w:r>
        <w:rPr>
          <w:i/>
          <w:iCs/>
          <w:color w:val="6B7280"/>
          <w:sz w:val="18"/>
          <w:szCs w:val="18"/>
        </w:rPr>
        <w:t>* Final hotel selection will be based on your chosen category and availability</w:t>
      </w:r>
    </w:p>
    <w:p w14:paraId="5A5C7ABC" w14:textId="77777777" w:rsidR="00C318CE" w:rsidRDefault="00F427BC">
      <w:pPr>
        <w:pStyle w:val="Heading1"/>
        <w:pBdr>
          <w:bottom w:val="single" w:sz="8" w:space="1" w:color="4F46E5"/>
        </w:pBdr>
        <w:spacing w:before="300" w:after="140"/>
      </w:pPr>
      <w:r>
        <w:rPr>
          <w:b/>
          <w:bCs/>
          <w:color w:val="312E81"/>
          <w:sz w:val="28"/>
          <w:szCs w:val="28"/>
        </w:rPr>
        <w:t>PACKAGE RATES</w:t>
      </w:r>
    </w:p>
    <w:tbl>
      <w:tblPr>
        <w:tblW w:w="5000" w:type="pct"/>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3165"/>
        <w:gridCol w:w="2428"/>
        <w:gridCol w:w="2428"/>
        <w:gridCol w:w="2429"/>
      </w:tblGrid>
      <w:tr w:rsidR="00C318CE" w14:paraId="483B236D" w14:textId="77777777">
        <w:tblPrEx>
          <w:tblCellMar>
            <w:top w:w="0" w:type="dxa"/>
            <w:bottom w:w="0" w:type="dxa"/>
          </w:tblCellMar>
        </w:tblPrEx>
        <w:trPr>
          <w:tblHeader/>
        </w:trPr>
        <w:tc>
          <w:tcPr>
            <w:tcW w:w="1500" w:type="pct"/>
            <w:tcMar>
              <w:top w:w="100" w:type="dxa"/>
              <w:left w:w="100" w:type="dxa"/>
              <w:bottom w:w="100" w:type="dxa"/>
              <w:right w:w="100" w:type="dxa"/>
            </w:tcMar>
            <w:vAlign w:val="center"/>
          </w:tcPr>
          <w:p w14:paraId="28DD57C3" w14:textId="77777777" w:rsidR="00C318CE" w:rsidRDefault="00F427BC">
            <w:pPr>
              <w:jc w:val="center"/>
            </w:pPr>
            <w:r>
              <w:rPr>
                <w:b/>
                <w:bCs/>
                <w:color w:val="000000"/>
                <w:sz w:val="18"/>
                <w:szCs w:val="18"/>
              </w:rPr>
              <w:t>PAX / PP in DBL</w:t>
            </w:r>
          </w:p>
        </w:tc>
        <w:tc>
          <w:tcPr>
            <w:tcW w:w="1150" w:type="pct"/>
            <w:tcMar>
              <w:top w:w="100" w:type="dxa"/>
              <w:left w:w="100" w:type="dxa"/>
              <w:bottom w:w="100" w:type="dxa"/>
              <w:right w:w="100" w:type="dxa"/>
            </w:tcMar>
            <w:vAlign w:val="center"/>
          </w:tcPr>
          <w:p w14:paraId="4E7CA908" w14:textId="77777777" w:rsidR="00C318CE" w:rsidRDefault="00F427BC">
            <w:pPr>
              <w:jc w:val="center"/>
            </w:pPr>
            <w:r>
              <w:rPr>
                <w:b/>
                <w:bCs/>
                <w:color w:val="000000"/>
                <w:sz w:val="18"/>
                <w:szCs w:val="18"/>
              </w:rPr>
              <w:t>3-Star Hotels</w:t>
            </w:r>
          </w:p>
        </w:tc>
        <w:tc>
          <w:tcPr>
            <w:tcW w:w="1150" w:type="pct"/>
            <w:tcMar>
              <w:top w:w="100" w:type="dxa"/>
              <w:left w:w="100" w:type="dxa"/>
              <w:bottom w:w="100" w:type="dxa"/>
              <w:right w:w="100" w:type="dxa"/>
            </w:tcMar>
            <w:vAlign w:val="center"/>
          </w:tcPr>
          <w:p w14:paraId="1F6D85E7" w14:textId="77777777" w:rsidR="00C318CE" w:rsidRDefault="00F427BC">
            <w:pPr>
              <w:jc w:val="center"/>
            </w:pPr>
            <w:r>
              <w:rPr>
                <w:b/>
                <w:bCs/>
                <w:color w:val="000000"/>
                <w:sz w:val="18"/>
                <w:szCs w:val="18"/>
              </w:rPr>
              <w:t>4-Star Hotels</w:t>
            </w:r>
          </w:p>
        </w:tc>
        <w:tc>
          <w:tcPr>
            <w:tcW w:w="1150" w:type="pct"/>
            <w:tcMar>
              <w:top w:w="100" w:type="dxa"/>
              <w:left w:w="100" w:type="dxa"/>
              <w:bottom w:w="100" w:type="dxa"/>
              <w:right w:w="100" w:type="dxa"/>
            </w:tcMar>
            <w:vAlign w:val="center"/>
          </w:tcPr>
          <w:p w14:paraId="47B6BB45" w14:textId="77777777" w:rsidR="00C318CE" w:rsidRDefault="00F427BC">
            <w:pPr>
              <w:jc w:val="center"/>
            </w:pPr>
            <w:r>
              <w:rPr>
                <w:b/>
                <w:bCs/>
                <w:color w:val="000000"/>
                <w:sz w:val="18"/>
                <w:szCs w:val="18"/>
              </w:rPr>
              <w:t>5-Star Hotels</w:t>
            </w:r>
          </w:p>
        </w:tc>
      </w:tr>
      <w:tr w:rsidR="00C318CE" w14:paraId="09FD2764" w14:textId="77777777">
        <w:tblPrEx>
          <w:tblCellMar>
            <w:top w:w="0" w:type="dxa"/>
            <w:bottom w:w="0" w:type="dxa"/>
          </w:tblCellMar>
        </w:tblPrEx>
        <w:tc>
          <w:tcPr>
            <w:tcW w:w="1500" w:type="pct"/>
            <w:tcMar>
              <w:top w:w="80" w:type="dxa"/>
              <w:left w:w="100" w:type="dxa"/>
              <w:bottom w:w="80" w:type="dxa"/>
              <w:right w:w="100" w:type="dxa"/>
            </w:tcMar>
            <w:vAlign w:val="center"/>
          </w:tcPr>
          <w:p w14:paraId="1FCAF2E1" w14:textId="77777777" w:rsidR="00C318CE" w:rsidRDefault="00F427BC">
            <w:pPr>
              <w:jc w:val="center"/>
            </w:pPr>
            <w:r>
              <w:rPr>
                <w:color w:val="000000"/>
                <w:sz w:val="18"/>
                <w:szCs w:val="18"/>
              </w:rPr>
              <w:t>2 PAX</w:t>
            </w:r>
          </w:p>
        </w:tc>
        <w:tc>
          <w:tcPr>
            <w:tcW w:w="1150" w:type="pct"/>
            <w:tcMar>
              <w:top w:w="80" w:type="dxa"/>
              <w:left w:w="100" w:type="dxa"/>
              <w:bottom w:w="80" w:type="dxa"/>
              <w:right w:w="100" w:type="dxa"/>
            </w:tcMar>
            <w:vAlign w:val="center"/>
          </w:tcPr>
          <w:p w14:paraId="47D452E4" w14:textId="77777777" w:rsidR="00C318CE" w:rsidRDefault="00F427BC">
            <w:pPr>
              <w:jc w:val="center"/>
            </w:pPr>
            <w:r>
              <w:rPr>
                <w:b/>
                <w:bCs/>
                <w:color w:val="000000"/>
                <w:sz w:val="18"/>
                <w:szCs w:val="18"/>
              </w:rPr>
              <w:t>€995</w:t>
            </w:r>
          </w:p>
        </w:tc>
        <w:tc>
          <w:tcPr>
            <w:tcW w:w="1150" w:type="pct"/>
            <w:tcMar>
              <w:top w:w="80" w:type="dxa"/>
              <w:left w:w="100" w:type="dxa"/>
              <w:bottom w:w="80" w:type="dxa"/>
              <w:right w:w="100" w:type="dxa"/>
            </w:tcMar>
            <w:vAlign w:val="center"/>
          </w:tcPr>
          <w:p w14:paraId="377CD4AA" w14:textId="77777777" w:rsidR="00C318CE" w:rsidRDefault="00F427BC">
            <w:pPr>
              <w:jc w:val="center"/>
            </w:pPr>
            <w:r>
              <w:rPr>
                <w:b/>
                <w:bCs/>
                <w:color w:val="000000"/>
                <w:sz w:val="18"/>
                <w:szCs w:val="18"/>
              </w:rPr>
              <w:t>€1111</w:t>
            </w:r>
          </w:p>
        </w:tc>
        <w:tc>
          <w:tcPr>
            <w:tcW w:w="1150" w:type="pct"/>
            <w:tcMar>
              <w:top w:w="80" w:type="dxa"/>
              <w:left w:w="100" w:type="dxa"/>
              <w:bottom w:w="80" w:type="dxa"/>
              <w:right w:w="100" w:type="dxa"/>
            </w:tcMar>
            <w:vAlign w:val="center"/>
          </w:tcPr>
          <w:p w14:paraId="4AF73D72" w14:textId="77777777" w:rsidR="00C318CE" w:rsidRDefault="00F427BC">
            <w:pPr>
              <w:jc w:val="center"/>
            </w:pPr>
            <w:r>
              <w:rPr>
                <w:b/>
                <w:bCs/>
                <w:color w:val="000000"/>
                <w:sz w:val="18"/>
                <w:szCs w:val="18"/>
              </w:rPr>
              <w:t>€1267</w:t>
            </w:r>
          </w:p>
        </w:tc>
      </w:tr>
      <w:tr w:rsidR="00C318CE" w14:paraId="1859F049" w14:textId="77777777">
        <w:tblPrEx>
          <w:tblCellMar>
            <w:top w:w="0" w:type="dxa"/>
            <w:bottom w:w="0" w:type="dxa"/>
          </w:tblCellMar>
        </w:tblPrEx>
        <w:tc>
          <w:tcPr>
            <w:tcW w:w="1500" w:type="pct"/>
            <w:tcMar>
              <w:top w:w="80" w:type="dxa"/>
              <w:left w:w="100" w:type="dxa"/>
              <w:bottom w:w="80" w:type="dxa"/>
              <w:right w:w="100" w:type="dxa"/>
            </w:tcMar>
            <w:vAlign w:val="center"/>
          </w:tcPr>
          <w:p w14:paraId="4FDCED29" w14:textId="77777777" w:rsidR="00C318CE" w:rsidRDefault="00F427BC">
            <w:pPr>
              <w:jc w:val="center"/>
            </w:pPr>
            <w:r>
              <w:rPr>
                <w:color w:val="000000"/>
                <w:sz w:val="18"/>
                <w:szCs w:val="18"/>
              </w:rPr>
              <w:t>4 PAX</w:t>
            </w:r>
          </w:p>
        </w:tc>
        <w:tc>
          <w:tcPr>
            <w:tcW w:w="1150" w:type="pct"/>
            <w:tcMar>
              <w:top w:w="80" w:type="dxa"/>
              <w:left w:w="100" w:type="dxa"/>
              <w:bottom w:w="80" w:type="dxa"/>
              <w:right w:w="100" w:type="dxa"/>
            </w:tcMar>
            <w:vAlign w:val="center"/>
          </w:tcPr>
          <w:p w14:paraId="698322D2" w14:textId="77777777" w:rsidR="00C318CE" w:rsidRDefault="00F427BC">
            <w:pPr>
              <w:jc w:val="center"/>
            </w:pPr>
            <w:r>
              <w:rPr>
                <w:b/>
                <w:bCs/>
                <w:color w:val="000000"/>
                <w:sz w:val="18"/>
                <w:szCs w:val="18"/>
              </w:rPr>
              <w:t>€889</w:t>
            </w:r>
          </w:p>
        </w:tc>
        <w:tc>
          <w:tcPr>
            <w:tcW w:w="1150" w:type="pct"/>
            <w:tcMar>
              <w:top w:w="80" w:type="dxa"/>
              <w:left w:w="100" w:type="dxa"/>
              <w:bottom w:w="80" w:type="dxa"/>
              <w:right w:w="100" w:type="dxa"/>
            </w:tcMar>
            <w:vAlign w:val="center"/>
          </w:tcPr>
          <w:p w14:paraId="66DBC5D4" w14:textId="77777777" w:rsidR="00C318CE" w:rsidRDefault="00F427BC">
            <w:pPr>
              <w:jc w:val="center"/>
            </w:pPr>
            <w:r>
              <w:rPr>
                <w:b/>
                <w:bCs/>
                <w:color w:val="000000"/>
                <w:sz w:val="18"/>
                <w:szCs w:val="18"/>
              </w:rPr>
              <w:t>€1005</w:t>
            </w:r>
          </w:p>
        </w:tc>
        <w:tc>
          <w:tcPr>
            <w:tcW w:w="1150" w:type="pct"/>
            <w:tcMar>
              <w:top w:w="80" w:type="dxa"/>
              <w:left w:w="100" w:type="dxa"/>
              <w:bottom w:w="80" w:type="dxa"/>
              <w:right w:w="100" w:type="dxa"/>
            </w:tcMar>
            <w:vAlign w:val="center"/>
          </w:tcPr>
          <w:p w14:paraId="1841334E" w14:textId="77777777" w:rsidR="00C318CE" w:rsidRDefault="00F427BC">
            <w:pPr>
              <w:jc w:val="center"/>
            </w:pPr>
            <w:r>
              <w:rPr>
                <w:b/>
                <w:bCs/>
                <w:color w:val="000000"/>
                <w:sz w:val="18"/>
                <w:szCs w:val="18"/>
              </w:rPr>
              <w:t>€1161</w:t>
            </w:r>
          </w:p>
        </w:tc>
      </w:tr>
      <w:tr w:rsidR="00C318CE" w14:paraId="7F942BBC" w14:textId="77777777">
        <w:tblPrEx>
          <w:tblCellMar>
            <w:top w:w="0" w:type="dxa"/>
            <w:bottom w:w="0" w:type="dxa"/>
          </w:tblCellMar>
        </w:tblPrEx>
        <w:tc>
          <w:tcPr>
            <w:tcW w:w="1500" w:type="pct"/>
            <w:tcMar>
              <w:top w:w="80" w:type="dxa"/>
              <w:left w:w="100" w:type="dxa"/>
              <w:bottom w:w="80" w:type="dxa"/>
              <w:right w:w="100" w:type="dxa"/>
            </w:tcMar>
            <w:vAlign w:val="center"/>
          </w:tcPr>
          <w:p w14:paraId="4D63D5CB" w14:textId="77777777" w:rsidR="00C318CE" w:rsidRDefault="00F427BC">
            <w:pPr>
              <w:jc w:val="center"/>
            </w:pPr>
            <w:r>
              <w:rPr>
                <w:color w:val="000000"/>
                <w:sz w:val="18"/>
                <w:szCs w:val="18"/>
              </w:rPr>
              <w:t>6 PAX</w:t>
            </w:r>
          </w:p>
        </w:tc>
        <w:tc>
          <w:tcPr>
            <w:tcW w:w="1150" w:type="pct"/>
            <w:tcMar>
              <w:top w:w="80" w:type="dxa"/>
              <w:left w:w="100" w:type="dxa"/>
              <w:bottom w:w="80" w:type="dxa"/>
              <w:right w:w="100" w:type="dxa"/>
            </w:tcMar>
            <w:vAlign w:val="center"/>
          </w:tcPr>
          <w:p w14:paraId="0A0DAC35" w14:textId="77777777" w:rsidR="00C318CE" w:rsidRDefault="00F427BC">
            <w:pPr>
              <w:jc w:val="center"/>
            </w:pPr>
            <w:r>
              <w:rPr>
                <w:b/>
                <w:bCs/>
                <w:color w:val="000000"/>
                <w:sz w:val="18"/>
                <w:szCs w:val="18"/>
              </w:rPr>
              <w:t>€853</w:t>
            </w:r>
          </w:p>
        </w:tc>
        <w:tc>
          <w:tcPr>
            <w:tcW w:w="1150" w:type="pct"/>
            <w:tcMar>
              <w:top w:w="80" w:type="dxa"/>
              <w:left w:w="100" w:type="dxa"/>
              <w:bottom w:w="80" w:type="dxa"/>
              <w:right w:w="100" w:type="dxa"/>
            </w:tcMar>
            <w:vAlign w:val="center"/>
          </w:tcPr>
          <w:p w14:paraId="49943077" w14:textId="77777777" w:rsidR="00C318CE" w:rsidRDefault="00F427BC">
            <w:pPr>
              <w:jc w:val="center"/>
            </w:pPr>
            <w:r>
              <w:rPr>
                <w:b/>
                <w:bCs/>
                <w:color w:val="000000"/>
                <w:sz w:val="18"/>
                <w:szCs w:val="18"/>
              </w:rPr>
              <w:t>€970</w:t>
            </w:r>
          </w:p>
        </w:tc>
        <w:tc>
          <w:tcPr>
            <w:tcW w:w="1150" w:type="pct"/>
            <w:tcMar>
              <w:top w:w="80" w:type="dxa"/>
              <w:left w:w="100" w:type="dxa"/>
              <w:bottom w:w="80" w:type="dxa"/>
              <w:right w:w="100" w:type="dxa"/>
            </w:tcMar>
            <w:vAlign w:val="center"/>
          </w:tcPr>
          <w:p w14:paraId="55141C72" w14:textId="77777777" w:rsidR="00C318CE" w:rsidRDefault="00F427BC">
            <w:pPr>
              <w:jc w:val="center"/>
            </w:pPr>
            <w:r>
              <w:rPr>
                <w:b/>
                <w:bCs/>
                <w:color w:val="000000"/>
                <w:sz w:val="18"/>
                <w:szCs w:val="18"/>
              </w:rPr>
              <w:t>€1126</w:t>
            </w:r>
          </w:p>
        </w:tc>
      </w:tr>
      <w:tr w:rsidR="00C318CE" w14:paraId="716B75E4" w14:textId="77777777">
        <w:tblPrEx>
          <w:tblCellMar>
            <w:top w:w="0" w:type="dxa"/>
            <w:bottom w:w="0" w:type="dxa"/>
          </w:tblCellMar>
        </w:tblPrEx>
        <w:tc>
          <w:tcPr>
            <w:tcW w:w="1500" w:type="pct"/>
            <w:tcMar>
              <w:top w:w="80" w:type="dxa"/>
              <w:left w:w="100" w:type="dxa"/>
              <w:bottom w:w="80" w:type="dxa"/>
              <w:right w:w="100" w:type="dxa"/>
            </w:tcMar>
            <w:vAlign w:val="center"/>
          </w:tcPr>
          <w:p w14:paraId="725EC1D5" w14:textId="77777777" w:rsidR="00C318CE" w:rsidRDefault="00F427BC">
            <w:pPr>
              <w:jc w:val="center"/>
            </w:pPr>
            <w:r>
              <w:rPr>
                <w:color w:val="000000"/>
                <w:sz w:val="18"/>
                <w:szCs w:val="18"/>
              </w:rPr>
              <w:t>8 PAX</w:t>
            </w:r>
          </w:p>
        </w:tc>
        <w:tc>
          <w:tcPr>
            <w:tcW w:w="1150" w:type="pct"/>
            <w:tcMar>
              <w:top w:w="80" w:type="dxa"/>
              <w:left w:w="100" w:type="dxa"/>
              <w:bottom w:w="80" w:type="dxa"/>
              <w:right w:w="100" w:type="dxa"/>
            </w:tcMar>
            <w:vAlign w:val="center"/>
          </w:tcPr>
          <w:p w14:paraId="383EF001" w14:textId="77777777" w:rsidR="00C318CE" w:rsidRDefault="00F427BC">
            <w:pPr>
              <w:jc w:val="center"/>
            </w:pPr>
            <w:r>
              <w:rPr>
                <w:b/>
                <w:bCs/>
                <w:color w:val="000000"/>
                <w:sz w:val="18"/>
                <w:szCs w:val="18"/>
              </w:rPr>
              <w:t>€836</w:t>
            </w:r>
          </w:p>
        </w:tc>
        <w:tc>
          <w:tcPr>
            <w:tcW w:w="1150" w:type="pct"/>
            <w:tcMar>
              <w:top w:w="80" w:type="dxa"/>
              <w:left w:w="100" w:type="dxa"/>
              <w:bottom w:w="80" w:type="dxa"/>
              <w:right w:w="100" w:type="dxa"/>
            </w:tcMar>
            <w:vAlign w:val="center"/>
          </w:tcPr>
          <w:p w14:paraId="618A384B" w14:textId="77777777" w:rsidR="00C318CE" w:rsidRDefault="00F427BC">
            <w:pPr>
              <w:jc w:val="center"/>
            </w:pPr>
            <w:r>
              <w:rPr>
                <w:b/>
                <w:bCs/>
                <w:color w:val="000000"/>
                <w:sz w:val="18"/>
                <w:szCs w:val="18"/>
              </w:rPr>
              <w:t>€952</w:t>
            </w:r>
          </w:p>
        </w:tc>
        <w:tc>
          <w:tcPr>
            <w:tcW w:w="1150" w:type="pct"/>
            <w:tcMar>
              <w:top w:w="80" w:type="dxa"/>
              <w:left w:w="100" w:type="dxa"/>
              <w:bottom w:w="80" w:type="dxa"/>
              <w:right w:w="100" w:type="dxa"/>
            </w:tcMar>
            <w:vAlign w:val="center"/>
          </w:tcPr>
          <w:p w14:paraId="0E9E7E99" w14:textId="77777777" w:rsidR="00C318CE" w:rsidRDefault="00F427BC">
            <w:pPr>
              <w:jc w:val="center"/>
            </w:pPr>
            <w:r>
              <w:rPr>
                <w:b/>
                <w:bCs/>
                <w:color w:val="000000"/>
                <w:sz w:val="18"/>
                <w:szCs w:val="18"/>
              </w:rPr>
              <w:t>€1108</w:t>
            </w:r>
          </w:p>
        </w:tc>
      </w:tr>
      <w:tr w:rsidR="00C318CE" w14:paraId="17C3215F" w14:textId="77777777">
        <w:tblPrEx>
          <w:tblCellMar>
            <w:top w:w="0" w:type="dxa"/>
            <w:bottom w:w="0" w:type="dxa"/>
          </w:tblCellMar>
        </w:tblPrEx>
        <w:tc>
          <w:tcPr>
            <w:tcW w:w="1500" w:type="pct"/>
            <w:tcMar>
              <w:top w:w="80" w:type="dxa"/>
              <w:left w:w="100" w:type="dxa"/>
              <w:bottom w:w="80" w:type="dxa"/>
              <w:right w:w="100" w:type="dxa"/>
            </w:tcMar>
            <w:vAlign w:val="center"/>
          </w:tcPr>
          <w:p w14:paraId="4296A284" w14:textId="77777777" w:rsidR="00C318CE" w:rsidRDefault="00F427BC">
            <w:pPr>
              <w:jc w:val="center"/>
            </w:pPr>
            <w:r>
              <w:rPr>
                <w:color w:val="000000"/>
                <w:sz w:val="18"/>
                <w:szCs w:val="18"/>
              </w:rPr>
              <w:t>10 PAX</w:t>
            </w:r>
          </w:p>
        </w:tc>
        <w:tc>
          <w:tcPr>
            <w:tcW w:w="1150" w:type="pct"/>
            <w:tcMar>
              <w:top w:w="80" w:type="dxa"/>
              <w:left w:w="100" w:type="dxa"/>
              <w:bottom w:w="80" w:type="dxa"/>
              <w:right w:w="100" w:type="dxa"/>
            </w:tcMar>
            <w:vAlign w:val="center"/>
          </w:tcPr>
          <w:p w14:paraId="27E57101" w14:textId="77777777" w:rsidR="00C318CE" w:rsidRDefault="00F427BC">
            <w:pPr>
              <w:jc w:val="center"/>
            </w:pPr>
            <w:r>
              <w:rPr>
                <w:b/>
                <w:bCs/>
                <w:color w:val="000000"/>
                <w:sz w:val="18"/>
                <w:szCs w:val="18"/>
              </w:rPr>
              <w:t>€825</w:t>
            </w:r>
          </w:p>
        </w:tc>
        <w:tc>
          <w:tcPr>
            <w:tcW w:w="1150" w:type="pct"/>
            <w:tcMar>
              <w:top w:w="80" w:type="dxa"/>
              <w:left w:w="100" w:type="dxa"/>
              <w:bottom w:w="80" w:type="dxa"/>
              <w:right w:w="100" w:type="dxa"/>
            </w:tcMar>
            <w:vAlign w:val="center"/>
          </w:tcPr>
          <w:p w14:paraId="282CFF0B" w14:textId="77777777" w:rsidR="00C318CE" w:rsidRDefault="00F427BC">
            <w:pPr>
              <w:jc w:val="center"/>
            </w:pPr>
            <w:r>
              <w:rPr>
                <w:b/>
                <w:bCs/>
                <w:color w:val="000000"/>
                <w:sz w:val="18"/>
                <w:szCs w:val="18"/>
              </w:rPr>
              <w:t>€941</w:t>
            </w:r>
          </w:p>
        </w:tc>
        <w:tc>
          <w:tcPr>
            <w:tcW w:w="1150" w:type="pct"/>
            <w:tcMar>
              <w:top w:w="80" w:type="dxa"/>
              <w:left w:w="100" w:type="dxa"/>
              <w:bottom w:w="80" w:type="dxa"/>
              <w:right w:w="100" w:type="dxa"/>
            </w:tcMar>
            <w:vAlign w:val="center"/>
          </w:tcPr>
          <w:p w14:paraId="61410E01" w14:textId="77777777" w:rsidR="00C318CE" w:rsidRDefault="00F427BC">
            <w:pPr>
              <w:jc w:val="center"/>
            </w:pPr>
            <w:r>
              <w:rPr>
                <w:b/>
                <w:bCs/>
                <w:color w:val="000000"/>
                <w:sz w:val="18"/>
                <w:szCs w:val="18"/>
              </w:rPr>
              <w:t>€1097</w:t>
            </w:r>
          </w:p>
        </w:tc>
      </w:tr>
    </w:tbl>
    <w:p w14:paraId="33E3E74B" w14:textId="77777777" w:rsidR="00C318CE" w:rsidRDefault="00F427BC">
      <w:pPr>
        <w:spacing w:before="100" w:after="40"/>
      </w:pPr>
      <w:r>
        <w:rPr>
          <w:i/>
          <w:iCs/>
          <w:color w:val="6B7280"/>
          <w:sz w:val="18"/>
          <w:szCs w:val="18"/>
        </w:rPr>
        <w:t>* Prices are per person in Euro and may vary based on season and availability</w:t>
      </w:r>
    </w:p>
    <w:p w14:paraId="492D0169" w14:textId="77777777" w:rsidR="00C318CE" w:rsidRDefault="00F427BC">
      <w:pPr>
        <w:spacing w:after="40"/>
      </w:pPr>
      <w:r>
        <w:rPr>
          <w:i/>
          <w:iCs/>
          <w:color w:val="6B7280"/>
          <w:sz w:val="18"/>
          <w:szCs w:val="18"/>
        </w:rPr>
        <w:t>* Prices are valid from 01/11/2025 to 14/03/2026</w:t>
      </w:r>
    </w:p>
    <w:p w14:paraId="5E9BF8D4" w14:textId="77777777" w:rsidR="00C318CE" w:rsidRDefault="00F427BC">
      <w:pPr>
        <w:spacing w:after="80"/>
      </w:pPr>
      <w:r>
        <w:rPr>
          <w:i/>
          <w:iCs/>
          <w:color w:val="6B7280"/>
          <w:sz w:val="18"/>
          <w:szCs w:val="18"/>
        </w:rPr>
        <w:t>* Hotel category will be confirmed at time of booking</w:t>
      </w:r>
    </w:p>
    <w:p w14:paraId="20A5B522" w14:textId="77777777" w:rsidR="00C318CE" w:rsidRDefault="00F427BC">
      <w:pPr>
        <w:pStyle w:val="Heading1"/>
        <w:pBdr>
          <w:bottom w:val="single" w:sz="8" w:space="1" w:color="4F46E5"/>
        </w:pBdr>
        <w:spacing w:before="300" w:after="140"/>
      </w:pPr>
      <w:r>
        <w:rPr>
          <w:b/>
          <w:bCs/>
          <w:color w:val="312E81"/>
          <w:sz w:val="28"/>
          <w:szCs w:val="28"/>
        </w:rPr>
        <w:t>IMPORTANT INFORMATION</w:t>
      </w:r>
    </w:p>
    <w:p w14:paraId="1022A435" w14:textId="77777777" w:rsidR="00C318CE" w:rsidRDefault="00F427BC">
      <w:pPr>
        <w:pStyle w:val="ListParagraph"/>
        <w:numPr>
          <w:ilvl w:val="0"/>
          <w:numId w:val="1"/>
        </w:numPr>
        <w:spacing w:line="280" w:lineRule="auto"/>
      </w:pPr>
      <w:r>
        <w:t>Official Holidays and Religious Festivals: Grand Bazaar and Spice Market will be closed.</w:t>
      </w:r>
    </w:p>
    <w:p w14:paraId="1C024A57" w14:textId="77777777" w:rsidR="00C318CE" w:rsidRDefault="00F427BC">
      <w:pPr>
        <w:pStyle w:val="ListParagraph"/>
        <w:numPr>
          <w:ilvl w:val="0"/>
          <w:numId w:val="1"/>
        </w:numPr>
        <w:spacing w:line="280" w:lineRule="auto"/>
      </w:pPr>
      <w:r>
        <w:t>Grand Bazaar is closed on Sundays</w:t>
      </w:r>
    </w:p>
    <w:p w14:paraId="1EEAB137" w14:textId="77777777" w:rsidR="00C318CE" w:rsidRDefault="00F427BC">
      <w:pPr>
        <w:pStyle w:val="ListParagraph"/>
        <w:numPr>
          <w:ilvl w:val="0"/>
          <w:numId w:val="1"/>
        </w:numPr>
        <w:spacing w:line="280" w:lineRule="auto"/>
      </w:pPr>
      <w:r>
        <w:t>Please be ready on lobby floor minimum 5 minutes prior to pick up time for the tours and transfers.</w:t>
      </w:r>
    </w:p>
    <w:sectPr w:rsidR="00C318CE">
      <w:headerReference w:type="default" r:id="rId7"/>
      <w:footerReference w:type="default" r:id="rId8"/>
      <w:pgSz w:w="11906" w:h="16838"/>
      <w:pgMar w:top="720" w:right="720" w:bottom="90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26A0" w14:textId="77777777" w:rsidR="00F427BC" w:rsidRDefault="00F427BC">
      <w:r>
        <w:separator/>
      </w:r>
    </w:p>
  </w:endnote>
  <w:endnote w:type="continuationSeparator" w:id="0">
    <w:p w14:paraId="28837DCD" w14:textId="77777777" w:rsidR="00F427BC" w:rsidRDefault="00F4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FEC38" w14:textId="77777777" w:rsidR="00C318CE" w:rsidRDefault="00F427BC">
    <w:pPr>
      <w:pBdr>
        <w:top w:val="single" w:sz="6" w:space="1" w:color="4F46E5"/>
      </w:pBdr>
      <w:spacing w:before="200"/>
      <w:jc w:val="center"/>
    </w:pPr>
    <w:r>
      <w:rPr>
        <w:b/>
        <w:bCs/>
        <w:color w:val="1F2937"/>
        <w:sz w:val="18"/>
        <w:szCs w:val="18"/>
      </w:rPr>
      <w:t>Funny Tourism</w:t>
    </w:r>
  </w:p>
  <w:p w14:paraId="3685EF52" w14:textId="77777777" w:rsidR="00C318CE" w:rsidRDefault="00F427BC">
    <w:pPr>
      <w:spacing w:after="40"/>
      <w:jc w:val="center"/>
    </w:pPr>
    <w:r>
      <w:rPr>
        <w:color w:val="6B7280"/>
        <w:sz w:val="16"/>
        <w:szCs w:val="16"/>
      </w:rPr>
      <w:t xml:space="preserve">Mehmet Akif Ersoy Mah. Hanımeli Sok No 5/B, </w:t>
    </w:r>
    <w:proofErr w:type="gramStart"/>
    <w:r>
      <w:rPr>
        <w:color w:val="6B7280"/>
        <w:sz w:val="16"/>
        <w:szCs w:val="16"/>
      </w:rPr>
      <w:t>Uskudar -</w:t>
    </w:r>
    <w:proofErr w:type="gramEnd"/>
    <w:r>
      <w:rPr>
        <w:color w:val="6B7280"/>
        <w:sz w:val="16"/>
        <w:szCs w:val="16"/>
      </w:rPr>
      <w:t xml:space="preserve"> Istanbul</w:t>
    </w:r>
  </w:p>
  <w:p w14:paraId="4B3AE17F" w14:textId="77777777" w:rsidR="00C318CE" w:rsidRDefault="00F427BC">
    <w:pPr>
      <w:jc w:val="center"/>
    </w:pPr>
    <w:r>
      <w:rPr>
        <w:color w:val="4F46E5"/>
        <w:sz w:val="16"/>
        <w:szCs w:val="16"/>
      </w:rPr>
      <w:t>www.funnytourism.com</w:t>
    </w:r>
    <w:r>
      <w:rPr>
        <w:color w:val="6B7280"/>
        <w:sz w:val="16"/>
        <w:szCs w:val="16"/>
      </w:rPr>
      <w:t xml:space="preserve"> | </w:t>
    </w:r>
    <w:r>
      <w:rPr>
        <w:color w:val="4F46E5"/>
        <w:sz w:val="16"/>
        <w:szCs w:val="16"/>
      </w:rPr>
      <w:t>info@funnytourism.com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90EE7" w14:textId="77777777" w:rsidR="00F427BC" w:rsidRDefault="00F427BC">
      <w:r>
        <w:separator/>
      </w:r>
    </w:p>
  </w:footnote>
  <w:footnote w:type="continuationSeparator" w:id="0">
    <w:p w14:paraId="6D0D3923" w14:textId="77777777" w:rsidR="00F427BC" w:rsidRDefault="00F42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8B737" w14:textId="77777777" w:rsidR="00C318CE" w:rsidRDefault="00F427BC">
    <w:pPr>
      <w:spacing w:after="120"/>
      <w:jc w:val="center"/>
    </w:pPr>
    <w:r>
      <w:rPr>
        <w:noProof/>
      </w:rPr>
      <w:drawing>
        <wp:inline distT="0" distB="0" distL="0" distR="0" wp14:anchorId="0FA47B91" wp14:editId="34253115">
          <wp:extent cx="26860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6DE2"/>
    <w:multiLevelType w:val="hybridMultilevel"/>
    <w:tmpl w:val="85C20AA4"/>
    <w:lvl w:ilvl="0" w:tplc="AF18D448">
      <w:start w:val="1"/>
      <w:numFmt w:val="bullet"/>
      <w:lvlText w:val="●"/>
      <w:lvlJc w:val="left"/>
      <w:pPr>
        <w:ind w:left="720" w:hanging="360"/>
      </w:pPr>
    </w:lvl>
    <w:lvl w:ilvl="1" w:tplc="54C218E0">
      <w:start w:val="1"/>
      <w:numFmt w:val="bullet"/>
      <w:lvlText w:val="○"/>
      <w:lvlJc w:val="left"/>
      <w:pPr>
        <w:ind w:left="1440" w:hanging="360"/>
      </w:pPr>
    </w:lvl>
    <w:lvl w:ilvl="2" w:tplc="AEB6FD64">
      <w:start w:val="1"/>
      <w:numFmt w:val="bullet"/>
      <w:lvlText w:val="■"/>
      <w:lvlJc w:val="left"/>
      <w:pPr>
        <w:ind w:left="2160" w:hanging="360"/>
      </w:pPr>
    </w:lvl>
    <w:lvl w:ilvl="3" w:tplc="9C3C4E3E">
      <w:start w:val="1"/>
      <w:numFmt w:val="bullet"/>
      <w:lvlText w:val="●"/>
      <w:lvlJc w:val="left"/>
      <w:pPr>
        <w:ind w:left="2880" w:hanging="360"/>
      </w:pPr>
    </w:lvl>
    <w:lvl w:ilvl="4" w:tplc="FE92E3E0">
      <w:start w:val="1"/>
      <w:numFmt w:val="bullet"/>
      <w:lvlText w:val="○"/>
      <w:lvlJc w:val="left"/>
      <w:pPr>
        <w:ind w:left="3600" w:hanging="360"/>
      </w:pPr>
    </w:lvl>
    <w:lvl w:ilvl="5" w:tplc="99FCCB34">
      <w:start w:val="1"/>
      <w:numFmt w:val="bullet"/>
      <w:lvlText w:val="■"/>
      <w:lvlJc w:val="left"/>
      <w:pPr>
        <w:ind w:left="4320" w:hanging="360"/>
      </w:pPr>
    </w:lvl>
    <w:lvl w:ilvl="6" w:tplc="0666DA5C">
      <w:start w:val="1"/>
      <w:numFmt w:val="bullet"/>
      <w:lvlText w:val="●"/>
      <w:lvlJc w:val="left"/>
      <w:pPr>
        <w:ind w:left="5040" w:hanging="360"/>
      </w:pPr>
    </w:lvl>
    <w:lvl w:ilvl="7" w:tplc="95569AE4">
      <w:start w:val="1"/>
      <w:numFmt w:val="bullet"/>
      <w:lvlText w:val="●"/>
      <w:lvlJc w:val="left"/>
      <w:pPr>
        <w:ind w:left="5760" w:hanging="360"/>
      </w:pPr>
    </w:lvl>
    <w:lvl w:ilvl="8" w:tplc="B9B85A08">
      <w:start w:val="1"/>
      <w:numFmt w:val="bullet"/>
      <w:lvlText w:val="●"/>
      <w:lvlJc w:val="left"/>
      <w:pPr>
        <w:ind w:left="6480" w:hanging="360"/>
      </w:pPr>
    </w:lvl>
  </w:abstractNum>
  <w:num w:numId="1" w16cid:durableId="2979276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8CE"/>
    <w:rsid w:val="00B17822"/>
    <w:rsid w:val="00C318CE"/>
    <w:rsid w:val="00F427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4269"/>
  <w15:docId w15:val="{D64E4246-1E4E-448C-B790-B8B2A380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Diler Tunalı</cp:lastModifiedBy>
  <cp:revision>2</cp:revision>
  <dcterms:created xsi:type="dcterms:W3CDTF">2025-10-13T11:57:00Z</dcterms:created>
  <dcterms:modified xsi:type="dcterms:W3CDTF">2025-10-14T06:18:00Z</dcterms:modified>
</cp:coreProperties>
</file>