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 Journey</w:t>
      </w:r>
    </w:p>
    <w:p>
      <w:pPr>
        <w:spacing w:after="160" w:before="120"/>
        <w:jc w:val="center"/>
      </w:pPr>
      <w:r>
        <w:rPr>
          <w:b/>
          <w:bCs/>
          <w:color w:val="4F46E5"/>
          <w:sz w:val="28"/>
          <w:szCs w:val="28"/>
        </w:rPr>
        <w:t xml:space="preserve">Istanbul, Cappadocia, Antalya Exploration</w:t>
      </w:r>
    </w:p>
    <w:p>
      <w:pPr>
        <w:spacing w:after="240"/>
        <w:jc w:val="center"/>
      </w:pPr>
      <w:r>
        <w:rPr>
          <w:i/>
          <w:iCs/>
          <w:color w:val="6B7280"/>
          <w:sz w:val="24"/>
          <w:szCs w:val="24"/>
        </w:rPr>
        <w:t xml:space="preserve">7 Nights / 8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arrival at Istanbul Airport, you will be privately transferred to your hotel, offering a tantalizing first glimpse of the city's vibrant atmosphere. Later in the evening, immerse yourself in an unforgettable experience as you embark on the Bosphorus Cruise Dinner. Sailing along this historic waterway, you'll pass under iconic bridges and admire the illuminated palaces, mansions, and fortresses lining its shores. As night falls, indulge in a sumptuous Turkish feast onboard, accompanied by enchanting music and dance performances, setting the stage for an extraordinary start to your Turkish adventure.</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captivating history of Istanbul with our Full Day Classic Istanbul Old City Tour. The day begins at the awe-inspiring Hagia Sophia, where you'll marvel at the Byzantine and Ottoman architecture that gracefully intertwines within its grand walls. Next, step into the iconic Blue Mosque, adorned with thousands of handmade blue Iznik tiles that create an ethereal atmosphere.</w:t>
      </w:r>
    </w:p>
    <w:p>
      <w:pPr>
        <w:spacing w:after="0" w:line="340"/>
        <w:jc w:val="both"/>
      </w:pPr>
      <w:r>
        <w:rPr>
          <w:sz w:val="20"/>
          <w:szCs w:val="20"/>
        </w:rPr>
        <w:t xml:space="preserve">Following a brief lunch break, continue to Topkapi Palace, the opulent residence of the Ottoman sultans for over 400 years. Wander through its ornate courtyards and halls, catching glimpses of treasures like the Emerald Crown and the Topkapi Dagger.</w:t>
      </w:r>
    </w:p>
    <w:p>
      <w:pPr>
        <w:spacing w:after="0" w:line="340"/>
        <w:jc w:val="both"/>
      </w:pPr>
      <w:r>
        <w:rPr>
          <w:sz w:val="20"/>
          <w:szCs w:val="20"/>
        </w:rPr>
        <w:t xml:space="preserve">End your day at the bustling Grand Bazaar, one of the oldest and largest markets in the world. Haggle for souvenirs, sample traditional Turkish delights, and experience the vibrant energy that has drawn traders from far and wide for centuries. Return to your hotel after a day filled with enchanting sights and unforgettable experiences.</w:t>
      </w:r>
    </w:p>
    <w:p>
      <w:pPr>
        <w:pStyle w:val="Heading2"/>
        <w:tabs>
          <w:tab w:val="right" w:pos="9026"/>
        </w:tabs>
        <w:spacing w:before="200" w:after="120"/>
      </w:pPr>
      <w:r>
        <w:rPr>
          <w:b/>
          <w:bCs/>
          <w:color w:val="1F2937"/>
          <w:sz w:val="26"/>
          <w:szCs w:val="26"/>
        </w:rPr>
        <w:t xml:space="preserve">Day 3 -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savouring your hotel's breakfast, prepare for an exhilarating journey as you transfer to Istanbul Airport. As the city fades behind you, embark on a flight that promises breathtaking views of Turkey's diverse landscapes. Upon arrival in Cappadocia, feel the magical atmosphere envelop you as you are transferred to your hotel. In the heartland of fairy chimneys and hot air balloons, your adventure is just beginning." "Free time allows you to explore at your own pace, immersing yourself in the unique charm of Cappadocia. Wander through winding streets lined with traditional stone houses or visit local shops offering intricate pottery and handwoven carpets. Restore your energy with a delightful Turkish meal before retiring to your cosy hotel for the evening." "On this city change day, you'll find yourself embracing a new landscape as you depart Cappadocia. The journey continues with a flight that will leave you eagerly anticipating the experiences awaiting you in your next destination." Alternative Description: "After filling up on a scrumptious breakfast at your hotel, bid farewell to Cappadocia and embark on a flight that heralds the beginning of a new chapter. Upon landing in Istanbul, you'll be transferred to your accommodation in Turkey's historic heart. The rest of the day is yours to explore this vibrant city at your leisure." "Delve into the rich history and culture that surrounds you as you stroll through the bustling streets or unwind in one of Istanbul's famous hamams. Indulge in a delectable Turkish meal before retreating to your hotel for a well-deserved rest." "Tomorrow, prepare yourself for an immersive journey into antiquity as you explore some of Turkey's most remarkable landmarks. For now, enjoy the enchanting allure of Istanbul as it lulls you into a peaceful slumber."</w:t>
      </w:r>
    </w:p>
    <w:p>
      <w:pPr>
        <w:pStyle w:val="Heading2"/>
        <w:tabs>
          <w:tab w:val="right" w:pos="9026"/>
        </w:tabs>
        <w:spacing w:before="200" w:after="120"/>
      </w:pPr>
      <w:r>
        <w:rPr>
          <w:b/>
          <w:bCs/>
          <w:color w:val="1F2937"/>
          <w:sz w:val="26"/>
          <w:szCs w:val="26"/>
        </w:rPr>
        <w:t xml:space="preserve">Day 4 -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unforgettable journey with our Full Day Tour Including Ozkonak Underground City in Cappadocia. Descend into the depths of history as you explore this ancient subterranean metropolis, carved from volcanic rock more than 3,000 years ago. Wander through vast tunnel networks, marvel at intricate stone carvings, and catch your breath in cavernous chambers that once housed entire communities.</w:t>
      </w:r>
    </w:p>
    <w:p>
      <w:pPr>
        <w:spacing w:after="0" w:line="340"/>
        <w:jc w:val="both"/>
      </w:pPr>
      <w:r>
        <w:rPr>
          <w:sz w:val="20"/>
          <w:szCs w:val="20"/>
        </w:rPr>
        <w:t xml:space="preserve">The atmosphere is both eerie and fascinating, a testament to the ingenuity of the ancient people who sought refuge within these labyrinthine walls. As you walk through the cool, dimly lit passages, listen for the distant echoes of footsteps from times long past.</w:t>
      </w:r>
    </w:p>
    <w:p>
      <w:pPr>
        <w:spacing w:after="0" w:line="340"/>
        <w:jc w:val="both"/>
      </w:pPr>
      <w:r>
        <w:rPr>
          <w:sz w:val="20"/>
          <w:szCs w:val="20"/>
        </w:rPr>
        <w:t xml:space="preserve">Your tour concludes with a return to your hotel, leaving you with memories that will last a lifetime. Delve into the heart of Cappadocia's past and uncover the secrets hidden beneath its surface. This day promises adventure, wonder, and an experience truly unique to Turkey.</w:t>
      </w:r>
    </w:p>
    <w:p>
      <w:pPr>
        <w:pStyle w:val="Heading2"/>
        <w:tabs>
          <w:tab w:val="right" w:pos="9026"/>
        </w:tabs>
        <w:spacing w:before="200" w:after="120"/>
      </w:pPr>
      <w:r>
        <w:rPr>
          <w:b/>
          <w:bCs/>
          <w:color w:val="1F2937"/>
          <w:sz w:val="26"/>
          <w:szCs w:val="26"/>
        </w:rPr>
        <w:t xml:space="preserve">Day 5 - Cappadocia - Fly - ANTALYA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Upon departure from Cappadocia's airport, soar through the skies bound for Antalya, where ancient history and stunning landscapes await. Arrive in this captivating city and transfer to your hotel for check-in. The rest of the day is yours to immerse yourself in the vibrant atmosphere, stroll along the picturesque streets lined with colorful Ottoman-era buildings, or unwind at your hotel before tomorrow's adventures unfold. Antalya, known as the pearl of the Turkish Riviera, promises an unforgettable experience that blends history and modernity in perfect harmony.</w:t>
      </w:r>
    </w:p>
    <w:p>
      <w:pPr>
        <w:pStyle w:val="Heading2"/>
        <w:tabs>
          <w:tab w:val="right" w:pos="9026"/>
        </w:tabs>
        <w:spacing w:before="200" w:after="120"/>
      </w:pPr>
      <w:r>
        <w:rPr>
          <w:b/>
          <w:bCs/>
          <w:color w:val="1F2937"/>
          <w:sz w:val="26"/>
          <w:szCs w:val="26"/>
        </w:rPr>
        <w:t xml:space="preserve">Day 6 -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the captivating history and charm of Antalya with our Full Day Antalya City Tour. Your journey begins at Hadrian's Gate, an impressive three-arched monument built in honor of the Roman Emperor Hadrian. Next, explore the intricate network of streets within the ancient city walls of Kaleiçi. Here, you'll find charming Ottoman-era houses nestled amidst narrow alleyways filled with vibrant cafes and boutiques.</w:t>
      </w:r>
    </w:p>
    <w:p>
      <w:pPr>
        <w:spacing w:after="0" w:line="340"/>
        <w:jc w:val="both"/>
      </w:pPr>
      <w:r>
        <w:rPr>
          <w:sz w:val="20"/>
          <w:szCs w:val="20"/>
        </w:rPr>
        <w:t xml:space="preserve">Continue to the stunning Yivli Minare, a unique landmark featuring a spiral minaret adorned with intricate carvings. Then, immerse yourself in the tranquil ambiance of the Old Mosque (Kara Mosque) before ascending to the lofty heights of Mount Olympus for panoramic views over the city and the sparkling Mediterranean.</w:t>
      </w:r>
    </w:p>
    <w:p>
      <w:pPr>
        <w:spacing w:after="0" w:line="340"/>
        <w:jc w:val="both"/>
      </w:pPr>
      <w:r>
        <w:rPr>
          <w:sz w:val="20"/>
          <w:szCs w:val="20"/>
        </w:rPr>
        <w:t xml:space="preserve">In the afternoon, you'll visit the captivating Antalya Museum, housing an extensive collection of artifacts from various civilizations that have graced this region throughout history. Return to your hotel at day's end, filled with new memories and experiences of Antalya's rich tapestry.</w:t>
      </w:r>
    </w:p>
    <w:p>
      <w:pPr>
        <w:pStyle w:val="Heading2"/>
        <w:tabs>
          <w:tab w:val="right" w:pos="9026"/>
        </w:tabs>
        <w:spacing w:before="200" w:after="120"/>
      </w:pPr>
      <w:r>
        <w:rPr>
          <w:b/>
          <w:bCs/>
          <w:color w:val="1F2937"/>
          <w:sz w:val="26"/>
          <w:szCs w:val="26"/>
        </w:rPr>
        <w:t xml:space="preserve">Day 7 -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at your hotel in Antalya, embark on a Full Day Pamukkale Tour - an unforgettable journey through one of Turkey's most breathtaking natural wonders. As you travel towards the UNESCO World Heritage site of Hierapolis, marvel at the stunning landscapes adorned with travertine terraces and sparkling mineral-rich pools. Upon arrival, explore ancient Hierapolis, home to the Necropolis, Theatre, and the iconic Roman Baths.</w:t>
      </w:r>
    </w:p>
    <w:p>
      <w:pPr>
        <w:spacing w:after="0" w:line="340"/>
        <w:jc w:val="both"/>
      </w:pPr>
      <w:r>
        <w:rPr>
          <w:sz w:val="20"/>
          <w:szCs w:val="20"/>
        </w:rPr>
        <w:t xml:space="preserve">A highlight of the tour is a visit to the enchanting Cotton Castle, or Pamukkale, where you can walk among the white terraces, feeling like you've stepped into a dreamy fairytale. Take a dip in the warm waters of the Cleopatra Pool, believed to possess healing properties, and soak up the surreal atmosphere of this otherworldly landscape. Return to your hotel in Antalya, filled with memories of a truly extraordinary day in Turkey's heartland.</w:t>
      </w:r>
    </w:p>
    <w:p>
      <w:pPr>
        <w:pStyle w:val="Heading2"/>
        <w:tabs>
          <w:tab w:val="right" w:pos="9026"/>
        </w:tabs>
        <w:spacing w:before="200" w:after="120"/>
      </w:pPr>
      <w:r>
        <w:rPr>
          <w:b/>
          <w:bCs/>
          <w:color w:val="1F2937"/>
          <w:sz w:val="26"/>
          <w:szCs w:val="26"/>
        </w:rPr>
        <w:t xml:space="preserve">Day 8 - ANTALYA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filling your senses with the delectable flavors of a traditional Turkish breakfast at your hotel, it's time to bid farewell as we transfer you to Istanbul Airport for your departure. The journey ahead may mark an end to this enchanting adventure, but the memories of the breathtaking landscapes of Cappadocia, the historical grandeur of Ephesus, the serene thermal pools of Pamukkale, the vibrant energy of Antalya, and the enigmatic charm of Bodrum will linger on long after you've touched down at your next destination. Thank you for choosing Funny Tourism for crafting an unforgettable Turkish experience tailored just for you.</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7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ANTALYA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Elips Royal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Best Western Khan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Ramada Plaza Antalya Hotel (5 stars)</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€1083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€1162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€1369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€1032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€1238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€910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€988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€1195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€888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€966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€1173</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€875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€1160</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2025-10-13T15:08:22.026Z</dcterms:created>
  <dcterms:modified xsi:type="dcterms:W3CDTF">2025-10-13T15:08:22.026Z</dcterms:modified>
</cp:coreProperties>
</file>

<file path=docProps/custom.xml><?xml version="1.0" encoding="utf-8"?>
<Properties xmlns="http://schemas.openxmlformats.org/officeDocument/2006/custom-properties" xmlns:vt="http://schemas.openxmlformats.org/officeDocument/2006/docPropsVTypes"/>
</file>