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Turkey's Majestic Triumvirate</w:t>
      </w:r>
    </w:p>
    <w:p>
      <w:pPr>
        <w:spacing w:after="160" w:before="120"/>
        <w:jc w:val="center"/>
      </w:pPr>
      <w:r>
        <w:rPr>
          <w:b/>
          <w:bCs/>
          <w:color w:val="4F46E5"/>
          <w:sz w:val="28"/>
          <w:szCs w:val="28"/>
        </w:rPr>
        <w:t xml:space="preserve">Istanbul, Cappadocia, Antalya Exploration</w:t>
      </w:r>
    </w:p>
    <w:p>
      <w:pPr>
        <w:spacing w:after="240"/>
        <w:jc w:val="center"/>
      </w:pPr>
      <w:r>
        <w:rPr>
          <w:i/>
          <w:iCs/>
          <w:color w:val="6B7280"/>
          <w:sz w:val="24"/>
          <w:szCs w:val="24"/>
        </w:rPr>
        <w:t xml:space="preserve">8 Nights / 9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Upon your arrival at Istanbul Airport, immerse yourself in the rich cultural tapestry of Turkey as you are privately transferred to your hotel. Rest your feet after your journey and prepare for the enchanting days ahead. As standard check-in time is 14:00, feel free to explore the vibrant cityscape at your own pace. Wander through the labyrinthine streets of the old city, or unwind in a bustling café overlooking the Bosphorus Strait – an unforgettable introduction to Istanbul's captivating energy.</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rich history and vibrant culture of Istanbul as you embark on a Full Day Classic Istanbul Old City Tour. Begin your journey at the iconic Hagia Sophia, where the echoes of ancient Byzantine and Ottoman empires resonate within its awe-inspiring walls. Wander through the adjacent Topkapi Palace, once the residence of the mighty sultans, marveling at the opulent architecture, priceless artifacts, and breathtaking views of the Bosphorus Strait.</w:t>
      </w:r>
    </w:p>
    <w:p>
      <w:pPr>
        <w:spacing w:after="0" w:line="340"/>
        <w:jc w:val="both"/>
      </w:pPr>
      <w:r>
        <w:rPr>
          <w:sz w:val="20"/>
          <w:szCs w:val="20"/>
        </w:rPr>
        <w:t xml:space="preserve">Next, step into the heart of the Islamic world at the stunning Blue Mosque, renowned for its exquisite blue tiles and six minarets. Continue to the bustling Spice Bazaar, where a kaleidoscope of aromas fills the air as you explore colorful stalls offering an array of exotic spices, sweets, and souvenirs.</w:t>
      </w:r>
    </w:p>
    <w:p>
      <w:pPr>
        <w:spacing w:after="0" w:line="340"/>
        <w:jc w:val="both"/>
      </w:pPr>
      <w:r>
        <w:rPr>
          <w:sz w:val="20"/>
          <w:szCs w:val="20"/>
        </w:rPr>
        <w:t xml:space="preserve">As your tour comes to a close, return to your hotel, with memories of Istanbul's enchanting blend of history, culture, and bustling energy forever etched in your mind.</w:t>
      </w:r>
    </w:p>
    <w:p>
      <w:pPr>
        <w:pStyle w:val="Heading2"/>
        <w:tabs>
          <w:tab w:val="right" w:pos="9026"/>
        </w:tabs>
        <w:spacing w:before="200" w:after="120"/>
      </w:pPr>
      <w:r>
        <w:rPr>
          <w:b/>
          <w:bCs/>
          <w:color w:val="1F2937"/>
          <w:sz w:val="26"/>
          <w:szCs w:val="26"/>
        </w:rPr>
        <w:t xml:space="preserve">Day 3 -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prepare for an enchanting full day exploration of Istanbul. Embark on a scenic Bosphorus Cruise, sailing along this iconic waterway that divides Europe and Asia. Marvel at the stunning architecture of palaces, mansions, and fortresses that line the shore, their reflections shimmering on the glistening waters.</w:t>
      </w:r>
    </w:p>
    <w:p>
      <w:pPr>
        <w:spacing w:after="0" w:line="340"/>
        <w:jc w:val="both"/>
      </w:pPr>
      <w:r>
        <w:rPr>
          <w:sz w:val="20"/>
          <w:szCs w:val="20"/>
        </w:rPr>
        <w:t xml:space="preserve">Discover Yıldız Park, a lush green oasis nestled within the city, offering a serene retreat from the hustle and bustle of Istanbul's streets. Later, ascend to Camlica Hill, the highest point in Istanbul, for breathtaking panoramic views of the city skyline, Bosphorus Strait, and the Princes' Islands. Savor the moment as the sun sets over this magical city, casting a golden hue across the horizon. Upon returning to your hotel, reflect on the day's unforgettable experiences, eager for more adventures in the days ahead.</w:t>
      </w:r>
    </w:p>
    <w:p>
      <w:pPr>
        <w:pStyle w:val="Heading2"/>
        <w:tabs>
          <w:tab w:val="right" w:pos="9026"/>
        </w:tabs>
        <w:spacing w:before="200" w:after="120"/>
      </w:pPr>
      <w:r>
        <w:rPr>
          <w:b/>
          <w:bCs/>
          <w:color w:val="1F2937"/>
          <w:sz w:val="26"/>
          <w:szCs w:val="26"/>
        </w:rPr>
        <w:t xml:space="preserve">Day 4 - Istanbul - Fly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savoring a hearty breakfast at your Istanbul hotel, you'll be privately transferred to the airport for your flight to Cappadocia. As your wings carry you over the mesmerizing Turkish landscape, anticipation builds for the extraordinary world that awaits. Upon landing in Cappadocia, you'll be met and whisked away to your hotel, allowing you to immerse yourself in the enchanting atmosphere of this moon-like region as soon as possible. The rest of the day is yours to explore at your leisure, perhaps taking a stroll through the charming streets or simply relaxing after your journey. Embrace the captivating allure of Cappadocia and prepare for an unforgettable adventure!</w:t>
      </w:r>
    </w:p>
    <w:p>
      <w:pPr>
        <w:pStyle w:val="Heading2"/>
        <w:tabs>
          <w:tab w:val="right" w:pos="9026"/>
        </w:tabs>
        <w:spacing w:before="200" w:after="120"/>
      </w:pPr>
      <w:r>
        <w:rPr>
          <w:b/>
          <w:bCs/>
          <w:color w:val="1F2937"/>
          <w:sz w:val="26"/>
          <w:szCs w:val="26"/>
        </w:rPr>
        <w:t xml:space="preserve">Day 5 -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prepare for an enchanting journey into Cappadocia's rich history with the Full Day Tour Including Göreme Open Air Museum. Your adventure begins as you traverse the fairy chimneys and moon-like landscapes of this unique region. The Göreme Open Air Museum, a UNESCO World Heritage Site, awaits, housing some of the most stunning Byzantine art in the world, adorning the walls of ancient churches carved into the rock formations.</w:t>
      </w:r>
    </w:p>
    <w:p>
      <w:pPr>
        <w:spacing w:after="0" w:line="340"/>
        <w:jc w:val="both"/>
      </w:pPr>
      <w:r>
        <w:rPr>
          <w:sz w:val="20"/>
          <w:szCs w:val="20"/>
        </w:rPr>
        <w:t xml:space="preserve">As you wander through these historical dwellings, marvel at the intricate frescoes that tell stories of biblical events and early Christian life. The atmosphere is both serene and awe-inspiring, offering a glimpse into the lives of those who once called Cappadocia home.</w:t>
      </w:r>
    </w:p>
    <w:p>
      <w:pPr>
        <w:spacing w:after="0" w:line="340"/>
        <w:jc w:val="both"/>
      </w:pPr>
      <w:r>
        <w:rPr>
          <w:sz w:val="20"/>
          <w:szCs w:val="20"/>
        </w:rPr>
        <w:t xml:space="preserve">Next on your itinerary is the underground city of Kaymaklı or Derinkuyu, where you'll descend beneath the earth to explore labyrinthine passageways and multi-level chambers, providing refuge for thousands during ancient times. The subterranean coolness offers a stark contrast to the sun-drenched landscapes above, creating an unforgettable experience.</w:t>
      </w:r>
    </w:p>
    <w:p>
      <w:pPr>
        <w:spacing w:after="0" w:line="340"/>
        <w:jc w:val="both"/>
      </w:pPr>
      <w:r>
        <w:rPr>
          <w:sz w:val="20"/>
          <w:szCs w:val="20"/>
        </w:rPr>
        <w:t xml:space="preserve">Your day culminates at Pasabag Valley, also known as Monks' Valley, where you'll find towering fairy chimneys and peculiar mushroom-shaped formations. The sight of these natural wonders against the backdrop of the rolling hills is truly breathtaking.</w:t>
      </w:r>
    </w:p>
    <w:p>
      <w:pPr>
        <w:spacing w:after="0" w:line="340"/>
        <w:jc w:val="both"/>
      </w:pPr>
      <w:r>
        <w:rPr>
          <w:sz w:val="20"/>
          <w:szCs w:val="20"/>
        </w:rPr>
        <w:t xml:space="preserve">As the sun sets over Cappadocia, you'll return to your hotel, filled with memories of an extraordinary day immersed in history and natural beauty.</w:t>
      </w:r>
    </w:p>
    <w:p>
      <w:pPr>
        <w:pStyle w:val="Heading2"/>
        <w:tabs>
          <w:tab w:val="right" w:pos="9026"/>
        </w:tabs>
        <w:spacing w:before="200" w:after="120"/>
      </w:pPr>
      <w:r>
        <w:rPr>
          <w:b/>
          <w:bCs/>
          <w:color w:val="1F2937"/>
          <w:sz w:val="26"/>
          <w:szCs w:val="26"/>
        </w:rPr>
        <w:t xml:space="preserve">Day 6 -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delve into the captivating heart of Cappadocia with our Full Day Tour Including Ozkonak Underground City. Your adventure begins as you traverse rolling landscapes dotted with fairy chimneys and troglodyte homes, a testament to the region's rich history.</w:t>
      </w:r>
    </w:p>
    <w:p>
      <w:pPr>
        <w:spacing w:after="0" w:line="340"/>
        <w:jc w:val="both"/>
      </w:pPr>
      <w:r>
        <w:rPr>
          <w:sz w:val="20"/>
          <w:szCs w:val="20"/>
        </w:rPr>
        <w:t xml:space="preserve">The first stop will be at the Ozkonak Underground City, an intricate labyrinth of tunnels, churches, and storerooms carved from volcanic rock. As you explore this subterranean metropolis, imagine the countless lives that once thrived beneath its surface during ancient times.</w:t>
      </w:r>
    </w:p>
    <w:p>
      <w:pPr>
        <w:spacing w:after="0" w:line="340"/>
        <w:jc w:val="both"/>
      </w:pPr>
      <w:r>
        <w:rPr>
          <w:sz w:val="20"/>
          <w:szCs w:val="20"/>
        </w:rPr>
        <w:t xml:space="preserve">Next, journey to Cavusin Village, where centuries-old Greek Orthodox houses still stand among vineyards and apple orchards. The picturesque village offers a glimpse into Cappadocia's past, with its charming cobblestone streets and panoramic valley views.</w:t>
      </w:r>
    </w:p>
    <w:p>
      <w:pPr>
        <w:spacing w:after="0" w:line="340"/>
        <w:jc w:val="both"/>
      </w:pPr>
      <w:r>
        <w:rPr>
          <w:sz w:val="20"/>
          <w:szCs w:val="20"/>
        </w:rPr>
        <w:t xml:space="preserve">Later in the day, visit Pigeon Valley – a breathtaking expanse of cliffs and pigeon houses that once served as communication centers for distant villages. The sight and sound of doves returning to their homes will transport you back in time, evoking the region's unique charm.</w:t>
      </w:r>
    </w:p>
    <w:p>
      <w:pPr>
        <w:spacing w:after="0" w:line="340"/>
        <w:jc w:val="both"/>
      </w:pPr>
      <w:r>
        <w:rPr>
          <w:sz w:val="20"/>
          <w:szCs w:val="20"/>
        </w:rPr>
        <w:t xml:space="preserve">Finally, conclude your day with a visit to Uchisar Castle, an imposing rock formation that towers above the Cappadocian landscape. Ascend the castle's narrow passageways and take in the panoramic vistas of this extraordinary land before returning to your hotel for the evening.</w:t>
      </w:r>
    </w:p>
    <w:p>
      <w:pPr>
        <w:spacing w:after="0" w:line="340"/>
        <w:jc w:val="both"/>
      </w:pPr>
      <w:r>
        <w:rPr>
          <w:sz w:val="20"/>
          <w:szCs w:val="20"/>
        </w:rPr>
        <w:t xml:space="preserve">Prepare yourself for an unforgettable journey through history, culture, and natural beauty as you explore the enchanting world of Cappadocia on our Full Day Tour Including Ozkonak Underground City.</w:t>
      </w:r>
    </w:p>
    <w:p>
      <w:pPr>
        <w:pStyle w:val="Heading2"/>
        <w:tabs>
          <w:tab w:val="right" w:pos="9026"/>
        </w:tabs>
        <w:spacing w:before="200" w:after="120"/>
      </w:pPr>
      <w:r>
        <w:rPr>
          <w:b/>
          <w:bCs/>
          <w:color w:val="1F2937"/>
          <w:sz w:val="26"/>
          <w:szCs w:val="26"/>
        </w:rPr>
        <w:t xml:space="preserve">Day 7 - Cappadocia - Fly - ANTALYA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Antalya Awaits: After breakfast in Cappadocia, bid farewell to this enchanting land as you transfer to the airport for your flight to Antalya. Upon arrival, feel the warmth of the Mediterranean embrace you as you are met and privately transferred to your hotel. The rest of the day is yours to immerse yourself in the vibrant atmosphere of Antalya - explore its bustling streets, indulge in the tantalizing aromas wafting from local eateries, or simply relax by the picturesque harbor, reflecting on the magic of Turkey that continues to unfold. Tomorrow brings new adventures in this charming city.</w:t>
      </w:r>
    </w:p>
    <w:p>
      <w:pPr>
        <w:pStyle w:val="Heading2"/>
        <w:tabs>
          <w:tab w:val="right" w:pos="9026"/>
        </w:tabs>
        <w:spacing w:before="200" w:after="120"/>
      </w:pPr>
      <w:r>
        <w:rPr>
          <w:b/>
          <w:bCs/>
          <w:color w:val="1F2937"/>
          <w:sz w:val="26"/>
          <w:szCs w:val="26"/>
        </w:rPr>
        <w:t xml:space="preserve">Day 8 - ANTALYA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captivating charm of Antalya with our Full Day Antalya City Tour. Your journey begins at Hadrian's Gate, an impressive triple-arched monument that was built to honor the Roman Emperor Hadrian during his visit to the city in 130 AD.</w:t>
      </w:r>
    </w:p>
    <w:p>
      <w:pPr>
        <w:spacing w:after="0" w:line="340"/>
        <w:jc w:val="both"/>
      </w:pPr>
      <w:r>
        <w:rPr>
          <w:sz w:val="20"/>
          <w:szCs w:val="20"/>
        </w:rPr>
        <w:t xml:space="preserve">Next, you'll visit the enchanting Perge Ancient City, where remnants of a magnificent stadium, baths, agora, and nymphaeum still stand as testaments to its grandeur. Marvel at the intricate marble reliefs adorning the Temple of Artemis, dedicated to the ancient goddess of hunting, childbirth, and wilderness.</w:t>
      </w:r>
    </w:p>
    <w:p>
      <w:pPr>
        <w:spacing w:after="0" w:line="340"/>
        <w:jc w:val="both"/>
      </w:pPr>
      <w:r>
        <w:rPr>
          <w:sz w:val="20"/>
          <w:szCs w:val="20"/>
        </w:rPr>
        <w:t xml:space="preserve">The day continues with a stop at the Aspendos Ancient Theater, an architectural marvel that remains one of the best-preserved theaters in the world, boasting exceptional acoustics and seating capacity for 15,000 spectators.</w:t>
      </w:r>
    </w:p>
    <w:p>
      <w:pPr>
        <w:spacing w:after="0" w:line="340"/>
        <w:jc w:val="both"/>
      </w:pPr>
      <w:r>
        <w:rPr>
          <w:sz w:val="20"/>
          <w:szCs w:val="20"/>
        </w:rPr>
        <w:t xml:space="preserve">In the afternoon, explore the stunning Demre Church, believed to be built over the original Saint Nicholas' Basilica, where Santa Claus is said to have lived before his sainthood. Finally, immerse yourself in the tranquility of the Myra necropolis, a fascinating burial site filled with sarcophagi and tombs dating back to Roman times.</w:t>
      </w:r>
    </w:p>
    <w:p>
      <w:pPr>
        <w:spacing w:after="0" w:line="340"/>
        <w:jc w:val="both"/>
      </w:pPr>
      <w:r>
        <w:rPr>
          <w:sz w:val="20"/>
          <w:szCs w:val="20"/>
        </w:rPr>
        <w:t xml:space="preserve">Return to your hotel after this comprehensive exploration of Antalya's rich history and culture, feeling enriched by the day's discoveries.</w:t>
      </w:r>
    </w:p>
    <w:p>
      <w:pPr>
        <w:pStyle w:val="Heading2"/>
        <w:tabs>
          <w:tab w:val="right" w:pos="9026"/>
        </w:tabs>
        <w:spacing w:before="200" w:after="120"/>
      </w:pPr>
      <w:r>
        <w:rPr>
          <w:b/>
          <w:bCs/>
          <w:color w:val="1F2937"/>
          <w:sz w:val="26"/>
          <w:szCs w:val="26"/>
        </w:rPr>
        <w:t xml:space="preserve">Day 9 - ANTALYA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savoring one last Turkish delight at your hotel's breakfast buffet, it's time to bid adieu as you prepare for departure. Your private transfer whisks you through the bustling streets of Istanbul towards the airport, offering a final glimpse of the city's vibrant energy before your journey comes to an end. The rest of the day is yours to reminisce about the unforgettable experiences you've had, or perhaps dream about future adventures as you settle into your flight home. Thank you for choosing Funny Tourism - we hope to welcome you back soon!</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8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Cappadocia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Floria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Burcu Kaya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Signature Garden Hotel (5 stars)</w:t>
            </w:r>
          </w:p>
        </w:tc>
      </w:tr>
      <w:tr>
        <w:tc>
          <w:tcPr>
            <w:tcW w:type="pct" w:w="15%"/>
            <w:tcMar>
              <w:top w:type="dxa" w:w="80"/>
              <w:left w:type="dxa" w:w="100"/>
              <w:bottom w:type="dxa" w:w="80"/>
              <w:right w:type="dxa" w:w="100"/>
            </w:tcMar>
            <w:vAlign w:val="center"/>
          </w:tcPr>
          <w:p>
            <w:pPr>
              <w:jc w:val="left"/>
            </w:pPr>
            <w:r>
              <w:rPr>
                <w:color w:val="000000"/>
                <w:sz w:val="17"/>
                <w:szCs w:val="17"/>
              </w:rPr>
              <w:t xml:space="preserve">ANTALYA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Elips Royal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Best Western Khan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Ramada Plaza Antalya Hotel (5 stars)</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€1246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€1349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€1517</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€1116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€1219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€1387</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€1073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€1176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€1344</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€1051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€1154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€1322</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€1038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€1141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€1309</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2025-10-13T15:43:44.496Z</dcterms:created>
  <dcterms:modified xsi:type="dcterms:W3CDTF">2025-10-13T15:43:44.496Z</dcterms:modified>
</cp:coreProperties>
</file>

<file path=docProps/custom.xml><?xml version="1.0" encoding="utf-8"?>
<Properties xmlns="http://schemas.openxmlformats.org/officeDocument/2006/custom-properties" xmlns:vt="http://schemas.openxmlformats.org/officeDocument/2006/docPropsVTypes"/>
</file>