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12A15" w14:textId="77777777" w:rsidR="00C121B1" w:rsidRDefault="00C121B1" w:rsidP="00DF3F7F">
      <w:pPr>
        <w:ind w:left="-540"/>
        <w:rPr>
          <w:rFonts w:cs="Arial"/>
          <w:bCs/>
        </w:rPr>
      </w:pPr>
    </w:p>
    <w:p w14:paraId="1DA8B562" w14:textId="4C942CDA" w:rsidR="00FE0A6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0" w:name="_Toc95410536"/>
      <w:r w:rsidRPr="00F16814">
        <w:rPr>
          <w:rFonts w:ascii="Arial" w:hAnsi="Arial" w:cs="Arial"/>
          <w:b/>
          <w:color w:val="C00000"/>
          <w:sz w:val="32"/>
          <w:szCs w:val="32"/>
        </w:rPr>
        <w:t>Considérations éthiques </w:t>
      </w:r>
      <w:bookmarkStart w:id="1" w:name="_GoBack"/>
      <w:bookmarkEnd w:id="0"/>
      <w:bookmarkEnd w:id="1"/>
    </w:p>
    <w:p w14:paraId="5A5D9625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E3282" w:rsidRPr="00AA3D15" w14:paraId="1DB72F2F" w14:textId="77777777" w:rsidTr="007378A2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39E83E9F" w14:textId="1C2A4BC0" w:rsidR="001E3282" w:rsidRPr="00AA3D15" w:rsidRDefault="001E3282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</w:p>
        </w:tc>
      </w:tr>
      <w:tr w:rsidR="001E3282" w:rsidRPr="00AA3D15" w14:paraId="66F66718" w14:textId="77777777" w:rsidTr="001E3282">
        <w:trPr>
          <w:trHeight w:val="1032"/>
          <w:jc w:val="center"/>
        </w:trPr>
        <w:tc>
          <w:tcPr>
            <w:tcW w:w="9782" w:type="dxa"/>
            <w:shd w:val="clear" w:color="auto" w:fill="FFFFFF"/>
          </w:tcPr>
          <w:p w14:paraId="23311201" w14:textId="256B2C67" w:rsidR="0016136F" w:rsidRDefault="0016136F" w:rsidP="001E3282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Les dispositions prises pour le recueil du consentement (qui et comment)</w:t>
            </w:r>
            <w:r w:rsidR="00C8074F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2C8C8230" w14:textId="77777777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</w:t>
            </w:r>
          </w:p>
          <w:p w14:paraId="41D6C2A7" w14:textId="5063E410" w:rsidR="00C8074F" w:rsidRPr="00A042ED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</w:tc>
      </w:tr>
      <w:tr w:rsidR="00C8074F" w:rsidRPr="00AA3D15" w14:paraId="16296AD2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4F336B1F" w14:textId="3FB1C989" w:rsidR="00C8074F" w:rsidRDefault="00C8074F" w:rsidP="00C8074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Risques po</w:t>
            </w:r>
            <w:r w:rsidR="00B13F7A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tentiels encourus par les participants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31902028" w14:textId="012E76CD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</w:t>
            </w:r>
          </w:p>
          <w:p w14:paraId="6E9048E6" w14:textId="77777777" w:rsidR="00C8074F" w:rsidRPr="00A042ED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  <w:p w14:paraId="330D0945" w14:textId="77777777" w:rsidR="00C8074F" w:rsidRPr="00AA3D15" w:rsidRDefault="00C8074F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</w:tc>
      </w:tr>
      <w:tr w:rsidR="00C8074F" w:rsidRPr="00AA3D15" w14:paraId="55E639AE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04E5CEA3" w14:textId="6149310E" w:rsidR="00C8074F" w:rsidRDefault="00C8074F" w:rsidP="00B13F7A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Avantages potentiels tirés de ce projet par les </w:t>
            </w:r>
            <w:r w:rsidR="00B13F7A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participants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6B515F14" w14:textId="2BB97582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</w:t>
            </w:r>
          </w:p>
          <w:p w14:paraId="04DDBDCB" w14:textId="77777777" w:rsidR="00C8074F" w:rsidRPr="00A042ED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  <w:p w14:paraId="00E114C3" w14:textId="77777777" w:rsidR="00C8074F" w:rsidRPr="00AA3D15" w:rsidRDefault="00C8074F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</w:tc>
      </w:tr>
      <w:tr w:rsidR="001C3C53" w:rsidRPr="00AA3D15" w14:paraId="4491B20C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2347A31" w14:textId="77777777" w:rsidR="001C3C53" w:rsidRDefault="001C3C53" w:rsidP="001C3C5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Y a-t-il une participation financière de la pa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rt du participant</w:t>
            </w: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pour les différents tests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0E03D867" w14:textId="77777777" w:rsidR="001C3C53" w:rsidRPr="00A042ED" w:rsidRDefault="001C3C53" w:rsidP="00B13F7A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</w:tc>
      </w:tr>
      <w:tr w:rsidR="001C3C53" w:rsidRPr="00AA3D15" w14:paraId="262C7986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6107EF10" w14:textId="77777777" w:rsidR="001C3C53" w:rsidRPr="00C8074F" w:rsidRDefault="001C3C53" w:rsidP="001C3C5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cs="Arial"/>
                <w:lang w:eastAsia="en-US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Y a-t-il un conflit d’intérêt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788F2286" w14:textId="77777777" w:rsidR="001C3C53" w:rsidRPr="00A042ED" w:rsidRDefault="001C3C53" w:rsidP="00B13F7A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</w:tc>
      </w:tr>
      <w:tr w:rsidR="00C8074F" w:rsidRPr="00AA3D15" w14:paraId="2C2F8D1E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5FFC8DDC" w14:textId="77777777" w:rsidR="00C8074F" w:rsidRPr="00C8074F" w:rsidRDefault="00C8074F" w:rsidP="00C8074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cs="Arial"/>
                <w:lang w:eastAsia="en-US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Confidentialité et préservation des informations et des échantillons biologiques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4F85C67D" w14:textId="77777777" w:rsidR="00C8074F" w:rsidRP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cs="Arial"/>
                <w:lang w:eastAsia="en-US"/>
              </w:rPr>
            </w:pP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</w:t>
            </w:r>
          </w:p>
          <w:p w14:paraId="00ED5702" w14:textId="76DB20C9" w:rsidR="00C8074F" w:rsidRPr="00AA3D15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cs="Arial"/>
                <w:lang w:eastAsia="en-US"/>
              </w:rPr>
            </w:pPr>
          </w:p>
        </w:tc>
      </w:tr>
      <w:tr w:rsidR="001E3282" w:rsidRPr="00AA3D15" w14:paraId="2AED3235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0F30706B" w14:textId="6913E361" w:rsidR="00C8074F" w:rsidRDefault="00C8074F" w:rsidP="00C8074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Les dispositions prises pour garantir la sécurité du matériel biologique</w:t>
            </w: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 :</w:t>
            </w:r>
          </w:p>
          <w:p w14:paraId="3B06F607" w14:textId="151932B4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  <w:r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 xml:space="preserve"> </w:t>
            </w:r>
          </w:p>
          <w:p w14:paraId="02BAD3CC" w14:textId="77777777" w:rsidR="00C8074F" w:rsidRPr="00A042ED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</w:pPr>
          </w:p>
          <w:p w14:paraId="7D471492" w14:textId="03979695" w:rsidR="00A042ED" w:rsidRPr="00AA3D15" w:rsidRDefault="00A042ED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68ABD6D2" w14:textId="77777777" w:rsidR="00163F97" w:rsidRDefault="00163F97" w:rsidP="00DF3F7F">
      <w:pPr>
        <w:ind w:left="-540"/>
        <w:rPr>
          <w:rFonts w:cs="Arial"/>
          <w:bCs/>
        </w:rPr>
      </w:pPr>
    </w:p>
    <w:p w14:paraId="4CAEF049" w14:textId="77777777" w:rsidR="00E00A55" w:rsidRPr="00AA3D15" w:rsidRDefault="00E00A55" w:rsidP="00DF3F7F">
      <w:pPr>
        <w:ind w:left="-540"/>
        <w:rPr>
          <w:rFonts w:cs="Arial"/>
          <w:bCs/>
        </w:rPr>
      </w:pPr>
    </w:p>
    <w:p w14:paraId="3862B246" w14:textId="0FB7E0B9" w:rsidR="00B70F07" w:rsidRPr="008A3EDB" w:rsidRDefault="00B70F07" w:rsidP="008A3EDB">
      <w:pPr>
        <w:outlineLvl w:val="0"/>
        <w:rPr>
          <w:rFonts w:ascii="Arial" w:hAnsi="Arial" w:cs="Arial"/>
          <w:b/>
          <w:color w:val="C00000"/>
          <w:sz w:val="36"/>
          <w:szCs w:val="36"/>
        </w:rPr>
      </w:pPr>
    </w:p>
    <w:sectPr w:rsidR="00B70F07" w:rsidRPr="008A3EDB" w:rsidSect="005C1690">
      <w:footerReference w:type="even" r:id="rId8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C8469" w14:textId="77777777" w:rsidR="00B57328" w:rsidRDefault="00B57328">
      <w:r>
        <w:separator/>
      </w:r>
    </w:p>
  </w:endnote>
  <w:endnote w:type="continuationSeparator" w:id="0">
    <w:p w14:paraId="1D929E90" w14:textId="77777777" w:rsidR="00B57328" w:rsidRDefault="00B5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41DBB" w14:textId="77777777" w:rsidR="00B57328" w:rsidRDefault="00B57328">
      <w:r>
        <w:separator/>
      </w:r>
    </w:p>
  </w:footnote>
  <w:footnote w:type="continuationSeparator" w:id="0">
    <w:p w14:paraId="7A26BA9F" w14:textId="77777777" w:rsidR="00B57328" w:rsidRDefault="00B57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1E40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3C53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D674E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3ED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0C8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57328"/>
    <w:rsid w:val="00B64E6E"/>
    <w:rsid w:val="00B65C82"/>
    <w:rsid w:val="00B673F2"/>
    <w:rsid w:val="00B70EE0"/>
    <w:rsid w:val="00B70F07"/>
    <w:rsid w:val="00B83454"/>
    <w:rsid w:val="00B8396E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B0C7C-AEE7-4E62-B694-E63B4695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9539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User</cp:lastModifiedBy>
  <cp:revision>6</cp:revision>
  <cp:lastPrinted>2014-03-14T15:21:00Z</cp:lastPrinted>
  <dcterms:created xsi:type="dcterms:W3CDTF">2024-03-22T10:20:00Z</dcterms:created>
  <dcterms:modified xsi:type="dcterms:W3CDTF">2024-04-04T11:58:00Z</dcterms:modified>
</cp:coreProperties>
</file>