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OPENCLASSROOMS  /  CONDUITE DE PROJET DATA &amp; MACHINE LEARNING</w:t>
      </w:r>
    </w:p>
    <w:p>
      <w:pPr>
        <w:spacing w:after="540"/>
      </w:pPr>
    </w:p>
    <w:p>
      <w:pPr>
        <w:pStyle w:val="Title"/>
      </w:pPr>
      <w:r>
        <w:t>Rapport de conduite</w:t>
        <w:br/>
        <w:t>de projet Data &amp; ML</w:t>
      </w:r>
    </w:p>
    <w:p>
      <w:pPr>
        <w:pStyle w:val="Subtitle"/>
      </w:pPr>
      <w:r>
        <w:rPr>
          <w:color w:val="147A80"/>
          <w:sz w:val="32"/>
        </w:rPr>
        <w:t>Prédire la solubilité des protéines : une aide à la sélection des constructions et aux essais de laboratoire</w:t>
      </w:r>
    </w:p>
    <w:p>
      <w:pPr>
        <w:spacing w:after="300"/>
      </w:pPr>
    </w:p>
    <w:p>
      <w:pPr>
        <w:spacing w:after="60"/>
        <w:jc w:val="center"/>
      </w:pPr>
      <w:r>
        <w:drawing>
          <wp:inline xmlns:a="http://schemas.openxmlformats.org/drawingml/2006/main" xmlns:pic="http://schemas.openxmlformats.org/drawingml/2006/picture">
            <wp:extent cx="5940000" cy="2842358"/>
            <wp:docPr id="1" name="Picture 1"/>
            <wp:cNvGraphicFramePr>
              <a:graphicFrameLocks noChangeAspect="1"/>
            </wp:cNvGraphicFramePr>
            <a:graphic>
              <a:graphicData uri="http://schemas.openxmlformats.org/drawingml/2006/picture">
                <pic:pic>
                  <pic:nvPicPr>
                    <pic:cNvPr id="0" name="processus_metier.png"/>
                    <pic:cNvPicPr/>
                  </pic:nvPicPr>
                  <pic:blipFill>
                    <a:blip r:embed="rId11"/>
                    <a:stretch>
                      <a:fillRect/>
                    </a:stretch>
                  </pic:blipFill>
                  <pic:spPr>
                    <a:xfrm>
                      <a:off x="0" y="0"/>
                      <a:ext cx="5940000" cy="2842358"/>
                    </a:xfrm>
                    <a:prstGeom prst="rect"/>
                  </pic:spPr>
                </pic:pic>
              </a:graphicData>
            </a:graphic>
          </wp:inline>
        </w:drawing>
      </w:r>
    </w:p>
    <w:p>
      <w:pPr>
        <w:spacing w:after="340"/>
      </w:pPr>
    </w:p>
    <w:p>
      <w:pPr>
        <w:pStyle w:val="Heading2"/>
      </w:pPr>
      <w:r>
        <w:t>Fatima ADDA-REZIG</w:t>
      </w:r>
    </w:p>
    <w:p>
      <w:r>
        <w:t>Projet individuel de formation Data Scientist – Machine Learning | Domaine : biotech / production de protéines</w:t>
      </w:r>
    </w:p>
    <w:p>
      <w:r>
        <w:t>État du projet : démonstrateur publié ; documentation et preuves d’évaluation mises à jour au 29 octobre 2026.</w:t>
      </w:r>
    </w:p>
    <w:p>
      <w:pPr>
        <w:pStyle w:val="Smallnote"/>
      </w:pPr>
      <w:r>
        <w:t>Rapport rédigé selon le template de conduite de projet Data &amp; ML fourni pour la formation. Analyse orientée métier, décisions de pilotage et preuves vérifiables. Détail scientifique en annexes.</w:t>
      </w:r>
    </w:p>
    <w:p>
      <w:r>
        <w:br w:type="page"/>
      </w:r>
    </w:p>
    <w:p>
      <w:pPr>
        <w:pStyle w:val="Eyebrow"/>
      </w:pPr>
      <w:r>
        <w:t>RÉSUMÉ EXÉCUTIF</w:t>
      </w:r>
    </w:p>
    <w:p>
      <w:pPr>
        <w:pStyle w:val="Heading1"/>
      </w:pPr>
      <w:r>
        <w:t>Une décision plus éclairée avant le laboratoire</w:t>
      </w:r>
    </w:p>
    <w:p>
      <w:r>
        <w:rPr>
          <w:b/>
        </w:rPr>
        <w:t>Le problème.</w:t>
      </w:r>
      <w:r>
        <w:t xml:space="preserve"> En production de protéines, une construction peut sembler pertinente sur le papier, mais produire trop peu de matière soluble pour être étudiée. Les essais ratés mobilisent des cultures, des consommables et du temps scientifique. Aujourd’hui, le choix des constructions repose largement sur l’expérience et sur des cycles de tests successifs.</w:t>
      </w:r>
    </w:p>
    <w:p>
      <w:r>
        <w:rPr>
          <w:b/>
        </w:rPr>
        <w:t>La proposition.</w:t>
      </w:r>
      <w:r>
        <w:t xml:space="preserve"> J’ai développé un outil dans lequel le chercheur colle une séquence de protéine. Il obtient une estimation de sa propension à être soluble, une identification biologique lorsque les bases publiques permettent une correspondance fiable, puis une liste argumentée d’essais à comparer : construction simple, étiquette de purification, hôte de production et contrôles fonctionnels.</w:t>
      </w:r>
    </w:p>
    <w:p>
      <w:r>
        <w:rPr>
          <w:b/>
        </w:rPr>
        <w:t>La réalisation.</w:t>
      </w:r>
      <w:r>
        <w:t xml:space="preserve"> Après plusieurs versions et comparaisons, le démonstrateur est disponible en ligne, avec des tests automatisés et un code source documenté. Le meilleur modèle testé distingue mieux les protéines solubles et insolubles sur le jeu utilisé pour sa mise au point : son indicateur de discrimination est d’environ </w:t>
      </w:r>
      <w:r>
        <w:rPr>
          <w:b/>
        </w:rPr>
        <w:t>0,83 sur une échelle de 0,5 (hasard) à 1 (parfait)</w:t>
      </w:r>
      <w:r>
        <w:t>. Cette mesure ne suffit pas à prouver un gain réel de laboratoire.</w:t>
      </w:r>
    </w:p>
    <w:p>
      <w:r>
        <w:rPr>
          <w:b/>
        </w:rPr>
        <w:t>La décision.</w:t>
      </w:r>
      <w:r>
        <w:t xml:space="preserve"> Arrêter les évolutions du prototype, garder une version stable et préparer un pilote biologique indépendant. Le succès du pilote ne sera pas uniquement la qualité de prédiction : il faudra vérifier si l’outil permet de choisir de meilleurs essais, avec un coût et un délai acceptables.</w:t>
      </w:r>
    </w:p>
    <w:tbl>
      <w:tblPr>
        <w:tblStyle w:val="LightShading-Accent1"/>
        <w:tblW w:type="auto" w:w="0"/>
        <w:jc w:val="center"/>
        <w:tblLayout w:type="autofit"/>
        <w:tblLook w:firstColumn="1" w:firstRow="1" w:lastColumn="0" w:lastRow="0" w:noHBand="0" w:noVBand="1" w:val="04A0"/>
      </w:tblPr>
      <w:tblGrid>
        <w:gridCol w:w="4776"/>
        <w:gridCol w:w="4776"/>
      </w:tblGrid>
      <w:tr>
        <w:trPr>
          <w:cantSplit/>
        </w:trPr>
        <w:tc>
          <w:tcPr>
            <w:tcW w:type="dxa" w:w="4776"/>
            <w:vAlign w:val="center"/>
            <w:shd w:fill="176E75"/>
          </w:tcPr>
          <w:p>
            <w:pPr>
              <w:spacing w:after="20" w:before="20"/>
            </w:pPr>
            <w:r>
              <w:rPr>
                <w:b/>
                <w:color w:val="FFFFFF"/>
                <w:sz w:val="17"/>
              </w:rPr>
              <w:t>Question du décideur</w:t>
            </w:r>
          </w:p>
        </w:tc>
        <w:tc>
          <w:tcPr>
            <w:tcW w:type="dxa" w:w="4776"/>
            <w:vAlign w:val="center"/>
            <w:shd w:fill="176E75"/>
          </w:tcPr>
          <w:p>
            <w:pPr>
              <w:spacing w:after="20" w:before="20"/>
            </w:pPr>
            <w:r>
              <w:rPr>
                <w:b/>
                <w:color w:val="FFFFFF"/>
                <w:sz w:val="17"/>
              </w:rPr>
              <w:t>Réponse actuelle</w:t>
            </w:r>
          </w:p>
        </w:tc>
      </w:tr>
      <w:tr>
        <w:trPr>
          <w:cantSplit/>
        </w:trPr>
        <w:tc>
          <w:tcPr>
            <w:tcW w:type="dxa" w:w="4776"/>
          </w:tcPr>
          <w:p>
            <w:pPr>
              <w:spacing w:after="20" w:before="20"/>
            </w:pPr>
            <w:r>
              <w:rPr>
                <w:sz w:val="17"/>
              </w:rPr>
              <w:t>À quoi cela sert-il ?</w:t>
            </w:r>
          </w:p>
        </w:tc>
        <w:tc>
          <w:tcPr>
            <w:tcW w:type="dxa" w:w="4776"/>
          </w:tcPr>
          <w:p>
            <w:pPr>
              <w:spacing w:after="20" w:before="20"/>
            </w:pPr>
            <w:r>
              <w:rPr>
                <w:sz w:val="17"/>
              </w:rPr>
              <w:t>Prioriser les constructions à tester, sans remplacer les essais.</w:t>
            </w:r>
          </w:p>
        </w:tc>
      </w:tr>
      <w:tr>
        <w:trPr>
          <w:cantSplit/>
        </w:trPr>
        <w:tc>
          <w:tcPr>
            <w:tcW w:type="dxa" w:w="4776"/>
          </w:tcPr>
          <w:p>
            <w:pPr>
              <w:spacing w:after="20" w:before="20"/>
            </w:pPr>
            <w:r>
              <w:rPr>
                <w:sz w:val="17"/>
              </w:rPr>
              <w:t>Quel résultat existe ?</w:t>
            </w:r>
          </w:p>
        </w:tc>
        <w:tc>
          <w:tcPr>
            <w:tcW w:type="dxa" w:w="4776"/>
          </w:tcPr>
          <w:p>
            <w:pPr>
              <w:spacing w:after="20" w:before="20"/>
            </w:pPr>
            <w:r>
              <w:rPr>
                <w:sz w:val="17"/>
              </w:rPr>
              <w:t>Démonstrateur fonctionnel ; score de développement ≈ 0,83.</w:t>
            </w:r>
          </w:p>
        </w:tc>
      </w:tr>
      <w:tr>
        <w:trPr>
          <w:cantSplit/>
        </w:trPr>
        <w:tc>
          <w:tcPr>
            <w:tcW w:type="dxa" w:w="4776"/>
          </w:tcPr>
          <w:p>
            <w:pPr>
              <w:spacing w:after="20" w:before="20"/>
            </w:pPr>
            <w:r>
              <w:rPr>
                <w:sz w:val="17"/>
              </w:rPr>
              <w:t>Qu’est-ce qui n’est pas encore établi ?</w:t>
            </w:r>
          </w:p>
        </w:tc>
        <w:tc>
          <w:tcPr>
            <w:tcW w:type="dxa" w:w="4776"/>
          </w:tcPr>
          <w:p>
            <w:pPr>
              <w:spacing w:after="20" w:before="20"/>
            </w:pPr>
            <w:r>
              <w:rPr>
                <w:sz w:val="17"/>
              </w:rPr>
              <w:t>La réduction effective des essais, du temps et des dépenses.</w:t>
            </w:r>
          </w:p>
        </w:tc>
      </w:tr>
      <w:tr>
        <w:trPr>
          <w:cantSplit/>
        </w:trPr>
        <w:tc>
          <w:tcPr>
            <w:tcW w:type="dxa" w:w="4776"/>
          </w:tcPr>
          <w:p>
            <w:pPr>
              <w:spacing w:after="20" w:before="20"/>
            </w:pPr>
            <w:r>
              <w:rPr>
                <w:sz w:val="17"/>
              </w:rPr>
              <w:t>Quelle est la décision suivante ?</w:t>
            </w:r>
          </w:p>
        </w:tc>
        <w:tc>
          <w:tcPr>
            <w:tcW w:type="dxa" w:w="4776"/>
          </w:tcPr>
          <w:p>
            <w:pPr>
              <w:spacing w:after="20" w:before="20"/>
            </w:pPr>
            <w:r>
              <w:rPr>
                <w:sz w:val="17"/>
              </w:rPr>
              <w:t>Pilote sur nouvelles constructions avec traçabilité des résultats.</w:t>
            </w:r>
          </w:p>
        </w:tc>
      </w:tr>
    </w:tbl>
    <w:p>
      <w:pPr>
        <w:spacing w:after="20"/>
      </w:pPr>
    </w:p>
    <w:p>
      <w:pPr>
        <w:pStyle w:val="Smallnote"/>
      </w:pPr>
      <w:r>
        <w:t>Convention de lecture : résultats mesurés = issus des sorties de test ; estimations = hypothèses économiques ; projet futur = proposition de pilotage. Les valeurs complètes et méthodes sont disponibles en annexes.</w:t>
      </w:r>
    </w:p>
    <w:p>
      <w:r>
        <w:br w:type="page"/>
      </w:r>
    </w:p>
    <w:p>
      <w:pPr>
        <w:pStyle w:val="Eyebrow"/>
      </w:pPr>
      <w:r>
        <w:t>MODE DE LECTURE</w:t>
      </w:r>
    </w:p>
    <w:p>
      <w:pPr>
        <w:pStyle w:val="Heading1"/>
      </w:pPr>
      <w:r>
        <w:t>Des concepts utiles sans jargon</w:t>
      </w:r>
    </w:p>
    <w:p>
      <w:pPr>
        <w:pStyle w:val="Heading2"/>
      </w:pPr>
      <w:r>
        <w:t>Comprendre en moins de deux minutes</w:t>
      </w:r>
    </w:p>
    <w:tbl>
      <w:tblPr>
        <w:tblStyle w:val="LightShading-Accent1"/>
        <w:tblW w:type="auto" w:w="0"/>
        <w:jc w:val="center"/>
        <w:tblLayout w:type="autofit"/>
        <w:tblLook w:firstColumn="1" w:firstRow="1" w:lastColumn="0" w:lastRow="0" w:noHBand="0" w:noVBand="1" w:val="04A0"/>
      </w:tblPr>
      <w:tblGrid>
        <w:gridCol w:w="4776"/>
        <w:gridCol w:w="4776"/>
      </w:tblGrid>
      <w:tr>
        <w:trPr>
          <w:cantSplit/>
        </w:trPr>
        <w:tc>
          <w:tcPr>
            <w:tcW w:type="dxa" w:w="4776"/>
            <w:vAlign w:val="center"/>
            <w:shd w:fill="176E75"/>
          </w:tcPr>
          <w:p>
            <w:pPr>
              <w:spacing w:after="20" w:before="20"/>
            </w:pPr>
            <w:r>
              <w:rPr>
                <w:b/>
                <w:color w:val="FFFFFF"/>
                <w:sz w:val="17"/>
              </w:rPr>
              <w:t>Terme rencontré</w:t>
            </w:r>
          </w:p>
        </w:tc>
        <w:tc>
          <w:tcPr>
            <w:tcW w:type="dxa" w:w="4776"/>
            <w:vAlign w:val="center"/>
            <w:shd w:fill="176E75"/>
          </w:tcPr>
          <w:p>
            <w:pPr>
              <w:spacing w:after="20" w:before="20"/>
            </w:pPr>
            <w:r>
              <w:rPr>
                <w:b/>
                <w:color w:val="FFFFFF"/>
                <w:sz w:val="17"/>
              </w:rPr>
              <w:t>Traduction opérationnelle</w:t>
            </w:r>
          </w:p>
        </w:tc>
      </w:tr>
      <w:tr>
        <w:trPr>
          <w:cantSplit/>
        </w:trPr>
        <w:tc>
          <w:tcPr>
            <w:tcW w:type="dxa" w:w="4776"/>
          </w:tcPr>
          <w:p>
            <w:pPr>
              <w:spacing w:after="20" w:before="20"/>
            </w:pPr>
            <w:r>
              <w:rPr>
                <w:sz w:val="17"/>
              </w:rPr>
              <w:t>Modèle prédictif</w:t>
            </w:r>
          </w:p>
        </w:tc>
        <w:tc>
          <w:tcPr>
            <w:tcW w:type="dxa" w:w="4776"/>
          </w:tcPr>
          <w:p>
            <w:pPr>
              <w:spacing w:after="20" w:before="20"/>
            </w:pPr>
            <w:r>
              <w:rPr>
                <w:sz w:val="17"/>
              </w:rPr>
              <w:t>Programme qui apprend à classer des séquences à partir d’exemples.</w:t>
            </w:r>
          </w:p>
        </w:tc>
      </w:tr>
      <w:tr>
        <w:trPr>
          <w:cantSplit/>
        </w:trPr>
        <w:tc>
          <w:tcPr>
            <w:tcW w:type="dxa" w:w="4776"/>
          </w:tcPr>
          <w:p>
            <w:pPr>
              <w:spacing w:after="20" w:before="20"/>
            </w:pPr>
            <w:r>
              <w:rPr>
                <w:sz w:val="17"/>
              </w:rPr>
              <w:t>Score de 0 à 1</w:t>
            </w:r>
          </w:p>
        </w:tc>
        <w:tc>
          <w:tcPr>
            <w:tcW w:type="dxa" w:w="4776"/>
          </w:tcPr>
          <w:p>
            <w:pPr>
              <w:spacing w:after="20" w:before="20"/>
            </w:pPr>
            <w:r>
              <w:rPr>
                <w:sz w:val="17"/>
              </w:rPr>
              <w:t>Indication de solubilité : ce n’est pas un rendement de purification.</w:t>
            </w:r>
          </w:p>
        </w:tc>
      </w:tr>
      <w:tr>
        <w:trPr>
          <w:cantSplit/>
        </w:trPr>
        <w:tc>
          <w:tcPr>
            <w:tcW w:type="dxa" w:w="4776"/>
          </w:tcPr>
          <w:p>
            <w:pPr>
              <w:spacing w:after="20" w:before="20"/>
            </w:pPr>
            <w:r>
              <w:rPr>
                <w:sz w:val="17"/>
              </w:rPr>
              <w:t>Seuil de décision</w:t>
            </w:r>
          </w:p>
        </w:tc>
        <w:tc>
          <w:tcPr>
            <w:tcW w:type="dxa" w:w="4776"/>
          </w:tcPr>
          <w:p>
            <w:pPr>
              <w:spacing w:after="20" w:before="20"/>
            </w:pPr>
            <w:r>
              <w:rPr>
                <w:sz w:val="17"/>
              </w:rPr>
              <w:t>Valeur à partir de laquelle le logiciel dit « soluble ».</w:t>
            </w:r>
          </w:p>
        </w:tc>
      </w:tr>
      <w:tr>
        <w:trPr>
          <w:cantSplit/>
        </w:trPr>
        <w:tc>
          <w:tcPr>
            <w:tcW w:type="dxa" w:w="4776"/>
          </w:tcPr>
          <w:p>
            <w:pPr>
              <w:spacing w:after="20" w:before="20"/>
            </w:pPr>
            <w:r>
              <w:rPr>
                <w:sz w:val="17"/>
              </w:rPr>
              <w:t>Faux positif</w:t>
            </w:r>
          </w:p>
        </w:tc>
        <w:tc>
          <w:tcPr>
            <w:tcW w:type="dxa" w:w="4776"/>
          </w:tcPr>
          <w:p>
            <w:pPr>
              <w:spacing w:after="20" w:before="20"/>
            </w:pPr>
            <w:r>
              <w:rPr>
                <w:sz w:val="17"/>
              </w:rPr>
              <w:t>Prédit soluble, mais insoluble dans les données : risque d’essai inutile.</w:t>
            </w:r>
          </w:p>
        </w:tc>
      </w:tr>
      <w:tr>
        <w:trPr>
          <w:cantSplit/>
        </w:trPr>
        <w:tc>
          <w:tcPr>
            <w:tcW w:type="dxa" w:w="4776"/>
          </w:tcPr>
          <w:p>
            <w:pPr>
              <w:spacing w:after="20" w:before="20"/>
            </w:pPr>
            <w:r>
              <w:rPr>
                <w:sz w:val="17"/>
              </w:rPr>
              <w:t>Faux négatif</w:t>
            </w:r>
          </w:p>
        </w:tc>
        <w:tc>
          <w:tcPr>
            <w:tcW w:type="dxa" w:w="4776"/>
          </w:tcPr>
          <w:p>
            <w:pPr>
              <w:spacing w:after="20" w:before="20"/>
            </w:pPr>
            <w:r>
              <w:rPr>
                <w:sz w:val="17"/>
              </w:rPr>
              <w:t>Prédit insoluble, mais soluble dans les données : possibilité écartée.</w:t>
            </w:r>
          </w:p>
        </w:tc>
      </w:tr>
      <w:tr>
        <w:trPr>
          <w:cantSplit/>
        </w:trPr>
        <w:tc>
          <w:tcPr>
            <w:tcW w:type="dxa" w:w="4776"/>
          </w:tcPr>
          <w:p>
            <w:pPr>
              <w:spacing w:after="20" w:before="20"/>
            </w:pPr>
            <w:r>
              <w:rPr>
                <w:sz w:val="17"/>
              </w:rPr>
              <w:t>Qualité de discrimination (AUC)</w:t>
            </w:r>
          </w:p>
        </w:tc>
        <w:tc>
          <w:tcPr>
            <w:tcW w:type="dxa" w:w="4776"/>
          </w:tcPr>
          <w:p>
            <w:pPr>
              <w:spacing w:after="20" w:before="20"/>
            </w:pPr>
            <w:r>
              <w:rPr>
                <w:sz w:val="17"/>
              </w:rPr>
              <w:t>Capacité du modèle à classer une vraie soluble devant une vraie insoluble.</w:t>
            </w:r>
          </w:p>
        </w:tc>
      </w:tr>
      <w:tr>
        <w:trPr>
          <w:cantSplit/>
        </w:trPr>
        <w:tc>
          <w:tcPr>
            <w:tcW w:type="dxa" w:w="4776"/>
          </w:tcPr>
          <w:p>
            <w:pPr>
              <w:spacing w:after="20" w:before="20"/>
            </w:pPr>
            <w:r>
              <w:rPr>
                <w:sz w:val="17"/>
              </w:rPr>
              <w:t>Calibration</w:t>
            </w:r>
          </w:p>
        </w:tc>
        <w:tc>
          <w:tcPr>
            <w:tcW w:type="dxa" w:w="4776"/>
          </w:tcPr>
          <w:p>
            <w:pPr>
              <w:spacing w:after="20" w:before="20"/>
            </w:pPr>
            <w:r>
              <w:rPr>
                <w:sz w:val="17"/>
              </w:rPr>
              <w:t>Vérification de la cohérence entre les scores affichés et les fréquences observées.</w:t>
            </w:r>
          </w:p>
        </w:tc>
      </w:tr>
    </w:tbl>
    <w:p>
      <w:pPr>
        <w:spacing w:after="20"/>
      </w:pPr>
    </w:p>
    <w:p>
      <w:pPr>
        <w:pStyle w:val="Heading2"/>
      </w:pPr>
      <w:r>
        <w:t>Trois niveaux de preuve, utilisés dans la suite</w:t>
      </w:r>
    </w:p>
    <w:p>
      <w:pPr>
        <w:pStyle w:val="ListBullet"/>
        <w:ind w:left="312" w:hanging="147"/>
      </w:pPr>
      <w:r>
        <w:rPr>
          <w:b/>
        </w:rPr>
        <w:t>Mesuré :</w:t>
      </w:r>
      <w:r>
        <w:t xml:space="preserve"> données, dates Git, résultats de tests et livrables contrôlés.</w:t>
      </w:r>
    </w:p>
    <w:p>
      <w:pPr>
        <w:pStyle w:val="ListBullet"/>
        <w:ind w:left="312" w:hanging="147"/>
      </w:pPr>
      <w:r>
        <w:rPr>
          <w:b/>
        </w:rPr>
        <w:t>En développement :</w:t>
      </w:r>
      <w:r>
        <w:t xml:space="preserve"> performances utiles pour comparer les options, mais non certifiées sur une nouvelle cohorte.</w:t>
      </w:r>
    </w:p>
    <w:p>
      <w:pPr>
        <w:pStyle w:val="ListBullet"/>
        <w:ind w:left="312" w:hanging="147"/>
      </w:pPr>
      <w:r>
        <w:rPr>
          <w:b/>
        </w:rPr>
        <w:t>Hypothèse ou cible :</w:t>
      </w:r>
      <w:r>
        <w:t xml:space="preserve"> estimation budgétaire, gain attendu ou seuil proposé pour un pilote.</w:t>
      </w:r>
    </w:p>
    <w:p>
      <w:pPr>
        <w:pStyle w:val="Heading2"/>
      </w:pPr>
      <w:r>
        <w:t>Périmètre du projet présenté</w:t>
      </w:r>
    </w:p>
    <w:p>
      <w:r>
        <w:t xml:space="preserve">Le produit livré est un </w:t>
      </w:r>
      <w:r>
        <w:rPr>
          <w:b/>
        </w:rPr>
        <w:t>outil d’aide à la décision expérimentale</w:t>
      </w:r>
      <w:r>
        <w:t>. Le logiciel ne détermine pas directement le meilleur rendement, le meilleur tag ou la meilleure température ; il organise des comparaisons qui restent à valider sur paillasse.</w:t>
      </w:r>
    </w:p>
    <w:p>
      <w:pPr>
        <w:pStyle w:val="Smallnote"/>
      </w:pPr>
      <w:r>
        <w:t>Un glossaire plus complet est fourni en annexe A ; la synthèse précédente a volontairement évité les sigles techniques.</w:t>
      </w:r>
    </w:p>
    <w:p>
      <w:pPr>
        <w:pStyle w:val="Heading2"/>
        <w:spacing w:before="100" w:after="60"/>
      </w:pPr>
      <w:r>
        <w:t>Sommaire et correspondance avec le template</w:t>
      </w:r>
    </w:p>
    <w:tbl>
      <w:tblPr>
        <w:tblStyle w:val="TableGrid"/>
        <w:tblW w:type="auto" w:w="0"/>
        <w:jc w:val="center"/>
        <w:tblLayout w:type="fixed"/>
        <w:tblLook w:firstColumn="1" w:firstRow="1" w:lastColumn="0" w:lastRow="0" w:noHBand="0" w:noVBand="1" w:val="04A0"/>
      </w:tblPr>
      <w:tblGrid>
        <w:gridCol w:w="7370"/>
        <w:gridCol w:w="2154"/>
      </w:tblGrid>
      <w:tr>
        <w:trPr>
          <w:cantSplit/>
        </w:trPr>
        <w:tc>
          <w:tcPr>
            <w:tcW w:type="dxa" w:w="7370"/>
            <w:vAlign w:val="center"/>
            <w:shd w:fill="176E75"/>
            <w:tcMar>
              <w:top w:w="45" w:type="dxa"/>
              <w:bottom w:w="45" w:type="dxa"/>
              <w:left w:w="95" w:type="dxa"/>
              <w:right w:w="95" w:type="dxa"/>
            </w:tcMar>
          </w:tcPr>
          <w:p>
            <w:pPr>
              <w:spacing w:after="0" w:before="0" w:line="240" w:lineRule="auto"/>
            </w:pPr>
            <w:r>
              <w:rPr>
                <w:rFonts w:ascii="Aptos" w:hAnsi="Aptos"/>
                <w:b/>
                <w:color w:val="FFFFFF"/>
                <w:sz w:val="15"/>
              </w:rPr>
              <w:t>Parties évaluées</w:t>
            </w:r>
          </w:p>
        </w:tc>
        <w:tc>
          <w:tcPr>
            <w:tcW w:type="dxa" w:w="2154"/>
            <w:vAlign w:val="center"/>
            <w:shd w:fill="176E75"/>
            <w:tcMar>
              <w:top w:w="45" w:type="dxa"/>
              <w:bottom w:w="45" w:type="dxa"/>
              <w:left w:w="95" w:type="dxa"/>
              <w:right w:w="95" w:type="dxa"/>
            </w:tcMar>
          </w:tcPr>
          <w:p>
            <w:pPr>
              <w:spacing w:after="0" w:before="0" w:line="240" w:lineRule="auto"/>
            </w:pPr>
            <w:r>
              <w:rPr>
                <w:rFonts w:ascii="Aptos" w:hAnsi="Aptos"/>
                <w:b/>
                <w:color w:val="FFFFFF"/>
                <w:sz w:val="15"/>
              </w:rPr>
              <w:t>Pages du rapport</w:t>
            </w:r>
          </w:p>
        </w:tc>
      </w:tr>
      <w:tr>
        <w:trPr>
          <w:cantSplit/>
        </w:trPr>
        <w:tc>
          <w:tcPr>
            <w:tcW w:type="dxa" w:w="7370"/>
            <w:vAlign w:val="center"/>
            <w:shd w:fill="DCE7F1"/>
            <w:tcMar>
              <w:top w:w="45" w:type="dxa"/>
              <w:bottom w:w="45" w:type="dxa"/>
              <w:left w:w="95" w:type="dxa"/>
              <w:right w:w="95" w:type="dxa"/>
            </w:tcMar>
          </w:tcPr>
          <w:p>
            <w:pPr>
              <w:spacing w:after="0" w:before="0" w:line="240" w:lineRule="auto"/>
            </w:pPr>
            <w:r>
              <w:rPr>
                <w:rFonts w:ascii="Aptos" w:hAnsi="Aptos"/>
                <w:b/>
                <w:color w:val="1B303E"/>
                <w:sz w:val="15"/>
              </w:rPr>
              <w:t>1. Besoins et contexte · 2. Audit de la solution data</w:t>
            </w:r>
          </w:p>
        </w:tc>
        <w:tc>
          <w:tcPr>
            <w:tcW w:type="dxa" w:w="2154"/>
            <w:vAlign w:val="center"/>
            <w:shd w:fill="DCE7F1"/>
            <w:tcMar>
              <w:top w:w="45" w:type="dxa"/>
              <w:bottom w:w="45" w:type="dxa"/>
              <w:left w:w="95" w:type="dxa"/>
              <w:right w:w="95" w:type="dxa"/>
            </w:tcMar>
          </w:tcPr>
          <w:p>
            <w:pPr>
              <w:spacing w:after="0" w:before="0" w:line="240" w:lineRule="auto"/>
            </w:pPr>
            <w:r>
              <w:rPr>
                <w:rFonts w:ascii="Aptos" w:hAnsi="Aptos"/>
                <w:b w:val="0"/>
                <w:color w:val="1B303E"/>
                <w:sz w:val="15"/>
              </w:rPr>
              <w:t>4 à 7</w:t>
            </w:r>
          </w:p>
        </w:tc>
      </w:tr>
      <w:tr>
        <w:trPr>
          <w:cantSplit/>
        </w:trPr>
        <w:tc>
          <w:tcPr>
            <w:tcW w:type="dxa" w:w="7370"/>
            <w:vAlign w:val="center"/>
            <w:shd w:fill="FFFFFF"/>
            <w:tcMar>
              <w:top w:w="45" w:type="dxa"/>
              <w:bottom w:w="45" w:type="dxa"/>
              <w:left w:w="95" w:type="dxa"/>
              <w:right w:w="95" w:type="dxa"/>
            </w:tcMar>
          </w:tcPr>
          <w:p>
            <w:pPr>
              <w:spacing w:after="0" w:before="0" w:line="240" w:lineRule="auto"/>
            </w:pPr>
            <w:r>
              <w:rPr>
                <w:rFonts w:ascii="Aptos" w:hAnsi="Aptos"/>
                <w:b/>
                <w:color w:val="1B303E"/>
                <w:sz w:val="15"/>
              </w:rPr>
              <w:t>3. Choix de solution · 4. Stratégie et méthode</w:t>
            </w:r>
          </w:p>
        </w:tc>
        <w:tc>
          <w:tcPr>
            <w:tcW w:type="dxa" w:w="2154"/>
            <w:vAlign w:val="center"/>
            <w:shd w:fill="FFFFFF"/>
            <w:tcMar>
              <w:top w:w="45" w:type="dxa"/>
              <w:bottom w:w="45" w:type="dxa"/>
              <w:left w:w="95" w:type="dxa"/>
              <w:right w:w="95" w:type="dxa"/>
            </w:tcMar>
          </w:tcPr>
          <w:p>
            <w:pPr>
              <w:spacing w:after="0" w:before="0" w:line="240" w:lineRule="auto"/>
            </w:pPr>
            <w:r>
              <w:rPr>
                <w:rFonts w:ascii="Aptos" w:hAnsi="Aptos"/>
                <w:b w:val="0"/>
                <w:color w:val="1B303E"/>
                <w:sz w:val="15"/>
              </w:rPr>
              <w:t>8 à 13</w:t>
            </w:r>
          </w:p>
        </w:tc>
      </w:tr>
      <w:tr>
        <w:trPr>
          <w:cantSplit/>
        </w:trPr>
        <w:tc>
          <w:tcPr>
            <w:tcW w:type="dxa" w:w="7370"/>
            <w:vAlign w:val="center"/>
            <w:shd w:fill="DCE7F1"/>
            <w:tcMar>
              <w:top w:w="45" w:type="dxa"/>
              <w:bottom w:w="45" w:type="dxa"/>
              <w:left w:w="95" w:type="dxa"/>
              <w:right w:w="95" w:type="dxa"/>
            </w:tcMar>
          </w:tcPr>
          <w:p>
            <w:pPr>
              <w:spacing w:after="0" w:before="0" w:line="240" w:lineRule="auto"/>
            </w:pPr>
            <w:r>
              <w:rPr>
                <w:rFonts w:ascii="Aptos" w:hAnsi="Aptos"/>
                <w:b/>
                <w:color w:val="1B303E"/>
                <w:sz w:val="15"/>
              </w:rPr>
              <w:t>5. Contrôle et suivi · 6. Conclusion</w:t>
            </w:r>
          </w:p>
        </w:tc>
        <w:tc>
          <w:tcPr>
            <w:tcW w:type="dxa" w:w="2154"/>
            <w:vAlign w:val="center"/>
            <w:shd w:fill="DCE7F1"/>
            <w:tcMar>
              <w:top w:w="45" w:type="dxa"/>
              <w:bottom w:w="45" w:type="dxa"/>
              <w:left w:w="95" w:type="dxa"/>
              <w:right w:w="95" w:type="dxa"/>
            </w:tcMar>
          </w:tcPr>
          <w:p>
            <w:pPr>
              <w:spacing w:after="0" w:before="0" w:line="240" w:lineRule="auto"/>
            </w:pPr>
            <w:r>
              <w:rPr>
                <w:rFonts w:ascii="Aptos" w:hAnsi="Aptos"/>
                <w:b w:val="0"/>
                <w:color w:val="1B303E"/>
                <w:sz w:val="15"/>
              </w:rPr>
              <w:t>14 à 16</w:t>
            </w:r>
          </w:p>
        </w:tc>
      </w:tr>
      <w:tr>
        <w:trPr>
          <w:cantSplit/>
        </w:trPr>
        <w:tc>
          <w:tcPr>
            <w:tcW w:type="dxa" w:w="7370"/>
            <w:vAlign w:val="center"/>
            <w:shd w:fill="FFFFFF"/>
            <w:tcMar>
              <w:top w:w="45" w:type="dxa"/>
              <w:bottom w:w="45" w:type="dxa"/>
              <w:left w:w="95" w:type="dxa"/>
              <w:right w:w="95" w:type="dxa"/>
            </w:tcMar>
          </w:tcPr>
          <w:p>
            <w:pPr>
              <w:spacing w:after="0" w:before="0" w:line="240" w:lineRule="auto"/>
            </w:pPr>
            <w:r>
              <w:rPr>
                <w:rFonts w:ascii="Aptos" w:hAnsi="Aptos"/>
                <w:b/>
                <w:color w:val="1B303E"/>
                <w:sz w:val="15"/>
              </w:rPr>
              <w:t>7. Annexes, résultats détaillés et sources</w:t>
            </w:r>
          </w:p>
        </w:tc>
        <w:tc>
          <w:tcPr>
            <w:tcW w:type="dxa" w:w="2154"/>
            <w:vAlign w:val="center"/>
            <w:shd w:fill="FFFFFF"/>
            <w:tcMar>
              <w:top w:w="45" w:type="dxa"/>
              <w:bottom w:w="45" w:type="dxa"/>
              <w:left w:w="95" w:type="dxa"/>
              <w:right w:w="95" w:type="dxa"/>
            </w:tcMar>
          </w:tcPr>
          <w:p>
            <w:r>
              <w:t>17 à 23</w:t>
            </w:r>
          </w:p>
        </w:tc>
      </w:tr>
    </w:tbl>
    <w:p>
      <w:r>
        <w:br w:type="page"/>
      </w:r>
    </w:p>
    <w:p>
      <w:pPr>
        <w:pStyle w:val="Eyebrow"/>
      </w:pPr>
      <w:r>
        <w:t>1. CONTEXTE ET ANALYSE DES BESOINS</w:t>
      </w:r>
    </w:p>
    <w:p>
      <w:pPr>
        <w:pStyle w:val="Heading1"/>
      </w:pPr>
      <w:r>
        <w:t>1.1 Organisation et maturité data &amp; ML</w:t>
      </w:r>
    </w:p>
    <w:p>
      <w:pPr>
        <w:pStyle w:val="Heading2"/>
      </w:pPr>
      <w:r>
        <w:t>Organisation et secteur</w:t>
      </w:r>
    </w:p>
    <w:p>
      <w:r>
        <w:t xml:space="preserve">Il s’agit d’un </w:t>
      </w:r>
      <w:r>
        <w:rPr>
          <w:b/>
        </w:rPr>
        <w:t>projet individuel</w:t>
      </w:r>
      <w:r>
        <w:t xml:space="preserve"> réalisé pour la formation Data Scientist – Machine Learning, appliqué à la R&amp;D en biochimie, biotechnologie et production de protéines recombinantes. La « structure » du projet comporte une personne assurant cadrage, préparation des données, modélisation, développement et documentation. Il n’existe ni client industriel commanditaire ni effectif de laboratoire affecté au projet. Les rôles biologiste, responsable de plateforme et qualité correspondent à des interlocuteurs cibles pour un éventuel pilote, pas à une équipe officiellement engagée.</w:t>
      </w:r>
    </w:p>
    <w:p>
      <w:pPr>
        <w:pStyle w:val="Heading2"/>
      </w:pPr>
      <w:r>
        <w:t>Maturité de départ : diagnostic SWOT ciblé</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Axe</w:t>
            </w:r>
          </w:p>
        </w:tc>
        <w:tc>
          <w:tcPr>
            <w:tcW w:type="dxa" w:w="3184"/>
            <w:vAlign w:val="center"/>
            <w:shd w:fill="176E75"/>
          </w:tcPr>
          <w:p>
            <w:pPr>
              <w:spacing w:after="20" w:before="20"/>
            </w:pPr>
            <w:r>
              <w:rPr>
                <w:b/>
                <w:color w:val="FFFFFF"/>
                <w:sz w:val="17"/>
              </w:rPr>
              <w:t>Forces observées</w:t>
            </w:r>
          </w:p>
        </w:tc>
        <w:tc>
          <w:tcPr>
            <w:tcW w:type="dxa" w:w="3184"/>
            <w:vAlign w:val="center"/>
            <w:shd w:fill="176E75"/>
          </w:tcPr>
          <w:p>
            <w:pPr>
              <w:spacing w:after="20" w:before="20"/>
            </w:pPr>
            <w:r>
              <w:rPr>
                <w:b/>
                <w:color w:val="FFFFFF"/>
                <w:sz w:val="17"/>
              </w:rPr>
              <w:t>Faiblesses / vigilance</w:t>
            </w:r>
          </w:p>
        </w:tc>
      </w:tr>
      <w:tr>
        <w:trPr>
          <w:cantSplit/>
        </w:trPr>
        <w:tc>
          <w:tcPr>
            <w:tcW w:type="dxa" w:w="3184"/>
          </w:tcPr>
          <w:p>
            <w:pPr>
              <w:spacing w:after="20" w:before="20"/>
            </w:pPr>
            <w:r>
              <w:rPr>
                <w:sz w:val="17"/>
              </w:rPr>
              <w:t>Métier / données</w:t>
            </w:r>
          </w:p>
        </w:tc>
        <w:tc>
          <w:tcPr>
            <w:tcW w:type="dxa" w:w="3184"/>
          </w:tcPr>
          <w:p>
            <w:pPr>
              <w:spacing w:after="20" w:before="20"/>
            </w:pPr>
            <w:r>
              <w:rPr>
                <w:sz w:val="17"/>
              </w:rPr>
              <w:t>Expérience pratique de production, purification, contrôle qualité</w:t>
            </w:r>
          </w:p>
        </w:tc>
        <w:tc>
          <w:tcPr>
            <w:tcW w:type="dxa" w:w="3184"/>
          </w:tcPr>
          <w:p>
            <w:pPr>
              <w:spacing w:after="20" w:before="20"/>
            </w:pPr>
            <w:r>
              <w:rPr>
                <w:sz w:val="17"/>
              </w:rPr>
              <w:t>Données publiques hétérogènes ; conditions de production incomplètes</w:t>
            </w:r>
          </w:p>
        </w:tc>
      </w:tr>
      <w:tr>
        <w:trPr>
          <w:cantSplit/>
        </w:trPr>
        <w:tc>
          <w:tcPr>
            <w:tcW w:type="dxa" w:w="3184"/>
          </w:tcPr>
          <w:p>
            <w:pPr>
              <w:spacing w:after="20" w:before="20"/>
            </w:pPr>
            <w:r>
              <w:rPr>
                <w:sz w:val="17"/>
              </w:rPr>
              <w:t>Data &amp; ML</w:t>
            </w:r>
          </w:p>
        </w:tc>
        <w:tc>
          <w:tcPr>
            <w:tcW w:type="dxa" w:w="3184"/>
          </w:tcPr>
          <w:p>
            <w:pPr>
              <w:spacing w:after="20" w:before="20"/>
            </w:pPr>
            <w:r>
              <w:rPr>
                <w:sz w:val="17"/>
              </w:rPr>
              <w:t>Première chaîne supervisée, métriques et tests</w:t>
            </w:r>
          </w:p>
        </w:tc>
        <w:tc>
          <w:tcPr>
            <w:tcW w:type="dxa" w:w="3184"/>
          </w:tcPr>
          <w:p>
            <w:pPr>
              <w:spacing w:after="20" w:before="20"/>
            </w:pPr>
            <w:r>
              <w:rPr>
                <w:sz w:val="17"/>
              </w:rPr>
              <w:t>Sensibilité à l’homologie ; faible preuve externe</w:t>
            </w:r>
          </w:p>
        </w:tc>
      </w:tr>
      <w:tr>
        <w:trPr>
          <w:cantSplit/>
        </w:trPr>
        <w:tc>
          <w:tcPr>
            <w:tcW w:type="dxa" w:w="3184"/>
          </w:tcPr>
          <w:p>
            <w:pPr>
              <w:spacing w:after="20" w:before="20"/>
            </w:pPr>
            <w:r>
              <w:rPr>
                <w:sz w:val="17"/>
              </w:rPr>
              <w:t>MLOps</w:t>
            </w:r>
          </w:p>
        </w:tc>
        <w:tc>
          <w:tcPr>
            <w:tcW w:type="dxa" w:w="3184"/>
          </w:tcPr>
          <w:p>
            <w:pPr>
              <w:spacing w:after="20" w:before="20"/>
            </w:pPr>
            <w:r>
              <w:rPr>
                <w:sz w:val="17"/>
              </w:rPr>
              <w:t>Git, FastAPI, Docker, CI/CD, suivi et optimisation explorés</w:t>
            </w:r>
          </w:p>
        </w:tc>
        <w:tc>
          <w:tcPr>
            <w:tcW w:type="dxa" w:w="3184"/>
          </w:tcPr>
          <w:p>
            <w:pPr>
              <w:spacing w:after="20" w:before="20"/>
            </w:pPr>
            <w:r>
              <w:rPr>
                <w:sz w:val="17"/>
              </w:rPr>
              <w:t>Écart entre prototypes techniques et usage scientifique réel</w:t>
            </w:r>
          </w:p>
        </w:tc>
      </w:tr>
      <w:tr>
        <w:trPr>
          <w:cantSplit/>
        </w:trPr>
        <w:tc>
          <w:tcPr>
            <w:tcW w:type="dxa" w:w="3184"/>
          </w:tcPr>
          <w:p>
            <w:pPr>
              <w:spacing w:after="20" w:before="20"/>
            </w:pPr>
            <w:r>
              <w:rPr>
                <w:sz w:val="17"/>
              </w:rPr>
              <w:t>Adoption</w:t>
            </w:r>
          </w:p>
        </w:tc>
        <w:tc>
          <w:tcPr>
            <w:tcW w:type="dxa" w:w="3184"/>
          </w:tcPr>
          <w:p>
            <w:pPr>
              <w:spacing w:after="20" w:before="20"/>
            </w:pPr>
            <w:r>
              <w:rPr>
                <w:sz w:val="17"/>
              </w:rPr>
              <w:t>Problème concret, profils d’utilisateurs identifiables</w:t>
            </w:r>
          </w:p>
        </w:tc>
        <w:tc>
          <w:tcPr>
            <w:tcW w:type="dxa" w:w="3184"/>
          </w:tcPr>
          <w:p>
            <w:pPr>
              <w:spacing w:after="20" w:before="20"/>
            </w:pPr>
            <w:r>
              <w:rPr>
                <w:sz w:val="17"/>
              </w:rPr>
              <w:t>Pas de mesure d’usage ou de gains expérimentaux</w:t>
            </w:r>
          </w:p>
        </w:tc>
      </w:tr>
      <w:tr>
        <w:trPr>
          <w:cantSplit/>
        </w:trPr>
        <w:tc>
          <w:tcPr>
            <w:tcW w:type="dxa" w:w="3184"/>
          </w:tcPr>
          <w:p>
            <w:pPr>
              <w:spacing w:after="20" w:before="20"/>
            </w:pPr>
            <w:r>
              <w:rPr>
                <w:sz w:val="17"/>
              </w:rPr>
              <w:t>Sécurité</w:t>
            </w:r>
          </w:p>
        </w:tc>
        <w:tc>
          <w:tcPr>
            <w:tcW w:type="dxa" w:w="3184"/>
          </w:tcPr>
          <w:p>
            <w:pPr>
              <w:spacing w:after="20" w:before="20"/>
            </w:pPr>
            <w:r>
              <w:rPr>
                <w:sz w:val="17"/>
              </w:rPr>
              <w:t>Reproductibilité et séparation des artefacts privés</w:t>
            </w:r>
          </w:p>
        </w:tc>
        <w:tc>
          <w:tcPr>
            <w:tcW w:type="dxa" w:w="3184"/>
          </w:tcPr>
          <w:p>
            <w:pPr>
              <w:spacing w:after="20" w:before="20"/>
            </w:pPr>
            <w:r>
              <w:rPr>
                <w:sz w:val="17"/>
              </w:rPr>
              <w:t>Recherche externe de séquences à encadrer</w:t>
            </w:r>
          </w:p>
        </w:tc>
      </w:tr>
    </w:tbl>
    <w:p>
      <w:pPr>
        <w:spacing w:after="20"/>
      </w:pPr>
    </w:p>
    <w:p>
      <w:pPr>
        <w:pStyle w:val="Heading2"/>
      </w:pPr>
      <w:r>
        <w:t>Enjeux stratégiques liés à la donnée</w:t>
      </w:r>
    </w:p>
    <w:p>
      <w:r>
        <w:t xml:space="preserve">La maturité recherchée n’est pas une production industrielle autonome, mais un </w:t>
      </w:r>
      <w:r>
        <w:rPr>
          <w:b/>
        </w:rPr>
        <w:t>démonstrateur opérationnel et contrôlable</w:t>
      </w:r>
      <w:r>
        <w:t xml:space="preserve"> : saisie facile, provenance des données, seuil explicite, recommandations compréhensibles, code traçable et limites annoncées. Le passage à un service laboratoire exigerait un pilote prospectif et des règles de confidentialité.</w:t>
      </w:r>
    </w:p>
    <w:p>
      <w:r>
        <w:br w:type="page"/>
      </w:r>
    </w:p>
    <w:p>
      <w:pPr>
        <w:pStyle w:val="Eyebrow"/>
      </w:pPr>
      <w:r>
        <w:t>1. CONTEXTE ET ANALYSE DES BESOINS</w:t>
      </w:r>
    </w:p>
    <w:p>
      <w:pPr>
        <w:pStyle w:val="Heading1"/>
      </w:pPr>
      <w:r>
        <w:t>1.2 Besoin métier, utilisateurs et critères</w:t>
      </w:r>
    </w:p>
    <w:p>
      <w:pPr>
        <w:pStyle w:val="Heading2"/>
      </w:pPr>
      <w:r>
        <w:t>Trois observations métier qui ont guidé le cadrage</w:t>
      </w:r>
    </w:p>
    <w:p>
      <w:pPr>
        <w:pStyle w:val="ListBullet"/>
        <w:ind w:left="312" w:hanging="147"/>
      </w:pPr>
      <w:r>
        <w:t>La sélection s’effectue en comparant domaines, bornes de constructions, mutations et tags selon l’objectif expérimental.</w:t>
      </w:r>
    </w:p>
    <w:p>
      <w:pPr>
        <w:pStyle w:val="ListBullet"/>
        <w:ind w:left="312" w:hanging="147"/>
      </w:pPr>
      <w:r>
        <w:t>Des difficultés reviennent : précipitation, agrégation, mauvais repliement, fraction soluble insuffisante ou activité perdue.</w:t>
      </w:r>
    </w:p>
    <w:p>
      <w:pPr>
        <w:pStyle w:val="ListBullet"/>
        <w:ind w:left="312" w:hanging="147"/>
      </w:pPr>
      <w:r>
        <w:t>Un cycle infructueux engage préparation, expression, lyse, analyse et parfois purification ; les coûts varient selon la cible et l’échelle.</w:t>
      </w:r>
    </w:p>
    <w:p>
      <w:pPr>
        <w:pStyle w:val="Heading2"/>
      </w:pPr>
      <w:r>
        <w:t>Parties prenantes et exigences prioritaires</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Utilisateur cible</w:t>
            </w:r>
          </w:p>
        </w:tc>
        <w:tc>
          <w:tcPr>
            <w:tcW w:type="dxa" w:w="3184"/>
            <w:vAlign w:val="center"/>
            <w:shd w:fill="176E75"/>
          </w:tcPr>
          <w:p>
            <w:pPr>
              <w:spacing w:after="20" w:before="20"/>
            </w:pPr>
            <w:r>
              <w:rPr>
                <w:b/>
                <w:color w:val="FFFFFF"/>
                <w:sz w:val="17"/>
              </w:rPr>
              <w:t>Besoin</w:t>
            </w:r>
          </w:p>
        </w:tc>
        <w:tc>
          <w:tcPr>
            <w:tcW w:type="dxa" w:w="3184"/>
            <w:vAlign w:val="center"/>
            <w:shd w:fill="176E75"/>
          </w:tcPr>
          <w:p>
            <w:pPr>
              <w:spacing w:after="20" w:before="20"/>
            </w:pPr>
            <w:r>
              <w:rPr>
                <w:b/>
                <w:color w:val="FFFFFF"/>
                <w:sz w:val="17"/>
              </w:rPr>
              <w:t>Critère de réussite</w:t>
            </w:r>
          </w:p>
        </w:tc>
      </w:tr>
      <w:tr>
        <w:trPr>
          <w:cantSplit/>
        </w:trPr>
        <w:tc>
          <w:tcPr>
            <w:tcW w:type="dxa" w:w="3184"/>
          </w:tcPr>
          <w:p>
            <w:pPr>
              <w:spacing w:after="20" w:before="20"/>
            </w:pPr>
            <w:r>
              <w:rPr>
                <w:sz w:val="17"/>
              </w:rPr>
              <w:t>Biochimiste / ingénieur de recherche</w:t>
            </w:r>
          </w:p>
        </w:tc>
        <w:tc>
          <w:tcPr>
            <w:tcW w:type="dxa" w:w="3184"/>
          </w:tcPr>
          <w:p>
            <w:pPr>
              <w:spacing w:after="20" w:before="20"/>
            </w:pPr>
            <w:r>
              <w:rPr>
                <w:sz w:val="17"/>
              </w:rPr>
              <w:t>Décider quels essais lancer</w:t>
            </w:r>
          </w:p>
        </w:tc>
        <w:tc>
          <w:tcPr>
            <w:tcW w:type="dxa" w:w="3184"/>
          </w:tcPr>
          <w:p>
            <w:pPr>
              <w:spacing w:after="20" w:before="20"/>
            </w:pPr>
            <w:r>
              <w:rPr>
                <w:sz w:val="17"/>
              </w:rPr>
              <w:t>Score lisible et propositions motivées</w:t>
            </w:r>
          </w:p>
        </w:tc>
      </w:tr>
      <w:tr>
        <w:trPr>
          <w:cantSplit/>
        </w:trPr>
        <w:tc>
          <w:tcPr>
            <w:tcW w:type="dxa" w:w="3184"/>
          </w:tcPr>
          <w:p>
            <w:pPr>
              <w:spacing w:after="20" w:before="20"/>
            </w:pPr>
            <w:r>
              <w:rPr>
                <w:sz w:val="17"/>
              </w:rPr>
              <w:t>Responsable de plateforme</w:t>
            </w:r>
          </w:p>
        </w:tc>
        <w:tc>
          <w:tcPr>
            <w:tcW w:type="dxa" w:w="3184"/>
          </w:tcPr>
          <w:p>
            <w:pPr>
              <w:spacing w:after="20" w:before="20"/>
            </w:pPr>
            <w:r>
              <w:rPr>
                <w:sz w:val="17"/>
              </w:rPr>
              <w:t>Comparer coût des options</w:t>
            </w:r>
          </w:p>
        </w:tc>
        <w:tc>
          <w:tcPr>
            <w:tcW w:type="dxa" w:w="3184"/>
          </w:tcPr>
          <w:p>
            <w:pPr>
              <w:spacing w:after="20" w:before="20"/>
            </w:pPr>
            <w:r>
              <w:rPr>
                <w:sz w:val="17"/>
              </w:rPr>
              <w:t>Suivi des coûts et essais évités</w:t>
            </w:r>
          </w:p>
        </w:tc>
      </w:tr>
      <w:tr>
        <w:trPr>
          <w:cantSplit/>
        </w:trPr>
        <w:tc>
          <w:tcPr>
            <w:tcW w:type="dxa" w:w="3184"/>
          </w:tcPr>
          <w:p>
            <w:pPr>
              <w:spacing w:after="20" w:before="20"/>
            </w:pPr>
            <w:r>
              <w:rPr>
                <w:sz w:val="17"/>
              </w:rPr>
              <w:t>Chef de projet Data/ML</w:t>
            </w:r>
          </w:p>
        </w:tc>
        <w:tc>
          <w:tcPr>
            <w:tcW w:type="dxa" w:w="3184"/>
          </w:tcPr>
          <w:p>
            <w:pPr>
              <w:spacing w:after="20" w:before="20"/>
            </w:pPr>
            <w:r>
              <w:rPr>
                <w:sz w:val="17"/>
              </w:rPr>
              <w:t>Comparer, reproduire, déployer</w:t>
            </w:r>
          </w:p>
        </w:tc>
        <w:tc>
          <w:tcPr>
            <w:tcW w:type="dxa" w:w="3184"/>
          </w:tcPr>
          <w:p>
            <w:pPr>
              <w:spacing w:after="20" w:before="20"/>
            </w:pPr>
            <w:r>
              <w:rPr>
                <w:sz w:val="17"/>
              </w:rPr>
              <w:t>Versions et tests de non-régression</w:t>
            </w:r>
          </w:p>
        </w:tc>
      </w:tr>
      <w:tr>
        <w:trPr>
          <w:cantSplit/>
        </w:trPr>
        <w:tc>
          <w:tcPr>
            <w:tcW w:type="dxa" w:w="3184"/>
          </w:tcPr>
          <w:p>
            <w:pPr>
              <w:spacing w:after="20" w:before="20"/>
            </w:pPr>
            <w:r>
              <w:rPr>
                <w:sz w:val="17"/>
              </w:rPr>
              <w:t>Qualité / SI</w:t>
            </w:r>
          </w:p>
        </w:tc>
        <w:tc>
          <w:tcPr>
            <w:tcW w:type="dxa" w:w="3184"/>
          </w:tcPr>
          <w:p>
            <w:pPr>
              <w:spacing w:after="20" w:before="20"/>
            </w:pPr>
            <w:r>
              <w:rPr>
                <w:sz w:val="17"/>
              </w:rPr>
              <w:t>Contrôler les données et services tiers</w:t>
            </w:r>
          </w:p>
        </w:tc>
        <w:tc>
          <w:tcPr>
            <w:tcW w:type="dxa" w:w="3184"/>
          </w:tcPr>
          <w:p>
            <w:pPr>
              <w:spacing w:after="20" w:before="20"/>
            </w:pPr>
            <w:r>
              <w:rPr>
                <w:sz w:val="17"/>
              </w:rPr>
              <w:t>Traçabilité, contrôle d’accès et évaluation des risques</w:t>
            </w:r>
          </w:p>
        </w:tc>
      </w:tr>
    </w:tbl>
    <w:p>
      <w:pPr>
        <w:spacing w:after="20"/>
      </w:pPr>
    </w:p>
    <w:p>
      <w:r>
        <w:rPr>
          <w:b/>
        </w:rPr>
        <w:t>Recueil du besoin :</w:t>
      </w:r>
      <w:r>
        <w:t xml:space="preserve"> capitalisation de l’expérience professionnelle et revue des étapes de production ; les entretiens utilisateurs et ateliers multi-équipes constituent un travail futur. La priorisation est issue du cadrage individuel, pas d’un consensus client.</w:t>
      </w:r>
    </w:p>
    <w:p>
      <w:pPr>
        <w:pStyle w:val="Heading2"/>
      </w:pPr>
      <w:r>
        <w:t>Exigences fonctionnelles retenues</w:t>
      </w:r>
    </w:p>
    <w:p>
      <w:pPr>
        <w:pStyle w:val="ListBullet"/>
        <w:ind w:left="312" w:hanging="147"/>
      </w:pPr>
      <w:r>
        <w:t>Essentielles : prédire depuis une séquence brute, expliciter la longueur analysée, figer les paramètres et donner un résultat vérifiable.</w:t>
      </w:r>
    </w:p>
    <w:p>
      <w:pPr>
        <w:pStyle w:val="ListBullet"/>
        <w:ind w:left="312" w:hanging="147"/>
      </w:pPr>
      <w:r>
        <w:t>Importantes : identifier la protéine avec provenance, proposer des constructions hiérarchisées, produire une fiche PDF.</w:t>
      </w:r>
    </w:p>
    <w:p>
      <w:pPr>
        <w:pStyle w:val="ListBullet"/>
        <w:ind w:left="312" w:hanging="147"/>
      </w:pPr>
      <w:r>
        <w:t>Hors périmètre : garantir un tag, un rendement, un hôte ou une température optimaux sans données dédiées.</w:t>
      </w:r>
    </w:p>
    <w:p>
      <w:r>
        <w:br w:type="page"/>
      </w:r>
    </w:p>
    <w:p>
      <w:pPr>
        <w:pStyle w:val="Eyebrow"/>
      </w:pPr>
      <w:r>
        <w:t>2. AUDIT DE LA SOLUTION DATA</w:t>
      </w:r>
    </w:p>
    <w:p>
      <w:pPr>
        <w:pStyle w:val="Heading1"/>
      </w:pPr>
      <w:r>
        <w:t>2.1 Processus actuel et flux de données</w:t>
      </w:r>
    </w:p>
    <w:p>
      <w:r>
        <w:t xml:space="preserve">Le processus habituel est itératif : le chercheur définit une cible, conçoit plusieurs constructions, réalise des essais, mesure les fractions solubles et insolubles et recommence si nécessaire. L’outil ajoute une étape d’aide au choix </w:t>
      </w:r>
      <w:r>
        <w:rPr>
          <w:b/>
        </w:rPr>
        <w:t>en amont du premier essai</w:t>
      </w:r>
      <w:r>
        <w:t>, sans supprimer la validation expérimentale.</w:t>
      </w:r>
    </w:p>
    <w:p>
      <w:pPr>
        <w:spacing w:after="60"/>
        <w:jc w:val="center"/>
      </w:pPr>
      <w:r>
        <w:drawing>
          <wp:inline xmlns:a="http://schemas.openxmlformats.org/drawingml/2006/main" xmlns:pic="http://schemas.openxmlformats.org/drawingml/2006/picture">
            <wp:extent cx="5886000" cy="2816518"/>
            <wp:docPr id="2" name="Picture 2"/>
            <wp:cNvGraphicFramePr>
              <a:graphicFrameLocks noChangeAspect="1"/>
            </wp:cNvGraphicFramePr>
            <a:graphic>
              <a:graphicData uri="http://schemas.openxmlformats.org/drawingml/2006/picture">
                <pic:pic>
                  <pic:nvPicPr>
                    <pic:cNvPr id="0" name="processus_metier.png"/>
                    <pic:cNvPicPr/>
                  </pic:nvPicPr>
                  <pic:blipFill>
                    <a:blip r:embed="rId11"/>
                    <a:stretch>
                      <a:fillRect/>
                    </a:stretch>
                  </pic:blipFill>
                  <pic:spPr>
                    <a:xfrm>
                      <a:off x="0" y="0"/>
                      <a:ext cx="5886000" cy="2816518"/>
                    </a:xfrm>
                    <a:prstGeom prst="rect"/>
                  </pic:spPr>
                </pic:pic>
              </a:graphicData>
            </a:graphic>
          </wp:inline>
        </w:drawing>
      </w:r>
    </w:p>
    <w:p>
      <w:pPr>
        <w:pStyle w:val="Heading2"/>
      </w:pPr>
      <w:r>
        <w:t>Flux de données mis en place</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Entrée / étape</w:t>
            </w:r>
          </w:p>
        </w:tc>
        <w:tc>
          <w:tcPr>
            <w:tcW w:type="dxa" w:w="3184"/>
            <w:vAlign w:val="center"/>
            <w:shd w:fill="176E75"/>
          </w:tcPr>
          <w:p>
            <w:pPr>
              <w:spacing w:after="20" w:before="20"/>
            </w:pPr>
            <w:r>
              <w:rPr>
                <w:b/>
                <w:color w:val="FFFFFF"/>
                <w:sz w:val="17"/>
              </w:rPr>
              <w:t>Transformation</w:t>
            </w:r>
          </w:p>
        </w:tc>
        <w:tc>
          <w:tcPr>
            <w:tcW w:type="dxa" w:w="3184"/>
            <w:vAlign w:val="center"/>
            <w:shd w:fill="176E75"/>
          </w:tcPr>
          <w:p>
            <w:pPr>
              <w:spacing w:after="20" w:before="20"/>
            </w:pPr>
            <w:r>
              <w:rPr>
                <w:b/>
                <w:color w:val="FFFFFF"/>
                <w:sz w:val="17"/>
              </w:rPr>
              <w:t>Sortie / contrôle</w:t>
            </w:r>
          </w:p>
        </w:tc>
      </w:tr>
      <w:tr>
        <w:trPr>
          <w:cantSplit/>
        </w:trPr>
        <w:tc>
          <w:tcPr>
            <w:tcW w:type="dxa" w:w="3184"/>
          </w:tcPr>
          <w:p>
            <w:pPr>
              <w:spacing w:after="20" w:before="20"/>
            </w:pPr>
            <w:r>
              <w:rPr>
                <w:sz w:val="17"/>
              </w:rPr>
              <w:t>Séquence brute</w:t>
            </w:r>
          </w:p>
        </w:tc>
        <w:tc>
          <w:tcPr>
            <w:tcW w:type="dxa" w:w="3184"/>
          </w:tcPr>
          <w:p>
            <w:pPr>
              <w:spacing w:after="20" w:before="20"/>
            </w:pPr>
            <w:r>
              <w:rPr>
                <w:sz w:val="17"/>
              </w:rPr>
              <w:t>Vérification des 20 AA standards, longueur</w:t>
            </w:r>
          </w:p>
        </w:tc>
        <w:tc>
          <w:tcPr>
            <w:tcW w:type="dxa" w:w="3184"/>
          </w:tcPr>
          <w:p>
            <w:pPr>
              <w:spacing w:after="20" w:before="20"/>
            </w:pPr>
            <w:r>
              <w:rPr>
                <w:sz w:val="17"/>
              </w:rPr>
              <w:t>Entrée admissible ; erreurs explicites</w:t>
            </w:r>
          </w:p>
        </w:tc>
      </w:tr>
      <w:tr>
        <w:trPr>
          <w:cantSplit/>
        </w:trPr>
        <w:tc>
          <w:tcPr>
            <w:tcW w:type="dxa" w:w="3184"/>
          </w:tcPr>
          <w:p>
            <w:pPr>
              <w:spacing w:after="20" w:before="20"/>
            </w:pPr>
            <w:r>
              <w:rPr>
                <w:sz w:val="17"/>
              </w:rPr>
              <w:t>Données étiquetées</w:t>
            </w:r>
          </w:p>
        </w:tc>
        <w:tc>
          <w:tcPr>
            <w:tcW w:type="dxa" w:w="3184"/>
          </w:tcPr>
          <w:p>
            <w:pPr>
              <w:spacing w:after="20" w:before="20"/>
            </w:pPr>
            <w:r>
              <w:rPr>
                <w:sz w:val="17"/>
              </w:rPr>
              <w:t>Alignement identifiants et contrôle d’homologie</w:t>
            </w:r>
          </w:p>
        </w:tc>
        <w:tc>
          <w:tcPr>
            <w:tcW w:type="dxa" w:w="3184"/>
          </w:tcPr>
          <w:p>
            <w:pPr>
              <w:spacing w:after="20" w:before="20"/>
            </w:pPr>
            <w:r>
              <w:rPr>
                <w:sz w:val="17"/>
              </w:rPr>
              <w:t>Partitions de développement séparées</w:t>
            </w:r>
          </w:p>
        </w:tc>
      </w:tr>
      <w:tr>
        <w:trPr>
          <w:cantSplit/>
        </w:trPr>
        <w:tc>
          <w:tcPr>
            <w:tcW w:type="dxa" w:w="3184"/>
          </w:tcPr>
          <w:p>
            <w:pPr>
              <w:spacing w:after="20" w:before="20"/>
            </w:pPr>
            <w:r>
              <w:rPr>
                <w:sz w:val="17"/>
              </w:rPr>
              <w:t>Modèle de séquence + Bio13</w:t>
            </w:r>
          </w:p>
        </w:tc>
        <w:tc>
          <w:tcPr>
            <w:tcW w:type="dxa" w:w="3184"/>
          </w:tcPr>
          <w:p>
            <w:pPr>
              <w:spacing w:after="20" w:before="20"/>
            </w:pPr>
            <w:r>
              <w:rPr>
                <w:sz w:val="17"/>
              </w:rPr>
              <w:t>Encodage et classement par le modèle</w:t>
            </w:r>
          </w:p>
        </w:tc>
        <w:tc>
          <w:tcPr>
            <w:tcW w:type="dxa" w:w="3184"/>
          </w:tcPr>
          <w:p>
            <w:pPr>
              <w:spacing w:after="20" w:before="20"/>
            </w:pPr>
            <w:r>
              <w:rPr>
                <w:sz w:val="17"/>
              </w:rPr>
              <w:t>Score et longueur réellement analysée</w:t>
            </w:r>
          </w:p>
        </w:tc>
      </w:tr>
      <w:tr>
        <w:trPr>
          <w:cantSplit/>
        </w:trPr>
        <w:tc>
          <w:tcPr>
            <w:tcW w:type="dxa" w:w="3184"/>
          </w:tcPr>
          <w:p>
            <w:pPr>
              <w:spacing w:after="20" w:before="20"/>
            </w:pPr>
            <w:r>
              <w:rPr>
                <w:sz w:val="17"/>
              </w:rPr>
              <w:t>Bases publiques</w:t>
            </w:r>
          </w:p>
        </w:tc>
        <w:tc>
          <w:tcPr>
            <w:tcW w:type="dxa" w:w="3184"/>
          </w:tcPr>
          <w:p>
            <w:pPr>
              <w:spacing w:after="20" w:before="20"/>
            </w:pPr>
            <w:r>
              <w:rPr>
                <w:sz w:val="17"/>
              </w:rPr>
              <w:t>Recherche de similarité PDB/UniProt</w:t>
            </w:r>
          </w:p>
        </w:tc>
        <w:tc>
          <w:tcPr>
            <w:tcW w:type="dxa" w:w="3184"/>
          </w:tcPr>
          <w:p>
            <w:pPr>
              <w:spacing w:after="20" w:before="20"/>
            </w:pPr>
            <w:r>
              <w:rPr>
                <w:sz w:val="17"/>
              </w:rPr>
              <w:t>Annotation avec provenance, si fiable</w:t>
            </w:r>
          </w:p>
        </w:tc>
      </w:tr>
      <w:tr>
        <w:trPr>
          <w:cantSplit/>
        </w:trPr>
        <w:tc>
          <w:tcPr>
            <w:tcW w:type="dxa" w:w="3184"/>
          </w:tcPr>
          <w:p>
            <w:pPr>
              <w:spacing w:after="20" w:before="20"/>
            </w:pPr>
            <w:r>
              <w:rPr>
                <w:sz w:val="17"/>
              </w:rPr>
              <w:t>Règles métier</w:t>
            </w:r>
          </w:p>
        </w:tc>
        <w:tc>
          <w:tcPr>
            <w:tcW w:type="dxa" w:w="3184"/>
          </w:tcPr>
          <w:p>
            <w:pPr>
              <w:spacing w:after="20" w:before="20"/>
            </w:pPr>
            <w:r>
              <w:rPr>
                <w:sz w:val="17"/>
              </w:rPr>
              <w:t>Hiérarchisation d’essais et contrôles</w:t>
            </w:r>
          </w:p>
        </w:tc>
        <w:tc>
          <w:tcPr>
            <w:tcW w:type="dxa" w:w="3184"/>
          </w:tcPr>
          <w:p>
            <w:pPr>
              <w:spacing w:after="20" w:before="20"/>
            </w:pPr>
            <w:r>
              <w:rPr>
                <w:sz w:val="17"/>
              </w:rPr>
              <w:t>Plan expérimental indicatif + PDF</w:t>
            </w:r>
          </w:p>
        </w:tc>
      </w:tr>
      <w:tr>
        <w:trPr>
          <w:cantSplit/>
        </w:trPr>
        <w:tc>
          <w:tcPr>
            <w:tcW w:type="dxa" w:w="3184"/>
          </w:tcPr>
          <w:p>
            <w:pPr>
              <w:spacing w:after="20" w:before="20"/>
            </w:pPr>
            <w:r>
              <w:rPr>
                <w:sz w:val="17"/>
              </w:rPr>
              <w:t>Versions du code</w:t>
            </w:r>
          </w:p>
        </w:tc>
        <w:tc>
          <w:tcPr>
            <w:tcW w:type="dxa" w:w="3184"/>
          </w:tcPr>
          <w:p>
            <w:pPr>
              <w:spacing w:after="20" w:before="20"/>
            </w:pPr>
            <w:r>
              <w:rPr>
                <w:sz w:val="17"/>
              </w:rPr>
              <w:t>Tests GitHub + gestion du checkpoint privé</w:t>
            </w:r>
          </w:p>
        </w:tc>
        <w:tc>
          <w:tcPr>
            <w:tcW w:type="dxa" w:w="3184"/>
          </w:tcPr>
          <w:p>
            <w:pPr>
              <w:spacing w:after="20" w:before="20"/>
            </w:pPr>
            <w:r>
              <w:rPr>
                <w:sz w:val="17"/>
              </w:rPr>
              <w:t>Reproductibilité et traçabilité</w:t>
            </w:r>
          </w:p>
        </w:tc>
      </w:tr>
    </w:tbl>
    <w:p>
      <w:pPr>
        <w:spacing w:after="20"/>
      </w:pPr>
    </w:p>
    <w:p>
      <w:pPr>
        <w:pStyle w:val="Heading2"/>
      </w:pPr>
      <w:r>
        <w:t>Risques associés au processus</w:t>
      </w:r>
    </w:p>
    <w:p>
      <w:r>
        <w:t>La séquence peut être confidentielle ; une recherche externe demande une politique d’autorisation. Les données de solubilité publiques ne décrivent pas toujours le même protocole d’expression, et deux protéines homologues peuvent fausser l’évaluation si elles passent d’un jeu à l’autre.</w:t>
      </w:r>
    </w:p>
    <w:p>
      <w:r>
        <w:br w:type="page"/>
      </w:r>
    </w:p>
    <w:p>
      <w:pPr>
        <w:pStyle w:val="Eyebrow"/>
      </w:pPr>
      <w:r>
        <w:t>2. AUDIT DE LA SOLUTION DATA</w:t>
      </w:r>
    </w:p>
    <w:p>
      <w:pPr>
        <w:pStyle w:val="Heading1"/>
      </w:pPr>
      <w:r>
        <w:t>2.2 Données, partitions et écarts</w:t>
      </w:r>
    </w:p>
    <w:p>
      <w:pPr>
        <w:pStyle w:val="Heading2"/>
      </w:pPr>
      <w:r>
        <w:t>Un jeu de données, cinq usages distincts</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Partition</w:t>
            </w:r>
          </w:p>
        </w:tc>
        <w:tc>
          <w:tcPr>
            <w:tcW w:type="dxa" w:w="3184"/>
            <w:vAlign w:val="center"/>
            <w:shd w:fill="176E75"/>
          </w:tcPr>
          <w:p>
            <w:pPr>
              <w:spacing w:after="20" w:before="20"/>
            </w:pPr>
            <w:r>
              <w:rPr>
                <w:b/>
                <w:color w:val="FFFFFF"/>
                <w:sz w:val="17"/>
              </w:rPr>
              <w:t>Nombre</w:t>
            </w:r>
          </w:p>
        </w:tc>
        <w:tc>
          <w:tcPr>
            <w:tcW w:type="dxa" w:w="3184"/>
            <w:vAlign w:val="center"/>
            <w:shd w:fill="176E75"/>
          </w:tcPr>
          <w:p>
            <w:pPr>
              <w:spacing w:after="20" w:before="20"/>
            </w:pPr>
            <w:r>
              <w:rPr>
                <w:b/>
                <w:color w:val="FFFFFF"/>
                <w:sz w:val="17"/>
              </w:rPr>
              <w:t>À quoi sert-elle ?</w:t>
            </w:r>
          </w:p>
        </w:tc>
      </w:tr>
      <w:tr>
        <w:trPr>
          <w:cantSplit/>
        </w:trPr>
        <w:tc>
          <w:tcPr>
            <w:tcW w:type="dxa" w:w="3184"/>
          </w:tcPr>
          <w:p>
            <w:pPr>
              <w:spacing w:after="20" w:before="20"/>
            </w:pPr>
            <w:r>
              <w:rPr>
                <w:sz w:val="17"/>
              </w:rPr>
              <w:t>Fit</w:t>
            </w:r>
          </w:p>
        </w:tc>
        <w:tc>
          <w:tcPr>
            <w:tcW w:type="dxa" w:w="3184"/>
          </w:tcPr>
          <w:p>
            <w:pPr>
              <w:spacing w:after="20" w:before="20"/>
            </w:pPr>
            <w:r>
              <w:rPr>
                <w:sz w:val="17"/>
              </w:rPr>
              <w:t>46 270</w:t>
            </w:r>
          </w:p>
        </w:tc>
        <w:tc>
          <w:tcPr>
            <w:tcW w:type="dxa" w:w="3184"/>
          </w:tcPr>
          <w:p>
            <w:pPr>
              <w:spacing w:after="20" w:before="20"/>
            </w:pPr>
            <w:r>
              <w:rPr>
                <w:sz w:val="17"/>
              </w:rPr>
              <w:t>Apprendre les paramètres du modèle.</w:t>
            </w:r>
          </w:p>
        </w:tc>
      </w:tr>
      <w:tr>
        <w:trPr>
          <w:cantSplit/>
        </w:trPr>
        <w:tc>
          <w:tcPr>
            <w:tcW w:type="dxa" w:w="3184"/>
          </w:tcPr>
          <w:p>
            <w:pPr>
              <w:spacing w:after="20" w:before="20"/>
            </w:pPr>
            <w:r>
              <w:rPr>
                <w:sz w:val="17"/>
              </w:rPr>
              <w:t>Tune</w:t>
            </w:r>
          </w:p>
        </w:tc>
        <w:tc>
          <w:tcPr>
            <w:tcW w:type="dxa" w:w="3184"/>
          </w:tcPr>
          <w:p>
            <w:pPr>
              <w:spacing w:after="20" w:before="20"/>
            </w:pPr>
            <w:r>
              <w:rPr>
                <w:sz w:val="17"/>
              </w:rPr>
              <w:t>4 052</w:t>
            </w:r>
          </w:p>
        </w:tc>
        <w:tc>
          <w:tcPr>
            <w:tcW w:type="dxa" w:w="3184"/>
          </w:tcPr>
          <w:p>
            <w:r>
              <w:t>Comparaison/choix des variantes au cours du développement : AUC et PR-AUC exploratoires, non indépendantes.</w:t>
            </w:r>
          </w:p>
        </w:tc>
      </w:tr>
      <w:tr>
        <w:trPr>
          <w:cantSplit/>
        </w:trPr>
        <w:tc>
          <w:tcPr>
            <w:tcW w:type="dxa" w:w="3184"/>
          </w:tcPr>
          <w:p>
            <w:pPr>
              <w:spacing w:after="20" w:before="20"/>
            </w:pPr>
            <w:r>
              <w:rPr>
                <w:sz w:val="17"/>
              </w:rPr>
              <w:t>Calibration</w:t>
            </w:r>
          </w:p>
        </w:tc>
        <w:tc>
          <w:tcPr>
            <w:tcW w:type="dxa" w:w="3184"/>
          </w:tcPr>
          <w:p>
            <w:pPr>
              <w:spacing w:after="20" w:before="20"/>
            </w:pPr>
            <w:r>
              <w:rPr>
                <w:sz w:val="17"/>
              </w:rPr>
              <w:t>4 052</w:t>
            </w:r>
          </w:p>
        </w:tc>
        <w:tc>
          <w:tcPr>
            <w:tcW w:type="dxa" w:w="3184"/>
          </w:tcPr>
          <w:p>
            <w:r>
              <w:t>Validation interne du fine-tuning : choix de l’époque optimale et arrêt anticipé. Déjà consommée ; pas de calibration probabiliste finale sur ce jeu.</w:t>
            </w:r>
          </w:p>
        </w:tc>
      </w:tr>
      <w:tr>
        <w:trPr>
          <w:cantSplit/>
        </w:trPr>
        <w:tc>
          <w:tcPr>
            <w:tcW w:type="dxa" w:w="3184"/>
          </w:tcPr>
          <w:p>
            <w:pPr>
              <w:spacing w:after="20" w:before="20"/>
            </w:pPr>
            <w:r>
              <w:rPr>
                <w:sz w:val="17"/>
              </w:rPr>
              <w:t>Threshold</w:t>
            </w:r>
          </w:p>
        </w:tc>
        <w:tc>
          <w:tcPr>
            <w:tcW w:type="dxa" w:w="3184"/>
          </w:tcPr>
          <w:p>
            <w:pPr>
              <w:spacing w:after="20" w:before="20"/>
            </w:pPr>
            <w:r>
              <w:rPr>
                <w:sz w:val="17"/>
              </w:rPr>
              <w:t>4 052</w:t>
            </w:r>
          </w:p>
        </w:tc>
        <w:tc>
          <w:tcPr>
            <w:tcW w:type="dxa" w:w="3184"/>
          </w:tcPr>
          <w:p>
            <w:r>
              <w:t>Répartie en deux groupes distincts de 2 026 protéines chacun (homologie approchée) : calibration Platt sur le premier, sélection du seuil sur le second ; pas de test final indépendant.</w:t>
            </w:r>
          </w:p>
        </w:tc>
      </w:tr>
      <w:tr>
        <w:trPr>
          <w:cantSplit/>
        </w:trPr>
        <w:tc>
          <w:tcPr>
            <w:tcW w:type="dxa" w:w="3184"/>
          </w:tcPr>
          <w:p>
            <w:pPr>
              <w:spacing w:after="20" w:before="20"/>
            </w:pPr>
            <w:r>
              <w:rPr>
                <w:sz w:val="17"/>
              </w:rPr>
              <w:t>Holdout</w:t>
            </w:r>
          </w:p>
        </w:tc>
        <w:tc>
          <w:tcPr>
            <w:tcW w:type="dxa" w:w="3184"/>
          </w:tcPr>
          <w:p>
            <w:pPr>
              <w:spacing w:after="20" w:before="20"/>
            </w:pPr>
            <w:r>
              <w:rPr>
                <w:sz w:val="17"/>
              </w:rPr>
              <w:t>4 052</w:t>
            </w:r>
          </w:p>
        </w:tc>
        <w:tc>
          <w:tcPr>
            <w:tcW w:type="dxa" w:w="3184"/>
          </w:tcPr>
          <w:p>
            <w:pPr>
              <w:spacing w:after="20" w:before="20"/>
            </w:pPr>
            <w:r>
              <w:rPr>
                <w:sz w:val="17"/>
              </w:rPr>
              <w:t>Jeu mis de côté ; pas un test indépendant disponible pour la version fine-tunée.</w:t>
            </w:r>
          </w:p>
        </w:tc>
      </w:tr>
    </w:tbl>
    <w:p>
      <w:pPr>
        <w:spacing w:after="20"/>
      </w:pPr>
    </w:p>
    <w:p>
      <w:r>
        <w:t>Pourquoi séparer ? Fit (46 270 protéines) sert à apprendre les paramètres du modèle. Calibration (4 052) a été utilisée pendant la campagne pour sélectionner l’époque et l’arrêt anticipé du fine-tuning : elle est donc déjà consommée. Tune (4 052) a guidé le choix des architectures et ne peut pas être présenté comme un test indépendant. Lors de la finalisation, Threshold (4 052) a été séparé en deux sous-ensembles distincts de 2 026 protéines chacun, selon des groupes d’homologie approximatifs : l’un ajuste le calibrateur de Platt sur les logits, l’autre sélectionne le seuil sous contrainte de rappel. Les deux sous-ensembles participent au réglage ; aucun ne constitue un test final indépendant. L’audit MMseqs2 est approché et n’exclut pas toutes les homologies possibles.</w:t>
      </w:r>
    </w:p>
    <w:p>
      <w:pPr>
        <w:pStyle w:val="Heading2"/>
      </w:pPr>
      <w:r>
        <w:t>Écarts constatés lors de l’audit</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Point audité</w:t>
            </w:r>
          </w:p>
        </w:tc>
        <w:tc>
          <w:tcPr>
            <w:tcW w:type="dxa" w:w="3184"/>
            <w:vAlign w:val="center"/>
            <w:shd w:fill="176E75"/>
          </w:tcPr>
          <w:p>
            <w:pPr>
              <w:spacing w:after="20" w:before="20"/>
            </w:pPr>
            <w:r>
              <w:rPr>
                <w:b/>
                <w:color w:val="FFFFFF"/>
                <w:sz w:val="17"/>
              </w:rPr>
              <w:t>Risque pour l’objectif métier</w:t>
            </w:r>
          </w:p>
        </w:tc>
        <w:tc>
          <w:tcPr>
            <w:tcW w:type="dxa" w:w="3184"/>
            <w:vAlign w:val="center"/>
            <w:shd w:fill="176E75"/>
          </w:tcPr>
          <w:p>
            <w:pPr>
              <w:spacing w:after="20" w:before="20"/>
            </w:pPr>
            <w:r>
              <w:rPr>
                <w:b/>
                <w:color w:val="FFFFFF"/>
                <w:sz w:val="17"/>
              </w:rPr>
              <w:t>Réponse projet</w:t>
            </w:r>
          </w:p>
        </w:tc>
      </w:tr>
      <w:tr>
        <w:trPr>
          <w:cantSplit/>
        </w:trPr>
        <w:tc>
          <w:tcPr>
            <w:tcW w:type="dxa" w:w="3184"/>
          </w:tcPr>
          <w:p>
            <w:pPr>
              <w:spacing w:after="20" w:before="20"/>
            </w:pPr>
            <w:r>
              <w:rPr>
                <w:sz w:val="17"/>
              </w:rPr>
              <w:t>Labels et protocoles</w:t>
            </w:r>
          </w:p>
        </w:tc>
        <w:tc>
          <w:tcPr>
            <w:tcW w:type="dxa" w:w="3184"/>
          </w:tcPr>
          <w:p>
            <w:pPr>
              <w:spacing w:after="20" w:before="20"/>
            </w:pPr>
            <w:r>
              <w:rPr>
                <w:sz w:val="17"/>
              </w:rPr>
              <w:t>Une annotation « soluble » peut dépendre de l’hôte et du protocole</w:t>
            </w:r>
          </w:p>
        </w:tc>
        <w:tc>
          <w:tcPr>
            <w:tcW w:type="dxa" w:w="3184"/>
          </w:tcPr>
          <w:p>
            <w:pPr>
              <w:spacing w:after="20" w:before="20"/>
            </w:pPr>
            <w:r>
              <w:rPr>
                <w:sz w:val="17"/>
              </w:rPr>
              <w:t>Documenter la portée du score</w:t>
            </w:r>
          </w:p>
        </w:tc>
      </w:tr>
      <w:tr>
        <w:trPr>
          <w:cantSplit/>
        </w:trPr>
        <w:tc>
          <w:tcPr>
            <w:tcW w:type="dxa" w:w="3184"/>
          </w:tcPr>
          <w:p>
            <w:pPr>
              <w:spacing w:after="20" w:before="20"/>
            </w:pPr>
            <w:r>
              <w:rPr>
                <w:sz w:val="17"/>
              </w:rPr>
              <w:t>Séquences homologues</w:t>
            </w:r>
          </w:p>
        </w:tc>
        <w:tc>
          <w:tcPr>
            <w:tcW w:type="dxa" w:w="3184"/>
          </w:tcPr>
          <w:p>
            <w:pPr>
              <w:spacing w:after="20" w:before="20"/>
            </w:pPr>
            <w:r>
              <w:rPr>
                <w:sz w:val="17"/>
              </w:rPr>
              <w:t>Trop bonne performance artificielle</w:t>
            </w:r>
          </w:p>
        </w:tc>
        <w:tc>
          <w:tcPr>
            <w:tcW w:type="dxa" w:w="3184"/>
          </w:tcPr>
          <w:p>
            <w:pPr>
              <w:spacing w:after="20" w:before="20"/>
            </w:pPr>
            <w:r>
              <w:rPr>
                <w:sz w:val="17"/>
              </w:rPr>
              <w:t>Contrôle des similarités entre groupes</w:t>
            </w:r>
          </w:p>
        </w:tc>
      </w:tr>
      <w:tr>
        <w:trPr>
          <w:cantSplit/>
        </w:trPr>
        <w:tc>
          <w:tcPr>
            <w:tcW w:type="dxa" w:w="3184"/>
          </w:tcPr>
          <w:p>
            <w:pPr>
              <w:spacing w:after="20" w:before="20"/>
            </w:pPr>
            <w:r>
              <w:rPr>
                <w:sz w:val="17"/>
              </w:rPr>
              <w:t>Confusion score / rendement</w:t>
            </w:r>
          </w:p>
        </w:tc>
        <w:tc>
          <w:tcPr>
            <w:tcW w:type="dxa" w:w="3184"/>
          </w:tcPr>
          <w:p>
            <w:pPr>
              <w:spacing w:after="20" w:before="20"/>
            </w:pPr>
            <w:r>
              <w:rPr>
                <w:sz w:val="17"/>
              </w:rPr>
              <w:t>Décisions trop confiantes</w:t>
            </w:r>
          </w:p>
        </w:tc>
        <w:tc>
          <w:tcPr>
            <w:tcW w:type="dxa" w:w="3184"/>
          </w:tcPr>
          <w:p>
            <w:pPr>
              <w:spacing w:after="20" w:before="20"/>
            </w:pPr>
            <w:r>
              <w:rPr>
                <w:sz w:val="17"/>
              </w:rPr>
              <w:t>Préciser qu’un score ne mesure pas le rendement</w:t>
            </w:r>
          </w:p>
        </w:tc>
      </w:tr>
      <w:tr>
        <w:trPr>
          <w:cantSplit/>
        </w:trPr>
        <w:tc>
          <w:tcPr>
            <w:tcW w:type="dxa" w:w="3184"/>
          </w:tcPr>
          <w:p>
            <w:pPr>
              <w:spacing w:after="20" w:before="20"/>
            </w:pPr>
            <w:r>
              <w:rPr>
                <w:sz w:val="17"/>
              </w:rPr>
              <w:t>Troncature longue</w:t>
            </w:r>
          </w:p>
        </w:tc>
        <w:tc>
          <w:tcPr>
            <w:tcW w:type="dxa" w:w="3184"/>
          </w:tcPr>
          <w:p>
            <w:pPr>
              <w:spacing w:after="20" w:before="20"/>
            </w:pPr>
            <w:r>
              <w:rPr>
                <w:sz w:val="17"/>
              </w:rPr>
              <w:t>Perte de domaines utiles</w:t>
            </w:r>
          </w:p>
        </w:tc>
        <w:tc>
          <w:tcPr>
            <w:tcW w:type="dxa" w:w="3184"/>
          </w:tcPr>
          <w:p>
            <w:pPr>
              <w:spacing w:after="20" w:before="20"/>
            </w:pPr>
            <w:r>
              <w:rPr>
                <w:sz w:val="17"/>
              </w:rPr>
              <w:t>Politique de longueur documentée</w:t>
            </w:r>
          </w:p>
        </w:tc>
      </w:tr>
      <w:tr>
        <w:trPr>
          <w:cantSplit/>
        </w:trPr>
        <w:tc>
          <w:tcPr>
            <w:tcW w:type="dxa" w:w="3184"/>
          </w:tcPr>
          <w:p>
            <w:pPr>
              <w:spacing w:after="20" w:before="20"/>
            </w:pPr>
            <w:r>
              <w:rPr>
                <w:sz w:val="17"/>
              </w:rPr>
              <w:t>Mesure métier absente</w:t>
            </w:r>
          </w:p>
        </w:tc>
        <w:tc>
          <w:tcPr>
            <w:tcW w:type="dxa" w:w="3184"/>
          </w:tcPr>
          <w:p>
            <w:pPr>
              <w:spacing w:after="20" w:before="20"/>
            </w:pPr>
            <w:r>
              <w:rPr>
                <w:sz w:val="17"/>
              </w:rPr>
              <w:t>ROI invérifiable</w:t>
            </w:r>
          </w:p>
        </w:tc>
        <w:tc>
          <w:tcPr>
            <w:tcW w:type="dxa" w:w="3184"/>
          </w:tcPr>
          <w:p>
            <w:pPr>
              <w:spacing w:after="20" w:before="20"/>
            </w:pPr>
            <w:r>
              <w:rPr>
                <w:sz w:val="17"/>
              </w:rPr>
              <w:t>Prévoir un pilote contrôlé</w:t>
            </w:r>
          </w:p>
        </w:tc>
      </w:tr>
    </w:tbl>
    <w:p>
      <w:pPr>
        <w:spacing w:after="20"/>
      </w:pPr>
    </w:p>
    <w:p>
      <w:pPr>
        <w:pStyle w:val="Eyebrow"/>
      </w:pPr>
      <w:r>
        <w:t>3. IDENTIFICATION D’UNE SOLUTION CIBLE</w:t>
      </w:r>
    </w:p>
    <w:p>
      <w:pPr>
        <w:pStyle w:val="Heading1"/>
      </w:pPr>
      <w:r>
        <w:t>3.1 Cas d’usage : méthode de priorisation</w:t>
      </w:r>
    </w:p>
    <w:p>
      <w:r>
        <w:t xml:space="preserve">Les cas d’usage ont été identifiés à partir des points de décision du processus décrit en section 2.1, puis notés sur quatre critères : </w:t>
      </w:r>
      <w:r>
        <w:rPr>
          <w:b/>
        </w:rPr>
        <w:t>impact métier 40 %</w:t>
      </w:r>
      <w:r>
        <w:t xml:space="preserve">, </w:t>
      </w:r>
      <w:r>
        <w:rPr>
          <w:b/>
        </w:rPr>
        <w:t>faisabilité 30 %</w:t>
      </w:r>
      <w:r>
        <w:t xml:space="preserve">, </w:t>
      </w:r>
      <w:r>
        <w:rPr>
          <w:b/>
        </w:rPr>
        <w:t>disponibilité des données 20 %</w:t>
      </w:r>
      <w:r>
        <w:t xml:space="preserve"> et </w:t>
      </w:r>
      <w:r>
        <w:rPr>
          <w:b/>
        </w:rPr>
        <w:t>maîtrise du risque 10 %</w:t>
      </w:r>
      <w:r>
        <w:t>. Chaque note va de 1 (faible) à 5 (fort). Ce scoring est une proposition de cadrage, non le résultat d’un comité client.</w:t>
      </w:r>
    </w:p>
    <w:tbl>
      <w:tblPr>
        <w:tblStyle w:val="LightShading-Accent1"/>
        <w:tblW w:type="auto" w:w="0"/>
        <w:jc w:val="center"/>
        <w:tblLayout w:type="fixed"/>
        <w:tblLook w:firstColumn="1" w:firstRow="1" w:lastColumn="0" w:lastRow="0" w:noHBand="0" w:noVBand="1" w:val="04A0"/>
      </w:tblPr>
      <w:tblGrid>
        <w:gridCol w:w="3061"/>
        <w:gridCol w:w="975"/>
        <w:gridCol w:w="935"/>
        <w:gridCol w:w="1208"/>
        <w:gridCol w:w="964"/>
        <w:gridCol w:w="1349"/>
        <w:gridCol w:w="1037"/>
      </w:tblGrid>
      <w:tr>
        <w:trPr>
          <w:cantSplit/>
        </w:trPr>
        <w:tc>
          <w:tcPr>
            <w:tcW w:type="dxa" w:w="3061"/>
            <w:vAlign w:val="center"/>
            <w:shd w:fill="176E75"/>
          </w:tcPr>
          <w:p>
            <w:pPr>
              <w:spacing w:after="20" w:before="0" w:line="252" w:lineRule="auto"/>
            </w:pPr>
            <w:r>
              <w:rPr>
                <w:rFonts w:ascii="Aptos" w:hAnsi="Aptos"/>
                <w:b/>
                <w:color w:val="FFFFFF"/>
                <w:sz w:val="16"/>
              </w:rPr>
              <w:t>Cas d’usage</w:t>
            </w:r>
          </w:p>
        </w:tc>
        <w:tc>
          <w:tcPr>
            <w:tcW w:type="dxa" w:w="975"/>
            <w:vAlign w:val="center"/>
            <w:shd w:fill="176E75"/>
          </w:tcPr>
          <w:p>
            <w:pPr>
              <w:spacing w:after="20" w:before="0" w:line="252" w:lineRule="auto"/>
            </w:pPr>
            <w:r>
              <w:rPr>
                <w:rFonts w:ascii="Aptos" w:hAnsi="Aptos"/>
                <w:b/>
                <w:color w:val="FFFFFF"/>
                <w:sz w:val="16"/>
              </w:rPr>
              <w:t>Impact</w:t>
            </w:r>
          </w:p>
        </w:tc>
        <w:tc>
          <w:tcPr>
            <w:tcW w:type="dxa" w:w="935"/>
            <w:vAlign w:val="center"/>
            <w:shd w:fill="176E75"/>
          </w:tcPr>
          <w:p>
            <w:pPr>
              <w:spacing w:after="20" w:before="0" w:line="252" w:lineRule="auto"/>
            </w:pPr>
            <w:r>
              <w:rPr>
                <w:rFonts w:ascii="Aptos" w:hAnsi="Aptos"/>
                <w:b/>
                <w:color w:val="FFFFFF"/>
                <w:sz w:val="16"/>
              </w:rPr>
              <w:t>Fais.</w:t>
            </w:r>
          </w:p>
        </w:tc>
        <w:tc>
          <w:tcPr>
            <w:tcW w:type="dxa" w:w="1208"/>
            <w:vAlign w:val="center"/>
            <w:shd w:fill="176E75"/>
          </w:tcPr>
          <w:p>
            <w:pPr>
              <w:spacing w:after="20" w:before="0" w:line="252" w:lineRule="auto"/>
            </w:pPr>
            <w:r>
              <w:rPr>
                <w:rFonts w:ascii="Aptos" w:hAnsi="Aptos"/>
                <w:b/>
                <w:color w:val="FFFFFF"/>
                <w:sz w:val="16"/>
              </w:rPr>
              <w:t>Données</w:t>
            </w:r>
          </w:p>
        </w:tc>
        <w:tc>
          <w:tcPr>
            <w:tcW w:type="dxa" w:w="964"/>
            <w:vAlign w:val="center"/>
            <w:shd w:fill="176E75"/>
          </w:tcPr>
          <w:p>
            <w:pPr>
              <w:spacing w:after="20" w:before="0" w:line="252" w:lineRule="auto"/>
            </w:pPr>
            <w:r>
              <w:rPr>
                <w:rFonts w:ascii="Aptos" w:hAnsi="Aptos"/>
                <w:b/>
                <w:color w:val="FFFFFF"/>
                <w:sz w:val="16"/>
              </w:rPr>
              <w:t>Risque</w:t>
            </w:r>
          </w:p>
        </w:tc>
        <w:tc>
          <w:tcPr>
            <w:tcW w:type="dxa" w:w="1349"/>
            <w:vAlign w:val="center"/>
            <w:shd w:fill="176E75"/>
          </w:tcPr>
          <w:p>
            <w:pPr>
              <w:spacing w:after="20" w:before="0" w:line="252" w:lineRule="auto"/>
            </w:pPr>
            <w:r>
              <w:rPr>
                <w:rFonts w:ascii="Aptos" w:hAnsi="Aptos"/>
                <w:b/>
                <w:color w:val="FFFFFF"/>
                <w:sz w:val="16"/>
              </w:rPr>
              <w:t>Score /5</w:t>
            </w:r>
          </w:p>
        </w:tc>
        <w:tc>
          <w:tcPr>
            <w:tcW w:type="dxa" w:w="1037"/>
            <w:vAlign w:val="center"/>
            <w:shd w:fill="176E75"/>
          </w:tcPr>
          <w:p>
            <w:pPr>
              <w:spacing w:after="20" w:before="0" w:line="252" w:lineRule="auto"/>
            </w:pPr>
            <w:r>
              <w:rPr>
                <w:rFonts w:ascii="Aptos" w:hAnsi="Aptos"/>
                <w:b/>
                <w:color w:val="FFFFFF"/>
                <w:sz w:val="16"/>
              </w:rPr>
              <w:t>Rang</w:t>
            </w:r>
          </w:p>
        </w:tc>
      </w:tr>
      <w:tr>
        <w:trPr>
          <w:cantSplit/>
        </w:trPr>
        <w:tc>
          <w:tcPr>
            <w:tcW w:type="dxa" w:w="3061"/>
            <w:vAlign w:val="center"/>
            <w:shd w:fill="DCE7F1"/>
          </w:tcPr>
          <w:p>
            <w:pPr>
              <w:spacing w:before="0" w:after="20" w:line="252" w:lineRule="auto"/>
            </w:pPr>
            <w:r>
              <w:rPr>
                <w:rFonts w:ascii="Aptos" w:hAnsi="Aptos"/>
                <w:b/>
                <w:color w:val="1B303E"/>
                <w:sz w:val="16"/>
              </w:rPr>
              <w:t>Classement des séquences</w:t>
            </w:r>
          </w:p>
        </w:tc>
        <w:tc>
          <w:tcPr>
            <w:tcW w:type="dxa" w:w="975"/>
            <w:vAlign w:val="center"/>
            <w:shd w:fill="DCE7F1"/>
          </w:tcPr>
          <w:p>
            <w:pPr>
              <w:spacing w:after="20" w:before="0" w:line="252" w:lineRule="auto"/>
            </w:pPr>
            <w:r>
              <w:rPr>
                <w:rFonts w:ascii="Aptos" w:hAnsi="Aptos"/>
                <w:b w:val="0"/>
                <w:color w:val="1B303E"/>
                <w:sz w:val="16"/>
              </w:rPr>
              <w:t>5</w:t>
            </w:r>
          </w:p>
        </w:tc>
        <w:tc>
          <w:tcPr>
            <w:tcW w:type="dxa" w:w="935"/>
            <w:vAlign w:val="center"/>
            <w:shd w:fill="DCE7F1"/>
          </w:tcPr>
          <w:p>
            <w:pPr>
              <w:spacing w:after="20" w:before="0" w:line="252" w:lineRule="auto"/>
            </w:pPr>
            <w:r>
              <w:rPr>
                <w:rFonts w:ascii="Aptos" w:hAnsi="Aptos"/>
                <w:b w:val="0"/>
                <w:color w:val="1B303E"/>
                <w:sz w:val="16"/>
              </w:rPr>
              <w:t>4</w:t>
            </w:r>
          </w:p>
        </w:tc>
        <w:tc>
          <w:tcPr>
            <w:tcW w:type="dxa" w:w="1208"/>
            <w:vAlign w:val="center"/>
            <w:shd w:fill="DCE7F1"/>
          </w:tcPr>
          <w:p>
            <w:pPr>
              <w:spacing w:after="20" w:before="0" w:line="252" w:lineRule="auto"/>
            </w:pPr>
            <w:r>
              <w:rPr>
                <w:rFonts w:ascii="Aptos" w:hAnsi="Aptos"/>
                <w:b w:val="0"/>
                <w:color w:val="1B303E"/>
                <w:sz w:val="16"/>
              </w:rPr>
              <w:t>5</w:t>
            </w:r>
          </w:p>
        </w:tc>
        <w:tc>
          <w:tcPr>
            <w:tcW w:type="dxa" w:w="964"/>
            <w:vAlign w:val="center"/>
            <w:shd w:fill="DCE7F1"/>
          </w:tcPr>
          <w:p>
            <w:pPr>
              <w:spacing w:after="20" w:before="0" w:line="252" w:lineRule="auto"/>
            </w:pPr>
            <w:r>
              <w:rPr>
                <w:rFonts w:ascii="Aptos" w:hAnsi="Aptos"/>
                <w:b w:val="0"/>
                <w:color w:val="1B303E"/>
                <w:sz w:val="16"/>
              </w:rPr>
              <w:t>3</w:t>
            </w:r>
          </w:p>
        </w:tc>
        <w:tc>
          <w:tcPr>
            <w:tcW w:type="dxa" w:w="1349"/>
            <w:vAlign w:val="center"/>
            <w:shd w:fill="DCE7F1"/>
          </w:tcPr>
          <w:p>
            <w:pPr>
              <w:spacing w:after="20" w:before="0" w:line="252" w:lineRule="auto"/>
            </w:pPr>
            <w:r>
              <w:rPr>
                <w:rFonts w:ascii="Aptos" w:hAnsi="Aptos"/>
                <w:b w:val="0"/>
                <w:color w:val="1B303E"/>
                <w:sz w:val="16"/>
              </w:rPr>
              <w:t>4,5</w:t>
            </w:r>
          </w:p>
        </w:tc>
        <w:tc>
          <w:tcPr>
            <w:tcW w:type="dxa" w:w="1037"/>
            <w:vAlign w:val="center"/>
            <w:shd w:fill="DCE7F1"/>
          </w:tcPr>
          <w:p>
            <w:pPr>
              <w:spacing w:after="20" w:before="0" w:line="252" w:lineRule="auto"/>
            </w:pPr>
            <w:r>
              <w:rPr>
                <w:rFonts w:ascii="Aptos" w:hAnsi="Aptos"/>
                <w:b w:val="0"/>
                <w:color w:val="1B303E"/>
                <w:sz w:val="16"/>
              </w:rPr>
              <w:t>1</w:t>
            </w:r>
          </w:p>
        </w:tc>
      </w:tr>
      <w:tr>
        <w:trPr>
          <w:cantSplit/>
        </w:trPr>
        <w:tc>
          <w:tcPr>
            <w:tcW w:type="dxa" w:w="3061"/>
            <w:vAlign w:val="center"/>
            <w:shd w:fill="FFFFFF"/>
          </w:tcPr>
          <w:p>
            <w:pPr>
              <w:spacing w:before="0" w:after="20" w:line="252" w:lineRule="auto"/>
            </w:pPr>
            <w:r>
              <w:rPr>
                <w:rFonts w:ascii="Aptos" w:hAnsi="Aptos"/>
                <w:b/>
                <w:color w:val="1B303E"/>
                <w:sz w:val="16"/>
              </w:rPr>
              <w:t>Identification de la cible</w:t>
            </w:r>
          </w:p>
        </w:tc>
        <w:tc>
          <w:tcPr>
            <w:tcW w:type="dxa" w:w="975"/>
            <w:vAlign w:val="center"/>
            <w:shd w:fill="FFFFFF"/>
          </w:tcPr>
          <w:p>
            <w:pPr>
              <w:spacing w:after="20" w:before="0" w:line="252" w:lineRule="auto"/>
            </w:pPr>
            <w:r>
              <w:rPr>
                <w:rFonts w:ascii="Aptos" w:hAnsi="Aptos"/>
                <w:b w:val="0"/>
                <w:color w:val="1B303E"/>
                <w:sz w:val="16"/>
              </w:rPr>
              <w:t>4</w:t>
            </w:r>
          </w:p>
        </w:tc>
        <w:tc>
          <w:tcPr>
            <w:tcW w:type="dxa" w:w="935"/>
            <w:vAlign w:val="center"/>
            <w:shd w:fill="FFFFFF"/>
          </w:tcPr>
          <w:p>
            <w:pPr>
              <w:spacing w:after="20" w:before="0" w:line="252" w:lineRule="auto"/>
            </w:pPr>
            <w:r>
              <w:rPr>
                <w:rFonts w:ascii="Aptos" w:hAnsi="Aptos"/>
                <w:b w:val="0"/>
                <w:color w:val="1B303E"/>
                <w:sz w:val="16"/>
              </w:rPr>
              <w:t>4</w:t>
            </w:r>
          </w:p>
        </w:tc>
        <w:tc>
          <w:tcPr>
            <w:tcW w:type="dxa" w:w="1208"/>
            <w:vAlign w:val="center"/>
            <w:shd w:fill="FFFFFF"/>
          </w:tcPr>
          <w:p>
            <w:pPr>
              <w:spacing w:after="20" w:before="0" w:line="252" w:lineRule="auto"/>
            </w:pPr>
            <w:r>
              <w:rPr>
                <w:rFonts w:ascii="Aptos" w:hAnsi="Aptos"/>
                <w:b w:val="0"/>
                <w:color w:val="1B303E"/>
                <w:sz w:val="16"/>
              </w:rPr>
              <w:t>4</w:t>
            </w:r>
          </w:p>
        </w:tc>
        <w:tc>
          <w:tcPr>
            <w:tcW w:type="dxa" w:w="964"/>
            <w:vAlign w:val="center"/>
            <w:shd w:fill="FFFFFF"/>
          </w:tcPr>
          <w:p>
            <w:pPr>
              <w:spacing w:after="20" w:before="0" w:line="252" w:lineRule="auto"/>
            </w:pPr>
            <w:r>
              <w:rPr>
                <w:rFonts w:ascii="Aptos" w:hAnsi="Aptos"/>
                <w:b w:val="0"/>
                <w:color w:val="1B303E"/>
                <w:sz w:val="16"/>
              </w:rPr>
              <w:t>3</w:t>
            </w:r>
          </w:p>
        </w:tc>
        <w:tc>
          <w:tcPr>
            <w:tcW w:type="dxa" w:w="1349"/>
            <w:vAlign w:val="center"/>
            <w:shd w:fill="FFFFFF"/>
          </w:tcPr>
          <w:p>
            <w:pPr>
              <w:spacing w:after="20" w:before="0" w:line="252" w:lineRule="auto"/>
            </w:pPr>
            <w:r>
              <w:rPr>
                <w:rFonts w:ascii="Aptos" w:hAnsi="Aptos"/>
                <w:b w:val="0"/>
                <w:color w:val="1B303E"/>
                <w:sz w:val="16"/>
              </w:rPr>
              <w:t>3,9</w:t>
            </w:r>
          </w:p>
        </w:tc>
        <w:tc>
          <w:tcPr>
            <w:tcW w:type="dxa" w:w="1037"/>
            <w:vAlign w:val="center"/>
            <w:shd w:fill="FFFFFF"/>
          </w:tcPr>
          <w:p>
            <w:pPr>
              <w:spacing w:after="20" w:before="0" w:line="252" w:lineRule="auto"/>
            </w:pPr>
            <w:r>
              <w:rPr>
                <w:rFonts w:ascii="Aptos" w:hAnsi="Aptos"/>
                <w:b w:val="0"/>
                <w:color w:val="1B303E"/>
                <w:sz w:val="16"/>
              </w:rPr>
              <w:t>2</w:t>
            </w:r>
          </w:p>
        </w:tc>
      </w:tr>
      <w:tr>
        <w:trPr>
          <w:cantSplit/>
        </w:trPr>
        <w:tc>
          <w:tcPr>
            <w:tcW w:type="dxa" w:w="3061"/>
            <w:vAlign w:val="center"/>
            <w:shd w:fill="DCE7F1"/>
          </w:tcPr>
          <w:p>
            <w:pPr>
              <w:spacing w:before="0" w:after="20" w:line="252" w:lineRule="auto"/>
            </w:pPr>
            <w:r>
              <w:rPr>
                <w:rFonts w:ascii="Aptos" w:hAnsi="Aptos"/>
                <w:b/>
                <w:color w:val="1B303E"/>
                <w:sz w:val="16"/>
              </w:rPr>
              <w:t>Plan d’essais et contrôles</w:t>
            </w:r>
          </w:p>
        </w:tc>
        <w:tc>
          <w:tcPr>
            <w:tcW w:type="dxa" w:w="975"/>
            <w:vAlign w:val="center"/>
            <w:shd w:fill="DCE7F1"/>
          </w:tcPr>
          <w:p>
            <w:pPr>
              <w:spacing w:after="20" w:before="0" w:line="252" w:lineRule="auto"/>
            </w:pPr>
            <w:r>
              <w:rPr>
                <w:rFonts w:ascii="Aptos" w:hAnsi="Aptos"/>
                <w:b w:val="0"/>
                <w:color w:val="1B303E"/>
                <w:sz w:val="16"/>
              </w:rPr>
              <w:t>4</w:t>
            </w:r>
          </w:p>
        </w:tc>
        <w:tc>
          <w:tcPr>
            <w:tcW w:type="dxa" w:w="935"/>
            <w:vAlign w:val="center"/>
            <w:shd w:fill="DCE7F1"/>
          </w:tcPr>
          <w:p>
            <w:pPr>
              <w:spacing w:after="20" w:before="0" w:line="252" w:lineRule="auto"/>
            </w:pPr>
            <w:r>
              <w:rPr>
                <w:rFonts w:ascii="Aptos" w:hAnsi="Aptos"/>
                <w:b w:val="0"/>
                <w:color w:val="1B303E"/>
                <w:sz w:val="16"/>
              </w:rPr>
              <w:t>3</w:t>
            </w:r>
          </w:p>
        </w:tc>
        <w:tc>
          <w:tcPr>
            <w:tcW w:type="dxa" w:w="1208"/>
            <w:vAlign w:val="center"/>
            <w:shd w:fill="DCE7F1"/>
          </w:tcPr>
          <w:p>
            <w:pPr>
              <w:spacing w:after="20" w:before="0" w:line="252" w:lineRule="auto"/>
            </w:pPr>
            <w:r>
              <w:rPr>
                <w:rFonts w:ascii="Aptos" w:hAnsi="Aptos"/>
                <w:b w:val="0"/>
                <w:color w:val="1B303E"/>
                <w:sz w:val="16"/>
              </w:rPr>
              <w:t>2</w:t>
            </w:r>
          </w:p>
        </w:tc>
        <w:tc>
          <w:tcPr>
            <w:tcW w:type="dxa" w:w="964"/>
            <w:vAlign w:val="center"/>
            <w:shd w:fill="DCE7F1"/>
          </w:tcPr>
          <w:p>
            <w:pPr>
              <w:spacing w:after="20" w:before="0" w:line="252" w:lineRule="auto"/>
            </w:pPr>
            <w:r>
              <w:rPr>
                <w:rFonts w:ascii="Aptos" w:hAnsi="Aptos"/>
                <w:b w:val="0"/>
                <w:color w:val="1B303E"/>
                <w:sz w:val="16"/>
              </w:rPr>
              <w:t>2</w:t>
            </w:r>
          </w:p>
        </w:tc>
        <w:tc>
          <w:tcPr>
            <w:tcW w:type="dxa" w:w="1349"/>
            <w:vAlign w:val="center"/>
            <w:shd w:fill="DCE7F1"/>
          </w:tcPr>
          <w:p>
            <w:pPr>
              <w:spacing w:after="20" w:before="0" w:line="252" w:lineRule="auto"/>
            </w:pPr>
            <w:r>
              <w:rPr>
                <w:rFonts w:ascii="Aptos" w:hAnsi="Aptos"/>
                <w:b w:val="0"/>
                <w:color w:val="1B303E"/>
                <w:sz w:val="16"/>
              </w:rPr>
              <w:t>3,1</w:t>
            </w:r>
          </w:p>
        </w:tc>
        <w:tc>
          <w:tcPr>
            <w:tcW w:type="dxa" w:w="1037"/>
            <w:vAlign w:val="center"/>
            <w:shd w:fill="DCE7F1"/>
          </w:tcPr>
          <w:p>
            <w:pPr>
              <w:spacing w:after="20" w:before="0" w:line="252" w:lineRule="auto"/>
            </w:pPr>
            <w:r>
              <w:rPr>
                <w:rFonts w:ascii="Aptos" w:hAnsi="Aptos"/>
                <w:b w:val="0"/>
                <w:color w:val="1B303E"/>
                <w:sz w:val="16"/>
              </w:rPr>
              <w:t>3</w:t>
            </w:r>
          </w:p>
        </w:tc>
      </w:tr>
      <w:tr>
        <w:trPr>
          <w:cantSplit/>
        </w:trPr>
        <w:tc>
          <w:tcPr>
            <w:tcW w:type="dxa" w:w="3061"/>
            <w:vAlign w:val="center"/>
            <w:shd w:fill="FFFFFF"/>
          </w:tcPr>
          <w:p>
            <w:pPr>
              <w:spacing w:before="0" w:after="20" w:line="252" w:lineRule="auto"/>
            </w:pPr>
            <w:r>
              <w:rPr>
                <w:rFonts w:ascii="Aptos" w:hAnsi="Aptos"/>
                <w:b/>
                <w:color w:val="1B303E"/>
                <w:sz w:val="16"/>
              </w:rPr>
              <w:t>Optimisation tag/hôte/induction</w:t>
            </w:r>
          </w:p>
        </w:tc>
        <w:tc>
          <w:tcPr>
            <w:tcW w:type="dxa" w:w="975"/>
            <w:vAlign w:val="center"/>
            <w:shd w:fill="FFFFFF"/>
          </w:tcPr>
          <w:p>
            <w:pPr>
              <w:spacing w:after="20" w:before="0" w:line="252" w:lineRule="auto"/>
            </w:pPr>
            <w:r>
              <w:rPr>
                <w:rFonts w:ascii="Aptos" w:hAnsi="Aptos"/>
                <w:b w:val="0"/>
                <w:color w:val="1B303E"/>
                <w:sz w:val="16"/>
              </w:rPr>
              <w:t>5</w:t>
            </w:r>
          </w:p>
        </w:tc>
        <w:tc>
          <w:tcPr>
            <w:tcW w:type="dxa" w:w="935"/>
            <w:vAlign w:val="center"/>
            <w:shd w:fill="FFFFFF"/>
          </w:tcPr>
          <w:p>
            <w:pPr>
              <w:spacing w:after="20" w:before="0" w:line="252" w:lineRule="auto"/>
            </w:pPr>
            <w:r>
              <w:rPr>
                <w:rFonts w:ascii="Aptos" w:hAnsi="Aptos"/>
                <w:b w:val="0"/>
                <w:color w:val="1B303E"/>
                <w:sz w:val="16"/>
              </w:rPr>
              <w:t>1</w:t>
            </w:r>
          </w:p>
        </w:tc>
        <w:tc>
          <w:tcPr>
            <w:tcW w:type="dxa" w:w="1208"/>
            <w:vAlign w:val="center"/>
            <w:shd w:fill="FFFFFF"/>
          </w:tcPr>
          <w:p>
            <w:pPr>
              <w:spacing w:after="20" w:before="0" w:line="252" w:lineRule="auto"/>
            </w:pPr>
            <w:r>
              <w:rPr>
                <w:rFonts w:ascii="Aptos" w:hAnsi="Aptos"/>
                <w:b w:val="0"/>
                <w:color w:val="1B303E"/>
                <w:sz w:val="16"/>
              </w:rPr>
              <w:t>1</w:t>
            </w:r>
          </w:p>
        </w:tc>
        <w:tc>
          <w:tcPr>
            <w:tcW w:type="dxa" w:w="964"/>
            <w:vAlign w:val="center"/>
            <w:shd w:fill="FFFFFF"/>
          </w:tcPr>
          <w:p>
            <w:pPr>
              <w:spacing w:after="20" w:before="0" w:line="252" w:lineRule="auto"/>
            </w:pPr>
            <w:r>
              <w:rPr>
                <w:rFonts w:ascii="Aptos" w:hAnsi="Aptos"/>
                <w:b w:val="0"/>
                <w:color w:val="1B303E"/>
                <w:sz w:val="16"/>
              </w:rPr>
              <w:t>1</w:t>
            </w:r>
          </w:p>
        </w:tc>
        <w:tc>
          <w:tcPr>
            <w:tcW w:type="dxa" w:w="1349"/>
            <w:vAlign w:val="center"/>
            <w:shd w:fill="FFFFFF"/>
          </w:tcPr>
          <w:p>
            <w:pPr>
              <w:spacing w:after="20" w:before="0" w:line="252" w:lineRule="auto"/>
            </w:pPr>
            <w:r>
              <w:rPr>
                <w:rFonts w:ascii="Aptos" w:hAnsi="Aptos"/>
                <w:b w:val="0"/>
                <w:color w:val="1B303E"/>
                <w:sz w:val="16"/>
              </w:rPr>
              <w:t>2,6</w:t>
            </w:r>
          </w:p>
        </w:tc>
        <w:tc>
          <w:tcPr>
            <w:tcW w:type="dxa" w:w="1037"/>
            <w:vAlign w:val="center"/>
            <w:shd w:fill="FFFFFF"/>
          </w:tcPr>
          <w:p>
            <w:pPr>
              <w:spacing w:after="20" w:before="0" w:line="252" w:lineRule="auto"/>
            </w:pPr>
            <w:r>
              <w:rPr>
                <w:rFonts w:ascii="Aptos" w:hAnsi="Aptos"/>
                <w:b w:val="0"/>
                <w:color w:val="1B303E"/>
                <w:sz w:val="16"/>
              </w:rPr>
              <w:t>4</w:t>
            </w:r>
          </w:p>
        </w:tc>
      </w:tr>
    </w:tbl>
    <w:p>
      <w:pPr>
        <w:spacing w:after="20"/>
      </w:pPr>
    </w:p>
    <w:p>
      <w:pPr>
        <w:pStyle w:val="Heading2"/>
      </w:pPr>
      <w:r>
        <w:t>Arbitrage produit</w:t>
      </w:r>
    </w:p>
    <w:p>
      <w:pPr>
        <w:pStyle w:val="ListBullet"/>
        <w:ind w:left="312" w:hanging="147"/>
      </w:pPr>
      <w:r>
        <w:rPr>
          <w:b/>
        </w:rPr>
        <w:t>Priorité 1 :</w:t>
      </w:r>
      <w:r>
        <w:t xml:space="preserve"> classement ML de séquences avec résultats lisibles.</w:t>
      </w:r>
    </w:p>
    <w:p>
      <w:pPr>
        <w:pStyle w:val="ListBullet"/>
        <w:ind w:left="312" w:hanging="147"/>
      </w:pPr>
      <w:r>
        <w:rPr>
          <w:b/>
        </w:rPr>
        <w:t>Priorité 2 :</w:t>
      </w:r>
      <w:r>
        <w:t xml:space="preserve"> identification automatique, avec un seuil de confiance et des sources.</w:t>
      </w:r>
    </w:p>
    <w:p>
      <w:pPr>
        <w:pStyle w:val="ListBullet"/>
        <w:ind w:left="312" w:hanging="147"/>
      </w:pPr>
      <w:r>
        <w:rPr>
          <w:b/>
        </w:rPr>
        <w:t>Priorité 3 :</w:t>
      </w:r>
      <w:r>
        <w:t xml:space="preserve"> conseils expérimentaux fondés sur des règles expertes, avec conditions et contre-indications.</w:t>
      </w:r>
    </w:p>
    <w:p>
      <w:pPr>
        <w:pStyle w:val="ListBullet"/>
        <w:ind w:left="312" w:hanging="147"/>
      </w:pPr>
      <w:r>
        <w:rPr>
          <w:b/>
        </w:rPr>
        <w:t>Reporté :</w:t>
      </w:r>
      <w:r>
        <w:t xml:space="preserve"> optimisation chiffrée de tags, température ou hôte, faute de données d’entraînement adaptées.</w:t>
      </w:r>
    </w:p>
    <w:p>
      <w:r>
        <w:t>Le produit livré reflète cet arbitrage : on ne présente pas le conseil d’expression comme une deuxième prédiction validée, mais comme une orientation pour construire un plan de comparaison.</w:t>
      </w:r>
    </w:p>
    <w:p>
      <w:r>
        <w:br w:type="page"/>
      </w:r>
    </w:p>
    <w:p>
      <w:pPr>
        <w:pStyle w:val="Eyebrow"/>
      </w:pPr>
      <w:r>
        <w:t>3. IDENTIFICATION D’UNE SOLUTION CIBLE</w:t>
      </w:r>
    </w:p>
    <w:p>
      <w:pPr>
        <w:pStyle w:val="Heading1"/>
      </w:pPr>
      <w:r>
        <w:t>3.2 Comparaison des options techniques</w:t>
      </w:r>
    </w:p>
    <w:p>
      <w:r>
        <w:t xml:space="preserve">L’arbitrage a considéré </w:t>
      </w:r>
      <w:r>
        <w:rPr>
          <w:b/>
        </w:rPr>
        <w:t>pouvoir discriminant</w:t>
      </w:r>
      <w:r>
        <w:t xml:space="preserve">, </w:t>
      </w:r>
      <w:r>
        <w:rPr>
          <w:b/>
        </w:rPr>
        <w:t>coût de calcul</w:t>
      </w:r>
      <w:r>
        <w:t xml:space="preserve">, </w:t>
      </w:r>
      <w:r>
        <w:rPr>
          <w:b/>
        </w:rPr>
        <w:t>simplicité de déploiement</w:t>
      </w:r>
      <w:r>
        <w:t xml:space="preserve"> et </w:t>
      </w:r>
      <w:r>
        <w:rPr>
          <w:b/>
        </w:rPr>
        <w:t>pertinence pour la séquence protéique</w:t>
      </w:r>
      <w:r>
        <w:t>. La première solution LightGBM était peu coûteuse et industrialisable, mais limitée en performance. Les représentations de protéines pré-entraînées ont été testées ensuite, puis adaptées à la tâche.</w:t>
      </w:r>
    </w:p>
    <w:p>
      <w:pPr>
        <w:spacing w:after="60"/>
        <w:jc w:val="center"/>
      </w:pPr>
      <w:r>
        <w:drawing>
          <wp:inline xmlns:a="http://schemas.openxmlformats.org/drawingml/2006/main" xmlns:pic="http://schemas.openxmlformats.org/drawingml/2006/picture">
            <wp:extent cx="5832000" cy="2156625"/>
            <wp:docPr id="3" name="Picture 3"/>
            <wp:cNvGraphicFramePr>
              <a:graphicFrameLocks noChangeAspect="1"/>
            </wp:cNvGraphicFramePr>
            <a:graphic>
              <a:graphicData uri="http://schemas.openxmlformats.org/drawingml/2006/picture">
                <pic:pic>
                  <pic:nvPicPr>
                    <pic:cNvPr id="0" name="comparaison_auc.png"/>
                    <pic:cNvPicPr/>
                  </pic:nvPicPr>
                  <pic:blipFill>
                    <a:blip r:embed="rId12"/>
                    <a:stretch>
                      <a:fillRect/>
                    </a:stretch>
                  </pic:blipFill>
                  <pic:spPr>
                    <a:xfrm>
                      <a:off x="0" y="0"/>
                      <a:ext cx="5832000" cy="2156625"/>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Option</w:t>
            </w:r>
          </w:p>
        </w:tc>
        <w:tc>
          <w:tcPr>
            <w:tcW w:type="dxa" w:w="3184"/>
            <w:vAlign w:val="center"/>
            <w:shd w:fill="176E75"/>
          </w:tcPr>
          <w:p>
            <w:pPr>
              <w:spacing w:after="20" w:before="20"/>
            </w:pPr>
            <w:r>
              <w:rPr>
                <w:b/>
                <w:color w:val="FFFFFF"/>
                <w:sz w:val="17"/>
              </w:rPr>
              <w:t>Performance sur Tune</w:t>
            </w:r>
          </w:p>
        </w:tc>
        <w:tc>
          <w:tcPr>
            <w:tcW w:type="dxa" w:w="3184"/>
            <w:vAlign w:val="center"/>
            <w:shd w:fill="176E75"/>
          </w:tcPr>
          <w:p>
            <w:pPr>
              <w:spacing w:after="20" w:before="20"/>
            </w:pPr>
            <w:r>
              <w:rPr>
                <w:b/>
                <w:color w:val="FFFFFF"/>
                <w:sz w:val="17"/>
              </w:rPr>
              <w:t>Choix</w:t>
            </w:r>
          </w:p>
        </w:tc>
      </w:tr>
      <w:tr>
        <w:trPr>
          <w:cantSplit/>
        </w:trPr>
        <w:tc>
          <w:tcPr>
            <w:tcW w:type="dxa" w:w="3184"/>
          </w:tcPr>
          <w:p>
            <w:pPr>
              <w:spacing w:after="20" w:before="20"/>
            </w:pPr>
            <w:r>
              <w:rPr>
                <w:sz w:val="17"/>
              </w:rPr>
              <w:t>ESM-2 150M figé + 13 critères Bio13</w:t>
            </w:r>
          </w:p>
        </w:tc>
        <w:tc>
          <w:tcPr>
            <w:tcW w:type="dxa" w:w="3184"/>
          </w:tcPr>
          <w:p>
            <w:pPr>
              <w:spacing w:after="20" w:before="20"/>
            </w:pPr>
            <w:r>
              <w:rPr>
                <w:sz w:val="17"/>
              </w:rPr>
              <w:t>≈ 0,76</w:t>
            </w:r>
          </w:p>
        </w:tc>
        <w:tc>
          <w:tcPr>
            <w:tcW w:type="dxa" w:w="3184"/>
          </w:tcPr>
          <w:p>
            <w:pPr>
              <w:spacing w:after="20" w:before="20"/>
            </w:pPr>
            <w:r>
              <w:rPr>
                <w:sz w:val="17"/>
              </w:rPr>
              <w:t>Alternative légère</w:t>
            </w:r>
          </w:p>
        </w:tc>
      </w:tr>
      <w:tr>
        <w:trPr>
          <w:cantSplit/>
        </w:trPr>
        <w:tc>
          <w:tcPr>
            <w:tcW w:type="dxa" w:w="3184"/>
          </w:tcPr>
          <w:p>
            <w:pPr>
              <w:spacing w:after="20" w:before="20"/>
            </w:pPr>
            <w:r>
              <w:rPr>
                <w:sz w:val="17"/>
              </w:rPr>
              <w:t>Même modèle + optimisation des paramètres</w:t>
            </w:r>
          </w:p>
        </w:tc>
        <w:tc>
          <w:tcPr>
            <w:tcW w:type="dxa" w:w="3184"/>
          </w:tcPr>
          <w:p>
            <w:pPr>
              <w:spacing w:after="20" w:before="20"/>
            </w:pPr>
            <w:r>
              <w:rPr>
                <w:sz w:val="17"/>
              </w:rPr>
              <w:t>≈ 0,76</w:t>
            </w:r>
          </w:p>
        </w:tc>
        <w:tc>
          <w:tcPr>
            <w:tcW w:type="dxa" w:w="3184"/>
          </w:tcPr>
          <w:p>
            <w:pPr>
              <w:spacing w:after="20" w:before="20"/>
            </w:pPr>
            <w:r>
              <w:rPr>
                <w:sz w:val="17"/>
              </w:rPr>
              <w:t>Gain insuffisant</w:t>
            </w:r>
          </w:p>
        </w:tc>
      </w:tr>
      <w:tr>
        <w:trPr>
          <w:cantSplit/>
        </w:trPr>
        <w:tc>
          <w:tcPr>
            <w:tcW w:type="dxa" w:w="3184"/>
          </w:tcPr>
          <w:p>
            <w:pPr>
              <w:spacing w:after="20" w:before="20"/>
            </w:pPr>
            <w:r>
              <w:rPr>
                <w:sz w:val="17"/>
              </w:rPr>
              <w:t>ESM-2 650M figé</w:t>
            </w:r>
          </w:p>
        </w:tc>
        <w:tc>
          <w:tcPr>
            <w:tcW w:type="dxa" w:w="3184"/>
          </w:tcPr>
          <w:p>
            <w:pPr>
              <w:spacing w:after="20" w:before="20"/>
            </w:pPr>
            <w:r>
              <w:rPr>
                <w:sz w:val="17"/>
              </w:rPr>
              <w:t>≈ 0,77</w:t>
            </w:r>
          </w:p>
        </w:tc>
        <w:tc>
          <w:tcPr>
            <w:tcW w:type="dxa" w:w="3184"/>
          </w:tcPr>
          <w:p>
            <w:pPr>
              <w:spacing w:after="20" w:before="20"/>
            </w:pPr>
            <w:r>
              <w:rPr>
                <w:sz w:val="17"/>
              </w:rPr>
              <w:t>Calcul plus coûteux</w:t>
            </w:r>
          </w:p>
        </w:tc>
      </w:tr>
      <w:tr>
        <w:trPr>
          <w:cantSplit/>
        </w:trPr>
        <w:tc>
          <w:tcPr>
            <w:tcW w:type="dxa" w:w="3184"/>
          </w:tcPr>
          <w:p>
            <w:pPr>
              <w:spacing w:after="20" w:before="20"/>
            </w:pPr>
            <w:r>
              <w:rPr>
                <w:sz w:val="17"/>
              </w:rPr>
              <w:t>ESM-2 150M partiellement réentraîné</w:t>
            </w:r>
          </w:p>
        </w:tc>
        <w:tc>
          <w:tcPr>
            <w:tcW w:type="dxa" w:w="3184"/>
          </w:tcPr>
          <w:p>
            <w:pPr>
              <w:spacing w:after="20" w:before="20"/>
            </w:pPr>
            <w:r>
              <w:rPr>
                <w:sz w:val="17"/>
              </w:rPr>
              <w:t>≈ 0,83</w:t>
            </w:r>
          </w:p>
        </w:tc>
        <w:tc>
          <w:tcPr>
            <w:tcW w:type="dxa" w:w="3184"/>
          </w:tcPr>
          <w:p>
            <w:pPr>
              <w:spacing w:after="20" w:before="20"/>
            </w:pPr>
            <w:r>
              <w:rPr>
                <w:sz w:val="17"/>
              </w:rPr>
              <w:t>Retenu pour le démonstrateur</w:t>
            </w:r>
          </w:p>
        </w:tc>
      </w:tr>
    </w:tbl>
    <w:p>
      <w:pPr>
        <w:spacing w:after="20"/>
      </w:pPr>
    </w:p>
    <w:p>
      <w:r>
        <w:t>L’AUC ROC mesure la capacité du modèle à distinguer les protéines solubles des insolubles. Le résultat de développement AUC ROC = 0,832857 (PR-AUC / average precision = 0,786022) a été obtenu sur Tune (n = 4 052), jeu déjà utilisé pour comparer et sélectionner les variantes. Ce n’est ni une performance finale indépendante, ni une preuve d’utilité expérimentale. Un export rétrospectif versionné (prédictions, métriques par tranche de longueur, manifeste et SHA-256) est désormais publié dans resultats/evaluation_v1/ ; la méthode et ses limites sont détaillées en annexes E et F.</w:t>
      </w:r>
    </w:p>
    <w:p>
      <w:pPr>
        <w:pStyle w:val="Heading2"/>
      </w:pPr>
      <w:r>
        <w:t>Ce que nous ne pouvons pas conclure</w:t>
      </w:r>
    </w:p>
    <w:p>
      <w:r>
        <w:t>L’amélioration ne peut pas être attribuée à un seul réglage : modèle de classification, fine-tuning et pipeline ont évolué ensemble. Le meilleur score décrit le prototype sélectionné ; il ne mesure pas à lui seul la valeur économique en laboratoire.</w:t>
      </w:r>
    </w:p>
    <w:p>
      <w:r>
        <w:br w:type="page"/>
      </w:r>
    </w:p>
    <w:p>
      <w:pPr>
        <w:pStyle w:val="Eyebrow"/>
      </w:pPr>
      <w:r>
        <w:t>3. IDENTIFICATION D’UNE SOLUTION CIBLE</w:t>
      </w:r>
    </w:p>
    <w:p>
      <w:pPr>
        <w:pStyle w:val="Heading1"/>
      </w:pPr>
      <w:r>
        <w:t>3.3 Architecture retenue et contraintes</w:t>
      </w:r>
    </w:p>
    <w:p>
      <w:pPr>
        <w:spacing w:after="60"/>
        <w:jc w:val="center"/>
      </w:pPr>
      <w:r>
        <w:drawing>
          <wp:inline xmlns:a="http://schemas.openxmlformats.org/drawingml/2006/main" xmlns:pic="http://schemas.openxmlformats.org/drawingml/2006/picture">
            <wp:extent cx="5886000" cy="2057928"/>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86000" cy="2057928"/>
                    </a:xfrm>
                    <a:prstGeom prst="rect"/>
                  </pic:spPr>
                </pic:pic>
              </a:graphicData>
            </a:graphic>
          </wp:inline>
        </w:drawing>
      </w:r>
    </w:p>
    <w:p>
      <w:r>
        <w:t xml:space="preserve">Le produit sépare </w:t>
      </w:r>
      <w:r>
        <w:rPr>
          <w:b/>
        </w:rPr>
        <w:t>trois fonctions</w:t>
      </w:r>
      <w:r>
        <w:t xml:space="preserve"> : 1) une prédiction issue de l’entraînement ; 2) une recherche PDB/UniProt fournissant un contexte biologique si la concordance est suffisante ; 3) un moteur de règles qui classe les constructions et contrôles possibles. Cette séparation évite d’affirmer qu’un tag conseillé est prédit par le réseau neuronal.</w:t>
      </w:r>
    </w:p>
    <w:p>
      <w:pPr>
        <w:pStyle w:val="Heading2"/>
      </w:pPr>
      <w:r>
        <w:t>Politique de longueur conservée</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Longueur de la protéine</w:t>
            </w:r>
          </w:p>
        </w:tc>
        <w:tc>
          <w:tcPr>
            <w:tcW w:type="dxa" w:w="3184"/>
            <w:vAlign w:val="center"/>
            <w:shd w:fill="176E75"/>
          </w:tcPr>
          <w:p>
            <w:pPr>
              <w:spacing w:after="20" w:before="20"/>
            </w:pPr>
            <w:r>
              <w:rPr>
                <w:b/>
                <w:color w:val="FFFFFF"/>
                <w:sz w:val="17"/>
              </w:rPr>
              <w:t>Information exploitée</w:t>
            </w:r>
          </w:p>
        </w:tc>
        <w:tc>
          <w:tcPr>
            <w:tcW w:type="dxa" w:w="3184"/>
            <w:vAlign w:val="center"/>
            <w:shd w:fill="176E75"/>
          </w:tcPr>
          <w:p>
            <w:pPr>
              <w:spacing w:after="20" w:before="20"/>
            </w:pPr>
            <w:r>
              <w:rPr>
                <w:b/>
                <w:color w:val="FFFFFF"/>
                <w:sz w:val="17"/>
              </w:rPr>
              <w:t>Affichage</w:t>
            </w:r>
          </w:p>
        </w:tc>
      </w:tr>
      <w:tr>
        <w:trPr>
          <w:cantSplit/>
        </w:trPr>
        <w:tc>
          <w:tcPr>
            <w:tcW w:type="dxa" w:w="3184"/>
          </w:tcPr>
          <w:p>
            <w:pPr>
              <w:spacing w:after="20" w:before="20"/>
            </w:pPr>
            <w:r>
              <w:rPr>
                <w:sz w:val="17"/>
              </w:rPr>
              <w:t>Jusqu’à 512 AA</w:t>
            </w:r>
          </w:p>
        </w:tc>
        <w:tc>
          <w:tcPr>
            <w:tcW w:type="dxa" w:w="3184"/>
          </w:tcPr>
          <w:p>
            <w:pPr>
              <w:spacing w:after="20" w:before="20"/>
            </w:pPr>
            <w:r>
              <w:rPr>
                <w:sz w:val="17"/>
              </w:rPr>
              <w:t>Toute la séquence</w:t>
            </w:r>
          </w:p>
        </w:tc>
        <w:tc>
          <w:tcPr>
            <w:tcW w:type="dxa" w:w="3184"/>
          </w:tcPr>
          <w:p>
            <w:pPr>
              <w:spacing w:after="20" w:before="20"/>
            </w:pPr>
            <w:r>
              <w:rPr>
                <w:sz w:val="17"/>
              </w:rPr>
              <w:t>Mode de référence</w:t>
            </w:r>
          </w:p>
        </w:tc>
      </w:tr>
      <w:tr>
        <w:trPr>
          <w:cantSplit/>
        </w:trPr>
        <w:tc>
          <w:tcPr>
            <w:tcW w:type="dxa" w:w="3184"/>
          </w:tcPr>
          <w:p>
            <w:pPr>
              <w:spacing w:after="20" w:before="20"/>
            </w:pPr>
            <w:r>
              <w:rPr>
                <w:sz w:val="17"/>
              </w:rPr>
              <w:t>De 513 à 1 022 AA</w:t>
            </w:r>
          </w:p>
        </w:tc>
        <w:tc>
          <w:tcPr>
            <w:tcW w:type="dxa" w:w="3184"/>
          </w:tcPr>
          <w:p>
            <w:pPr>
              <w:spacing w:after="20" w:before="20"/>
            </w:pPr>
            <w:r>
              <w:rPr>
                <w:sz w:val="17"/>
              </w:rPr>
              <w:t>Toute la séquence</w:t>
            </w:r>
          </w:p>
        </w:tc>
        <w:tc>
          <w:tcPr>
            <w:tcW w:type="dxa" w:w="3184"/>
          </w:tcPr>
          <w:p>
            <w:pPr>
              <w:spacing w:after="20" w:before="20"/>
            </w:pPr>
            <w:r>
              <w:rPr>
                <w:sz w:val="17"/>
              </w:rPr>
              <w:t>Mode expérimental, score non recalibré pour ce mode</w:t>
            </w:r>
          </w:p>
        </w:tc>
      </w:tr>
      <w:tr>
        <w:trPr>
          <w:cantSplit/>
        </w:trPr>
        <w:tc>
          <w:tcPr>
            <w:tcW w:type="dxa" w:w="3184"/>
          </w:tcPr>
          <w:p>
            <w:pPr>
              <w:spacing w:after="20" w:before="20"/>
            </w:pPr>
            <w:r>
              <w:rPr>
                <w:sz w:val="17"/>
              </w:rPr>
              <w:t>Au-delà de 1 022 AA</w:t>
            </w:r>
          </w:p>
        </w:tc>
        <w:tc>
          <w:tcPr>
            <w:tcW w:type="dxa" w:w="3184"/>
          </w:tcPr>
          <w:p>
            <w:pPr>
              <w:spacing w:after="20" w:before="20"/>
            </w:pPr>
            <w:r>
              <w:rPr>
                <w:sz w:val="17"/>
              </w:rPr>
              <w:t>512 premiers AA</w:t>
            </w:r>
          </w:p>
        </w:tc>
        <w:tc>
          <w:tcPr>
            <w:tcW w:type="dxa" w:w="3184"/>
          </w:tcPr>
          <w:p>
            <w:pPr>
              <w:spacing w:after="20" w:before="20"/>
            </w:pPr>
            <w:r>
              <w:rPr>
                <w:sz w:val="17"/>
              </w:rPr>
              <w:t>Troncature signalée</w:t>
            </w:r>
          </w:p>
        </w:tc>
      </w:tr>
    </w:tbl>
    <w:p>
      <w:pPr>
        <w:spacing w:after="20"/>
      </w:pPr>
    </w:p>
    <w:p>
      <w:r>
        <w:t>Le test de développement montre un intérêt particulier pour les séquences de 513 à 1 022 AA (</w:t>
      </w:r>
      <w:r>
        <w:rPr>
          <w:b/>
        </w:rPr>
        <w:t>360 exemples : AUC ≈ 0,81 → 0,85</w:t>
      </w:r>
      <w:r>
        <w:t>). Le gain global est faible, car la majorité des protéines sont plus courtes. Ce constat motive une extension prudente et non un changement silencieux du modèle.</w:t>
      </w:r>
    </w:p>
    <w:p>
      <w:pPr>
        <w:pStyle w:val="Heading2"/>
      </w:pPr>
      <w:r>
        <w:t>Livraison</w:t>
      </w:r>
    </w:p>
    <w:p>
      <w:r>
        <w:t>Interface web Gradio sur Hugging Face Spaces / ZeroGPU, code documenté sur GitHub, poids privés dans un dépôt séparé et tests automatiques sans GPU. La robustesse en conditions de charge et l’usage de séquences propriétaires restent hors périmètre.</w:t>
      </w:r>
    </w:p>
    <w:p>
      <w:r>
        <w:br w:type="page"/>
      </w:r>
    </w:p>
    <w:p>
      <w:pPr>
        <w:pStyle w:val="Eyebrow"/>
      </w:pPr>
      <w:r>
        <w:t>4. APPUI STRATÉGIQUE ET MÉTHODOLOGIQUE</w:t>
      </w:r>
    </w:p>
    <w:p>
      <w:pPr>
        <w:pStyle w:val="Heading1"/>
      </w:pPr>
      <w:r>
        <w:t>4.1 Méthode, pivot et gouvernance</w:t>
      </w:r>
    </w:p>
    <w:p>
      <w:pPr>
        <w:pStyle w:val="Heading2"/>
      </w:pPr>
      <w:r>
        <w:t>Gestion de projet : démarche itérative inspirée de CRISP-DM</w:t>
      </w:r>
    </w:p>
    <w:p>
      <w:r>
        <w:t xml:space="preserve">Le projet a suivi des boucles courtes : </w:t>
      </w:r>
      <w:r>
        <w:rPr>
          <w:b/>
        </w:rPr>
        <w:t>cadrer le besoin</w:t>
      </w:r>
      <w:r>
        <w:t>, auditer les données, construire une référence, comparer, analyser les erreurs, puis améliorer la livraison. Les choix sont appuyés par des expériences, des commits et un journal de modifications. Cette méthode permet de réorienter l’effort lorsque le besoin réel apparaît mieux défini.</w:t>
      </w:r>
    </w:p>
    <w:p>
      <w:pPr>
        <w:pStyle w:val="Heading2"/>
      </w:pPr>
      <w:r>
        <w:t>Le changement de cap est une décision de pilotage</w:t>
      </w:r>
    </w:p>
    <w:p>
      <w:r>
        <w:rPr>
          <w:b/>
        </w:rPr>
        <w:t>Phase 1 — priorité industrialisation.</w:t>
      </w:r>
      <w:r>
        <w:t xml:space="preserve"> Le projet initial mettait l’accent sur LightGBM, FastAPI, Docker, intégration continue, tests et surveillance. Il a permis de démontrer une chaîne MLOps complète, mais le produit restait centré sur une prédiction peu contextualisée pour le biologiste.</w:t>
      </w:r>
    </w:p>
    <w:p>
      <w:r>
        <w:rPr>
          <w:b/>
        </w:rPr>
        <w:t>Phase 2 — priorité usage et qualité de prédiction.</w:t>
      </w:r>
      <w:r>
        <w:t xml:space="preserve"> Les essais de modèles protéiques ont montré un gain sur le jeu de développement. J’ai donc retenu ESM-2 fine-tuné, remplacé l’interface de démonstration par Gradio et ajouté les annotations biologiques et les règles de conception.</w:t>
      </w:r>
    </w:p>
    <w:p>
      <w:r>
        <w:rPr>
          <w:b/>
        </w:rPr>
        <w:t>Ce qui a été conservé :</w:t>
      </w:r>
      <w:r>
        <w:t xml:space="preserve"> Git, versions, tests, séparation des artefacts, logique de suivi et exigences de reproductibilité. </w:t>
      </w:r>
      <w:r>
        <w:rPr>
          <w:b/>
        </w:rPr>
        <w:t>Ce qui a été mis de côté :</w:t>
      </w:r>
      <w:r>
        <w:t xml:space="preserve"> l’API Docker/ONNX comme produit principal ; son code est archivé, non perdu. Ce pivot privilégie la qualité de la démonstration métier sans effacer les compétences MLOps acquises.</w:t>
      </w:r>
    </w:p>
    <w:p>
      <w:pPr>
        <w:pStyle w:val="Heading2"/>
      </w:pPr>
      <w:r>
        <w:t>Organisation de la décision</w:t>
      </w:r>
    </w:p>
    <w:p>
      <w:r>
        <w:t>La porteuse du projet cumule les responsabilités métier et technique dans ce POC individuel. Pour un pilote, le biologiste valide les cas d’usage et les résultats, le responsable de plateforme arbitre le budget, la Data Scientist gère les évaluations, et le référent SI/qualité contrôle les accès et la confidentialité.</w:t>
      </w:r>
    </w:p>
    <w:p>
      <w:r>
        <w:br w:type="page"/>
      </w:r>
    </w:p>
    <w:p>
      <w:pPr>
        <w:pStyle w:val="Eyebrow"/>
      </w:pPr>
      <w:r>
        <w:t>4. APPUI STRATÉGIQUE ET MÉTHODOLOGIQUE</w:t>
      </w:r>
    </w:p>
    <w:p>
      <w:pPr>
        <w:pStyle w:val="Heading1"/>
      </w:pPr>
      <w:r>
        <w:t>4.1 (suite) — Roadmap : dates, jalons et responsabilités</w:t>
      </w:r>
    </w:p>
    <w:p>
      <w:pPr>
        <w:spacing w:after="60"/>
        <w:jc w:val="center"/>
      </w:pPr>
      <w:r>
        <w:drawing>
          <wp:inline xmlns:a="http://schemas.openxmlformats.org/drawingml/2006/main" xmlns:pic="http://schemas.openxmlformats.org/drawingml/2006/picture">
            <wp:extent cx="5796000" cy="2188575"/>
            <wp:docPr id="5" name="Picture 5"/>
            <wp:cNvGraphicFramePr>
              <a:graphicFrameLocks noChangeAspect="1"/>
            </wp:cNvGraphicFramePr>
            <a:graphic>
              <a:graphicData uri="http://schemas.openxmlformats.org/drawingml/2006/picture">
                <pic:pic>
                  <pic:nvPicPr>
                    <pic:cNvPr id="0" name="jalons_dates.png"/>
                    <pic:cNvPicPr/>
                  </pic:nvPicPr>
                  <pic:blipFill>
                    <a:blip r:embed="rId14"/>
                    <a:stretch>
                      <a:fillRect/>
                    </a:stretch>
                  </pic:blipFill>
                  <pic:spPr>
                    <a:xfrm>
                      <a:off x="0" y="0"/>
                      <a:ext cx="5796000" cy="2188575"/>
                    </a:xfrm>
                    <a:prstGeom prst="rect"/>
                  </pic:spPr>
                </pic:pic>
              </a:graphicData>
            </a:graphic>
          </wp:inline>
        </w:drawing>
      </w:r>
    </w:p>
    <w:p>
      <w:pPr>
        <w:pStyle w:val="Heading2"/>
      </w:pPr>
      <w:r>
        <w:t>Historique disponible : prévu et réalisé</w:t>
      </w:r>
    </w:p>
    <w:tbl>
      <w:tblPr>
        <w:tblStyle w:val="LightShading-Accent1"/>
        <w:tblW w:type="auto" w:w="0"/>
        <w:jc w:val="center"/>
        <w:tblLayout w:type="autofit"/>
        <w:tblLook w:firstColumn="1" w:firstRow="1" w:lastColumn="0" w:lastRow="0" w:noHBand="0" w:noVBand="1" w:val="04A0"/>
      </w:tblPr>
      <w:tblGrid>
        <w:gridCol w:w="2388"/>
        <w:gridCol w:w="2388"/>
        <w:gridCol w:w="2388"/>
        <w:gridCol w:w="2388"/>
      </w:tblGrid>
      <w:tr>
        <w:trPr>
          <w:cantSplit/>
        </w:trPr>
        <w:tc>
          <w:tcPr>
            <w:tcW w:type="dxa" w:w="2388"/>
            <w:vAlign w:val="center"/>
            <w:shd w:fill="176E75"/>
          </w:tcPr>
          <w:p>
            <w:pPr>
              <w:spacing w:after="20" w:before="20"/>
            </w:pPr>
            <w:r>
              <w:rPr>
                <w:b/>
                <w:color w:val="FFFFFF"/>
                <w:sz w:val="16"/>
              </w:rPr>
              <w:t>Jalon</w:t>
            </w:r>
          </w:p>
        </w:tc>
        <w:tc>
          <w:tcPr>
            <w:tcW w:type="dxa" w:w="2388"/>
            <w:vAlign w:val="center"/>
            <w:shd w:fill="176E75"/>
          </w:tcPr>
          <w:p>
            <w:pPr>
              <w:spacing w:after="20" w:before="20"/>
            </w:pPr>
            <w:r>
              <w:rPr>
                <w:b/>
                <w:color w:val="FFFFFF"/>
                <w:sz w:val="16"/>
              </w:rPr>
              <w:t>Référence de planification</w:t>
            </w:r>
          </w:p>
        </w:tc>
        <w:tc>
          <w:tcPr>
            <w:tcW w:type="dxa" w:w="2388"/>
            <w:vAlign w:val="center"/>
            <w:shd w:fill="176E75"/>
          </w:tcPr>
          <w:p>
            <w:pPr>
              <w:spacing w:after="20" w:before="20"/>
            </w:pPr>
            <w:r>
              <w:rPr>
                <w:b/>
                <w:color w:val="FFFFFF"/>
                <w:sz w:val="16"/>
              </w:rPr>
              <w:t>Réalisé / preuve</w:t>
            </w:r>
          </w:p>
        </w:tc>
        <w:tc>
          <w:tcPr>
            <w:tcW w:type="dxa" w:w="2388"/>
            <w:vAlign w:val="center"/>
            <w:shd w:fill="176E75"/>
          </w:tcPr>
          <w:p>
            <w:pPr>
              <w:spacing w:after="20" w:before="20"/>
            </w:pPr>
            <w:r>
              <w:rPr>
                <w:b/>
                <w:color w:val="FFFFFF"/>
                <w:sz w:val="16"/>
              </w:rPr>
              <w:t>Écart</w:t>
            </w:r>
          </w:p>
        </w:tc>
      </w:tr>
      <w:tr>
        <w:trPr>
          <w:cantSplit/>
        </w:trPr>
        <w:tc>
          <w:tcPr>
            <w:tcW w:type="dxa" w:w="2388"/>
          </w:tcPr>
          <w:p>
            <w:pPr>
              <w:spacing w:after="20" w:before="20"/>
            </w:pPr>
            <w:r>
              <w:rPr>
                <w:sz w:val="16"/>
              </w:rPr>
              <w:t>Première chaîne MLOps</w:t>
            </w:r>
          </w:p>
        </w:tc>
        <w:tc>
          <w:tcPr>
            <w:tcW w:type="dxa" w:w="2388"/>
          </w:tcPr>
          <w:p>
            <w:pPr>
              <w:spacing w:after="20" w:before="20"/>
            </w:pPr>
            <w:r>
              <w:rPr>
                <w:sz w:val="16"/>
              </w:rPr>
              <w:t>Objectif initial : API et tests</w:t>
            </w:r>
          </w:p>
        </w:tc>
        <w:tc>
          <w:tcPr>
            <w:tcW w:type="dxa" w:w="2388"/>
          </w:tcPr>
          <w:p>
            <w:pPr>
              <w:spacing w:after="20" w:before="20"/>
            </w:pPr>
            <w:r>
              <w:rPr>
                <w:sz w:val="16"/>
              </w:rPr>
              <w:t>03–05/07/2026 : commits FastAPI, Docker, CI</w:t>
            </w:r>
          </w:p>
        </w:tc>
        <w:tc>
          <w:tcPr>
            <w:tcW w:type="dxa" w:w="2388"/>
          </w:tcPr>
          <w:p>
            <w:pPr>
              <w:spacing w:after="20" w:before="20"/>
            </w:pPr>
            <w:r>
              <w:rPr>
                <w:sz w:val="16"/>
              </w:rPr>
              <w:t>Jalon atteint ; durée initiale non consignée</w:t>
            </w:r>
          </w:p>
        </w:tc>
      </w:tr>
      <w:tr>
        <w:trPr>
          <w:cantSplit/>
        </w:trPr>
        <w:tc>
          <w:tcPr>
            <w:tcW w:type="dxa" w:w="2388"/>
          </w:tcPr>
          <w:p>
            <w:pPr>
              <w:spacing w:after="20" w:before="20"/>
            </w:pPr>
            <w:r>
              <w:rPr>
                <w:sz w:val="16"/>
              </w:rPr>
              <w:t>Cycle initial V2/V3</w:t>
            </w:r>
          </w:p>
        </w:tc>
        <w:tc>
          <w:tcPr>
            <w:tcW w:type="dxa" w:w="2388"/>
          </w:tcPr>
          <w:p>
            <w:pPr>
              <w:spacing w:after="20" w:before="20"/>
            </w:pPr>
            <w:r>
              <w:rPr>
                <w:sz w:val="16"/>
              </w:rPr>
              <w:t>Référence d’effort estimée : ≈ 15 j-personne</w:t>
            </w:r>
          </w:p>
        </w:tc>
        <w:tc>
          <w:tcPr>
            <w:tcW w:type="dxa" w:w="2388"/>
          </w:tcPr>
          <w:p>
            <w:pPr>
              <w:spacing w:after="20" w:before="20"/>
            </w:pPr>
            <w:r>
              <w:rPr>
                <w:sz w:val="16"/>
              </w:rPr>
              <w:t>03–24/07 : 22 jours calendaires entre premiers et derniers commits</w:t>
            </w:r>
          </w:p>
        </w:tc>
        <w:tc>
          <w:tcPr>
            <w:tcW w:type="dxa" w:w="2388"/>
          </w:tcPr>
          <w:p>
            <w:pPr>
              <w:spacing w:after="20" w:before="20"/>
            </w:pPr>
            <w:r>
              <w:rPr>
                <w:sz w:val="16"/>
              </w:rPr>
              <w:t>Non calculable : jours-personne ≠ jours calendaires</w:t>
            </w:r>
          </w:p>
        </w:tc>
      </w:tr>
      <w:tr>
        <w:trPr>
          <w:cantSplit/>
        </w:trPr>
        <w:tc>
          <w:tcPr>
            <w:tcW w:type="dxa" w:w="2388"/>
          </w:tcPr>
          <w:p>
            <w:pPr>
              <w:spacing w:after="20" w:before="20"/>
            </w:pPr>
            <w:r>
              <w:rPr>
                <w:sz w:val="16"/>
              </w:rPr>
              <w:t>Campagne ESM-2</w:t>
            </w:r>
          </w:p>
        </w:tc>
        <w:tc>
          <w:tcPr>
            <w:tcW w:type="dxa" w:w="2388"/>
          </w:tcPr>
          <w:p>
            <w:pPr>
              <w:spacing w:after="20" w:before="20"/>
            </w:pPr>
            <w:r>
              <w:rPr>
                <w:sz w:val="16"/>
              </w:rPr>
              <w:t>Prévision datée d’origine non conservée</w:t>
            </w:r>
          </w:p>
        </w:tc>
        <w:tc>
          <w:tcPr>
            <w:tcW w:type="dxa" w:w="2388"/>
          </w:tcPr>
          <w:p>
            <w:pPr>
              <w:spacing w:after="20" w:before="20"/>
            </w:pPr>
            <w:r>
              <w:rPr>
                <w:sz w:val="16"/>
              </w:rPr>
              <w:t>Octobre : comparaisons et fine-tuning documentés</w:t>
            </w:r>
          </w:p>
        </w:tc>
        <w:tc>
          <w:tcPr>
            <w:tcW w:type="dxa" w:w="2388"/>
          </w:tcPr>
          <w:p>
            <w:pPr>
              <w:spacing w:after="20" w:before="20"/>
            </w:pPr>
            <w:r>
              <w:rPr>
                <w:sz w:val="16"/>
              </w:rPr>
              <w:t>Non calculable</w:t>
            </w:r>
          </w:p>
        </w:tc>
      </w:tr>
      <w:tr>
        <w:trPr>
          <w:cantSplit/>
        </w:trPr>
        <w:tc>
          <w:tcPr>
            <w:tcW w:type="dxa" w:w="2388"/>
          </w:tcPr>
          <w:p>
            <w:pPr>
              <w:spacing w:after="20" w:before="20"/>
            </w:pPr>
            <w:r>
              <w:rPr>
                <w:sz w:val="16"/>
              </w:rPr>
              <w:t>Démonstrateur et dépôt stabilisés</w:t>
            </w:r>
          </w:p>
        </w:tc>
        <w:tc>
          <w:tcPr>
            <w:tcW w:type="dxa" w:w="2388"/>
          </w:tcPr>
          <w:p>
            <w:pPr>
              <w:spacing w:after="20" w:before="20"/>
            </w:pPr>
            <w:r>
              <w:rPr>
                <w:sz w:val="16"/>
              </w:rPr>
              <w:t>Décision d’arrêt de version</w:t>
            </w:r>
          </w:p>
        </w:tc>
        <w:tc>
          <w:tcPr>
            <w:tcW w:type="dxa" w:w="2388"/>
          </w:tcPr>
          <w:p>
            <w:pPr>
              <w:spacing w:after="20" w:before="20"/>
            </w:pPr>
            <w:r>
              <w:rPr>
                <w:sz w:val="16"/>
              </w:rPr>
              <w:t>22–25/10 : Space, tests, version GitHub</w:t>
            </w:r>
          </w:p>
        </w:tc>
        <w:tc>
          <w:tcPr>
            <w:tcW w:type="dxa" w:w="2388"/>
          </w:tcPr>
          <w:p>
            <w:pPr>
              <w:spacing w:after="20" w:before="20"/>
            </w:pPr>
            <w:r>
              <w:rPr>
                <w:sz w:val="16"/>
              </w:rPr>
              <w:t>Livré au 25/10</w:t>
            </w:r>
          </w:p>
        </w:tc>
      </w:tr>
    </w:tbl>
    <w:p>
      <w:pPr>
        <w:spacing w:after="20"/>
      </w:pPr>
    </w:p>
    <w:p>
      <w:r>
        <w:t xml:space="preserve">Les dates réelles proviennent de l’historique des commits et des sorties d’expériences. </w:t>
      </w:r>
      <w:r>
        <w:rPr>
          <w:b/>
        </w:rPr>
        <w:t>Aucune planification contractuelle antérieure chiffrée n’a été retrouvée</w:t>
      </w:r>
      <w:r>
        <w:t xml:space="preserve"> : inventer un retard précis serait trompeur. Le tableau confronte donc les objectifs de départ aux dates effectivement documentées.</w:t>
      </w:r>
    </w:p>
    <w:p>
      <w:pPr>
        <w:pStyle w:val="Heading2"/>
      </w:pPr>
      <w:r>
        <w:t>Plan prospective proposé pour une validation métier — non réalisé</w:t>
      </w:r>
    </w:p>
    <w:tbl>
      <w:tblPr>
        <w:tblStyle w:val="LightShading-Accent1"/>
        <w:tblW w:type="auto" w:w="0"/>
        <w:jc w:val="center"/>
        <w:tblLayout w:type="autofit"/>
        <w:tblLook w:firstColumn="1" w:firstRow="1" w:lastColumn="0" w:lastRow="0" w:noHBand="0" w:noVBand="1" w:val="04A0"/>
      </w:tblPr>
      <w:tblGrid>
        <w:gridCol w:w="2388"/>
        <w:gridCol w:w="2388"/>
        <w:gridCol w:w="2388"/>
        <w:gridCol w:w="2388"/>
      </w:tblGrid>
      <w:tr>
        <w:trPr>
          <w:cantSplit/>
        </w:trPr>
        <w:tc>
          <w:tcPr>
            <w:tcW w:type="dxa" w:w="2388"/>
            <w:vAlign w:val="center"/>
            <w:shd w:fill="176E75"/>
          </w:tcPr>
          <w:p>
            <w:pPr>
              <w:spacing w:after="20" w:before="20"/>
            </w:pPr>
            <w:r>
              <w:rPr>
                <w:b/>
                <w:color w:val="FFFFFF"/>
                <w:sz w:val="16"/>
              </w:rPr>
              <w:t>Phase proposée</w:t>
            </w:r>
          </w:p>
        </w:tc>
        <w:tc>
          <w:tcPr>
            <w:tcW w:type="dxa" w:w="2388"/>
            <w:vAlign w:val="center"/>
            <w:shd w:fill="176E75"/>
          </w:tcPr>
          <w:p>
            <w:pPr>
              <w:spacing w:after="20" w:before="20"/>
            </w:pPr>
            <w:r>
              <w:rPr>
                <w:b/>
                <w:color w:val="FFFFFF"/>
                <w:sz w:val="16"/>
              </w:rPr>
              <w:t>Fenêtre indicative</w:t>
            </w:r>
          </w:p>
        </w:tc>
        <w:tc>
          <w:tcPr>
            <w:tcW w:type="dxa" w:w="2388"/>
            <w:vAlign w:val="center"/>
            <w:shd w:fill="176E75"/>
          </w:tcPr>
          <w:p>
            <w:pPr>
              <w:spacing w:after="20" w:before="20"/>
            </w:pPr>
            <w:r>
              <w:rPr>
                <w:b/>
                <w:color w:val="FFFFFF"/>
                <w:sz w:val="16"/>
              </w:rPr>
              <w:t>Responsable cible</w:t>
            </w:r>
          </w:p>
        </w:tc>
        <w:tc>
          <w:tcPr>
            <w:tcW w:type="dxa" w:w="2388"/>
            <w:vAlign w:val="center"/>
            <w:shd w:fill="176E75"/>
          </w:tcPr>
          <w:p>
            <w:pPr>
              <w:spacing w:after="20" w:before="20"/>
            </w:pPr>
            <w:r>
              <w:rPr>
                <w:b/>
                <w:color w:val="FFFFFF"/>
                <w:sz w:val="16"/>
              </w:rPr>
              <w:t>Jalon de sortie</w:t>
            </w:r>
          </w:p>
        </w:tc>
      </w:tr>
      <w:tr>
        <w:trPr>
          <w:cantSplit/>
        </w:trPr>
        <w:tc>
          <w:tcPr>
            <w:tcW w:type="dxa" w:w="2388"/>
          </w:tcPr>
          <w:p>
            <w:pPr>
              <w:spacing w:after="20" w:before="20"/>
            </w:pPr>
            <w:r>
              <w:rPr>
                <w:sz w:val="16"/>
              </w:rPr>
              <w:t>Définir cohorte et protocoles</w:t>
            </w:r>
          </w:p>
        </w:tc>
        <w:tc>
          <w:tcPr>
            <w:tcW w:type="dxa" w:w="2388"/>
          </w:tcPr>
          <w:p>
            <w:pPr>
              <w:spacing w:after="20" w:before="20"/>
            </w:pPr>
            <w:r>
              <w:rPr>
                <w:sz w:val="16"/>
              </w:rPr>
              <w:t>Semaine 1</w:t>
            </w:r>
          </w:p>
        </w:tc>
        <w:tc>
          <w:tcPr>
            <w:tcW w:type="dxa" w:w="2388"/>
          </w:tcPr>
          <w:p>
            <w:pPr>
              <w:spacing w:after="20" w:before="20"/>
            </w:pPr>
            <w:r>
              <w:rPr>
                <w:sz w:val="16"/>
              </w:rPr>
              <w:t>Biologiste + Data</w:t>
            </w:r>
          </w:p>
        </w:tc>
        <w:tc>
          <w:tcPr>
            <w:tcW w:type="dxa" w:w="2388"/>
          </w:tcPr>
          <w:p>
            <w:pPr>
              <w:spacing w:after="20" w:before="20"/>
            </w:pPr>
            <w:r>
              <w:rPr>
                <w:sz w:val="16"/>
              </w:rPr>
              <w:t>Critères d’inclusion signés</w:t>
            </w:r>
          </w:p>
        </w:tc>
      </w:tr>
      <w:tr>
        <w:trPr>
          <w:cantSplit/>
        </w:trPr>
        <w:tc>
          <w:tcPr>
            <w:tcW w:type="dxa" w:w="2388"/>
          </w:tcPr>
          <w:p>
            <w:pPr>
              <w:spacing w:after="20" w:before="20"/>
            </w:pPr>
            <w:r>
              <w:rPr>
                <w:sz w:val="16"/>
              </w:rPr>
              <w:t>Préparer et auditer les données</w:t>
            </w:r>
          </w:p>
        </w:tc>
        <w:tc>
          <w:tcPr>
            <w:tcW w:type="dxa" w:w="2388"/>
          </w:tcPr>
          <w:p>
            <w:pPr>
              <w:spacing w:after="20" w:before="20"/>
            </w:pPr>
            <w:r>
              <w:rPr>
                <w:sz w:val="16"/>
              </w:rPr>
              <w:t>Semaines 2–3</w:t>
            </w:r>
          </w:p>
        </w:tc>
        <w:tc>
          <w:tcPr>
            <w:tcW w:type="dxa" w:w="2388"/>
          </w:tcPr>
          <w:p>
            <w:pPr>
              <w:spacing w:after="20" w:before="20"/>
            </w:pPr>
            <w:r>
              <w:rPr>
                <w:sz w:val="16"/>
              </w:rPr>
              <w:t>Data + qualité</w:t>
            </w:r>
          </w:p>
        </w:tc>
        <w:tc>
          <w:tcPr>
            <w:tcW w:type="dxa" w:w="2388"/>
          </w:tcPr>
          <w:p>
            <w:pPr>
              <w:spacing w:after="20" w:before="20"/>
            </w:pPr>
            <w:r>
              <w:rPr>
                <w:sz w:val="16"/>
              </w:rPr>
              <w:t>Jeu externe gelé</w:t>
            </w:r>
          </w:p>
        </w:tc>
      </w:tr>
      <w:tr>
        <w:trPr>
          <w:cantSplit/>
        </w:trPr>
        <w:tc>
          <w:tcPr>
            <w:tcW w:type="dxa" w:w="2388"/>
          </w:tcPr>
          <w:p>
            <w:pPr>
              <w:spacing w:after="20" w:before="20"/>
            </w:pPr>
            <w:r>
              <w:rPr>
                <w:sz w:val="16"/>
              </w:rPr>
              <w:t>Criblage comparatif en laboratoire</w:t>
            </w:r>
          </w:p>
        </w:tc>
        <w:tc>
          <w:tcPr>
            <w:tcW w:type="dxa" w:w="2388"/>
          </w:tcPr>
          <w:p>
            <w:pPr>
              <w:spacing w:after="20" w:before="20"/>
            </w:pPr>
            <w:r>
              <w:rPr>
                <w:sz w:val="16"/>
              </w:rPr>
              <w:t>Semaines 4–6</w:t>
            </w:r>
          </w:p>
        </w:tc>
        <w:tc>
          <w:tcPr>
            <w:tcW w:type="dxa" w:w="2388"/>
          </w:tcPr>
          <w:p>
            <w:pPr>
              <w:spacing w:after="20" w:before="20"/>
            </w:pPr>
            <w:r>
              <w:rPr>
                <w:sz w:val="16"/>
              </w:rPr>
              <w:t>Biologiste / plateforme</w:t>
            </w:r>
          </w:p>
        </w:tc>
        <w:tc>
          <w:tcPr>
            <w:tcW w:type="dxa" w:w="2388"/>
          </w:tcPr>
          <w:p>
            <w:pPr>
              <w:spacing w:after="20" w:before="20"/>
            </w:pPr>
            <w:r>
              <w:rPr>
                <w:sz w:val="16"/>
              </w:rPr>
              <w:t>Résultats soluble/insoluble et activité</w:t>
            </w:r>
          </w:p>
        </w:tc>
      </w:tr>
      <w:tr>
        <w:trPr>
          <w:cantSplit/>
        </w:trPr>
        <w:tc>
          <w:tcPr>
            <w:tcW w:type="dxa" w:w="2388"/>
          </w:tcPr>
          <w:p>
            <w:pPr>
              <w:spacing w:after="20" w:before="20"/>
            </w:pPr>
            <w:r>
              <w:rPr>
                <w:sz w:val="16"/>
              </w:rPr>
              <w:t>Bilan coût, délai et adoption</w:t>
            </w:r>
          </w:p>
        </w:tc>
        <w:tc>
          <w:tcPr>
            <w:tcW w:type="dxa" w:w="2388"/>
          </w:tcPr>
          <w:p>
            <w:pPr>
              <w:spacing w:after="20" w:before="20"/>
            </w:pPr>
            <w:r>
              <w:rPr>
                <w:sz w:val="16"/>
              </w:rPr>
              <w:t>Semaine 7</w:t>
            </w:r>
          </w:p>
        </w:tc>
        <w:tc>
          <w:tcPr>
            <w:tcW w:type="dxa" w:w="2388"/>
          </w:tcPr>
          <w:p>
            <w:pPr>
              <w:spacing w:after="20" w:before="20"/>
            </w:pPr>
            <w:r>
              <w:rPr>
                <w:sz w:val="16"/>
              </w:rPr>
              <w:t>Chef de projet + responsable</w:t>
            </w:r>
          </w:p>
        </w:tc>
        <w:tc>
          <w:tcPr>
            <w:tcW w:type="dxa" w:w="2388"/>
          </w:tcPr>
          <w:p>
            <w:pPr>
              <w:spacing w:after="20" w:before="20"/>
            </w:pPr>
            <w:r>
              <w:rPr>
                <w:sz w:val="16"/>
              </w:rPr>
              <w:t>Décision go / no-go</w:t>
            </w:r>
          </w:p>
        </w:tc>
      </w:tr>
    </w:tbl>
    <w:p>
      <w:pPr>
        <w:spacing w:after="20"/>
      </w:pPr>
    </w:p>
    <w:p>
      <w:r>
        <w:br w:type="page"/>
      </w:r>
    </w:p>
    <w:p>
      <w:pPr>
        <w:pStyle w:val="Eyebrow"/>
      </w:pPr>
      <w:r>
        <w:t>4. APPUI STRATÉGIQUE ET MÉTHODOLOGIQUE</w:t>
      </w:r>
    </w:p>
    <w:p>
      <w:pPr>
        <w:pStyle w:val="Heading1"/>
      </w:pPr>
      <w:r>
        <w:t>4.2 Arbitrages financiers et risques</w:t>
      </w:r>
    </w:p>
    <w:p>
      <w:pPr>
        <w:pStyle w:val="Heading2"/>
      </w:pPr>
      <w:r>
        <w:t>Trois scénarios de financement — estimations non engagées</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Scénario</w:t>
            </w:r>
          </w:p>
        </w:tc>
        <w:tc>
          <w:tcPr>
            <w:tcW w:type="dxa" w:w="3184"/>
            <w:vAlign w:val="center"/>
            <w:shd w:fill="176E75"/>
          </w:tcPr>
          <w:p>
            <w:pPr>
              <w:spacing w:after="20" w:before="20"/>
            </w:pPr>
            <w:r>
              <w:rPr>
                <w:b/>
                <w:color w:val="FFFFFF"/>
                <w:sz w:val="17"/>
              </w:rPr>
              <w:t>Périmètre</w:t>
            </w:r>
          </w:p>
        </w:tc>
        <w:tc>
          <w:tcPr>
            <w:tcW w:type="dxa" w:w="3184"/>
            <w:vAlign w:val="center"/>
            <w:shd w:fill="176E75"/>
          </w:tcPr>
          <w:p>
            <w:pPr>
              <w:spacing w:after="20" w:before="20"/>
            </w:pPr>
            <w:r>
              <w:rPr>
                <w:b/>
                <w:color w:val="FFFFFF"/>
                <w:sz w:val="17"/>
              </w:rPr>
              <w:t>Budget estimatif</w:t>
            </w:r>
          </w:p>
        </w:tc>
      </w:tr>
      <w:tr>
        <w:trPr>
          <w:cantSplit/>
        </w:trPr>
        <w:tc>
          <w:tcPr>
            <w:tcW w:type="dxa" w:w="3184"/>
          </w:tcPr>
          <w:p>
            <w:pPr>
              <w:spacing w:after="20" w:before="20"/>
            </w:pPr>
            <w:r>
              <w:rPr>
                <w:sz w:val="17"/>
              </w:rPr>
              <w:t>A — qualité de données</w:t>
            </w:r>
          </w:p>
        </w:tc>
        <w:tc>
          <w:tcPr>
            <w:tcW w:type="dxa" w:w="3184"/>
          </w:tcPr>
          <w:p>
            <w:pPr>
              <w:spacing w:after="20" w:before="20"/>
            </w:pPr>
            <w:r>
              <w:rPr>
                <w:sz w:val="17"/>
              </w:rPr>
              <w:t>Qualité, homologie, protocole et traçabilité</w:t>
            </w:r>
          </w:p>
        </w:tc>
        <w:tc>
          <w:tcPr>
            <w:tcW w:type="dxa" w:w="3184"/>
          </w:tcPr>
          <w:p>
            <w:pPr>
              <w:spacing w:after="20" w:before="20"/>
            </w:pPr>
            <w:r>
              <w:rPr>
                <w:sz w:val="17"/>
              </w:rPr>
              <w:t>7 000 €</w:t>
            </w:r>
          </w:p>
        </w:tc>
      </w:tr>
      <w:tr>
        <w:trPr>
          <w:cantSplit/>
        </w:trPr>
        <w:tc>
          <w:tcPr>
            <w:tcW w:type="dxa" w:w="3184"/>
          </w:tcPr>
          <w:p>
            <w:pPr>
              <w:spacing w:after="20" w:before="20"/>
            </w:pPr>
            <w:r>
              <w:rPr>
                <w:sz w:val="17"/>
              </w:rPr>
              <w:t>B — amélioration ML</w:t>
            </w:r>
          </w:p>
        </w:tc>
        <w:tc>
          <w:tcPr>
            <w:tcW w:type="dxa" w:w="3184"/>
          </w:tcPr>
          <w:p>
            <w:pPr>
              <w:spacing w:after="20" w:before="20"/>
            </w:pPr>
            <w:r>
              <w:rPr>
                <w:sz w:val="17"/>
              </w:rPr>
              <w:t>A + nouvelles évaluations et calibration</w:t>
            </w:r>
          </w:p>
        </w:tc>
        <w:tc>
          <w:tcPr>
            <w:tcW w:type="dxa" w:w="3184"/>
          </w:tcPr>
          <w:p>
            <w:pPr>
              <w:spacing w:after="20" w:before="20"/>
            </w:pPr>
            <w:r>
              <w:rPr>
                <w:sz w:val="17"/>
              </w:rPr>
              <w:t>12 500 €</w:t>
            </w:r>
          </w:p>
        </w:tc>
      </w:tr>
      <w:tr>
        <w:trPr>
          <w:cantSplit/>
        </w:trPr>
        <w:tc>
          <w:tcPr>
            <w:tcW w:type="dxa" w:w="3184"/>
          </w:tcPr>
          <w:p>
            <w:pPr>
              <w:spacing w:after="20" w:before="20"/>
            </w:pPr>
            <w:r>
              <w:rPr>
                <w:sz w:val="17"/>
              </w:rPr>
              <w:t>C — pilote biologique</w:t>
            </w:r>
          </w:p>
        </w:tc>
        <w:tc>
          <w:tcPr>
            <w:tcW w:type="dxa" w:w="3184"/>
          </w:tcPr>
          <w:p>
            <w:pPr>
              <w:spacing w:after="20" w:before="20"/>
            </w:pPr>
            <w:r>
              <w:rPr>
                <w:sz w:val="17"/>
              </w:rPr>
              <w:t>B + essai prospectif et mesure de valeur</w:t>
            </w:r>
          </w:p>
        </w:tc>
        <w:tc>
          <w:tcPr>
            <w:tcW w:type="dxa" w:w="3184"/>
          </w:tcPr>
          <w:p>
            <w:pPr>
              <w:spacing w:after="20" w:before="20"/>
            </w:pPr>
            <w:r>
              <w:rPr>
                <w:sz w:val="17"/>
              </w:rPr>
              <w:t>23 000 €</w:t>
            </w:r>
          </w:p>
        </w:tc>
      </w:tr>
    </w:tbl>
    <w:p>
      <w:pPr>
        <w:spacing w:after="20"/>
      </w:pPr>
    </w:p>
    <w:p>
      <w:r>
        <w:t>Chiffrage transparent, hypothèses cumulatives HT : A = 14 jours-personne (6 500 €) + outils/stockage (500 €), soit 7 000 €. B = A + 9 jours-personne (4 800 €) + GPU/infrastructure (700 €), soit 12 500 €. C = B + 7 jours-personne (3 500 €) + 10 essais de criblage portant sur 10 constructions (un essai exploratoire par construction, 600 € de frais directs chacun, soit 6 000 €) + une réserve d’aléas distincte (1 000 €), soit 23 000 €. Les tarifs journaliers, le périmètre des essais et les postes sont explicités en annexe E. Ce sont des estimations de pilotage et non des devis, dépenses engagées ou économies observées.</w:t>
      </w:r>
    </w:p>
    <w:p>
      <w:pPr/>
      <w:r>
        <w:t>Illustration purement pédagogique du retour sur investissement : si un cycle expérimental complet évité valait 2 000 € (à vérifier auprès d’un laboratoire), les seuils d’équilibre seraient de 4, 7 et 12 cycles évités respectivement. Ce coût complet de cycle ne se confond ni avec l’essai exploratoire à 600 € du scénario C, ni avec les pondérations FN/FP du modèle ; aucune économie réelle n’a été mesurée.</w:t>
      </w:r>
    </w:p>
    <w:p>
      <w:pPr>
        <w:pStyle w:val="Heading2"/>
      </w:pPr>
      <w:r>
        <w:t>La fonction de coût : un arbitrage métier discutable et explicite</w:t>
      </w:r>
    </w:p>
    <w:p>
      <w:r>
        <w:t xml:space="preserve">Le seuil actuellement figé utilise </w:t>
      </w:r>
      <w:r>
        <w:rPr>
          <w:b/>
        </w:rPr>
        <w:t>1 200 € par faux négatif</w:t>
      </w:r>
      <w:r>
        <w:t xml:space="preserve"> (une protéine réellement soluble écartée) et </w:t>
      </w:r>
      <w:r>
        <w:rPr>
          <w:b/>
        </w:rPr>
        <w:t>600 € par faux positif</w:t>
      </w:r>
      <w:r>
        <w:t xml:space="preserve"> (un essai inutile sur une insoluble). Il favorise donc la récupération de protéines potentiellement intéressantes, même au prix d’essais supplémentaires. Ce choix n’est cohérent que si </w:t>
      </w:r>
      <w:r>
        <w:rPr>
          <w:b/>
        </w:rPr>
        <w:t>la valeur d’une bonne cible manquée dépasse le coût d’un essai évitable</w:t>
      </w:r>
      <w:r>
        <w:t>.</w:t>
      </w:r>
    </w:p>
    <w:p>
      <w:r>
        <w:t xml:space="preserve">Si l’objectif prioritaire devient strictement la réduction des essais inutiles, cette pondération doit être discutée, voire inversée, </w:t>
      </w:r>
      <w:r>
        <w:rPr>
          <w:b/>
        </w:rPr>
        <w:t>avant</w:t>
      </w:r>
      <w:r>
        <w:t xml:space="preserve"> un nouveau réglage du seuil sur des données distinctes. Le prototype ne prétend pas démontrer que les valeurs 1 200 € et 600 € sont les vrais coûts d’un laboratoire.</w:t>
      </w:r>
    </w:p>
    <w:p>
      <w:pPr>
        <w:pStyle w:val="Heading2"/>
      </w:pPr>
      <w:r>
        <w:t>Risques majeurs et réponses</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Risque</w:t>
            </w:r>
          </w:p>
        </w:tc>
        <w:tc>
          <w:tcPr>
            <w:tcW w:type="dxa" w:w="3184"/>
            <w:vAlign w:val="center"/>
            <w:shd w:fill="176E75"/>
          </w:tcPr>
          <w:p>
            <w:pPr>
              <w:spacing w:after="20" w:before="20"/>
            </w:pPr>
            <w:r>
              <w:rPr>
                <w:b/>
                <w:color w:val="FFFFFF"/>
                <w:sz w:val="17"/>
              </w:rPr>
              <w:t>Impact</w:t>
            </w:r>
          </w:p>
        </w:tc>
        <w:tc>
          <w:tcPr>
            <w:tcW w:type="dxa" w:w="3184"/>
            <w:vAlign w:val="center"/>
            <w:shd w:fill="176E75"/>
          </w:tcPr>
          <w:p>
            <w:pPr>
              <w:spacing w:after="20" w:before="20"/>
            </w:pPr>
            <w:r>
              <w:rPr>
                <w:b/>
                <w:color w:val="FFFFFF"/>
                <w:sz w:val="17"/>
              </w:rPr>
              <w:t>Parade</w:t>
            </w:r>
          </w:p>
        </w:tc>
      </w:tr>
      <w:tr>
        <w:trPr>
          <w:cantSplit/>
        </w:trPr>
        <w:tc>
          <w:tcPr>
            <w:tcW w:type="dxa" w:w="3184"/>
          </w:tcPr>
          <w:p>
            <w:pPr>
              <w:spacing w:after="20" w:before="20"/>
            </w:pPr>
            <w:r>
              <w:rPr>
                <w:sz w:val="17"/>
              </w:rPr>
              <w:t>Fuite de données par homologie</w:t>
            </w:r>
          </w:p>
        </w:tc>
        <w:tc>
          <w:tcPr>
            <w:tcW w:type="dxa" w:w="3184"/>
          </w:tcPr>
          <w:p>
            <w:pPr>
              <w:spacing w:after="20" w:before="20"/>
            </w:pPr>
            <w:r>
              <w:rPr>
                <w:sz w:val="17"/>
              </w:rPr>
              <w:t>Score artificiellement optimiste</w:t>
            </w:r>
          </w:p>
        </w:tc>
        <w:tc>
          <w:tcPr>
            <w:tcW w:type="dxa" w:w="3184"/>
          </w:tcPr>
          <w:p>
            <w:pPr>
              <w:spacing w:after="20" w:before="20"/>
            </w:pPr>
            <w:r>
              <w:rPr>
                <w:sz w:val="17"/>
              </w:rPr>
              <w:t>Groupes et recherche de similarité</w:t>
            </w:r>
          </w:p>
        </w:tc>
      </w:tr>
      <w:tr>
        <w:trPr>
          <w:cantSplit/>
        </w:trPr>
        <w:tc>
          <w:tcPr>
            <w:tcW w:type="dxa" w:w="3184"/>
          </w:tcPr>
          <w:p>
            <w:pPr>
              <w:spacing w:after="20" w:before="20"/>
            </w:pPr>
            <w:r>
              <w:rPr>
                <w:sz w:val="17"/>
              </w:rPr>
              <w:t>Labels dépendants des protocoles</w:t>
            </w:r>
          </w:p>
        </w:tc>
        <w:tc>
          <w:tcPr>
            <w:tcW w:type="dxa" w:w="3184"/>
          </w:tcPr>
          <w:p>
            <w:pPr>
              <w:spacing w:after="20" w:before="20"/>
            </w:pPr>
            <w:r>
              <w:rPr>
                <w:sz w:val="17"/>
              </w:rPr>
              <w:t>Décisions peu transférables</w:t>
            </w:r>
          </w:p>
        </w:tc>
        <w:tc>
          <w:tcPr>
            <w:tcW w:type="dxa" w:w="3184"/>
          </w:tcPr>
          <w:p>
            <w:pPr>
              <w:spacing w:after="20" w:before="20"/>
            </w:pPr>
            <w:r>
              <w:rPr>
                <w:sz w:val="17"/>
              </w:rPr>
              <w:t>Documenter les conditions de référence</w:t>
            </w:r>
          </w:p>
        </w:tc>
      </w:tr>
      <w:tr>
        <w:trPr>
          <w:cantSplit/>
        </w:trPr>
        <w:tc>
          <w:tcPr>
            <w:tcW w:type="dxa" w:w="3184"/>
          </w:tcPr>
          <w:p>
            <w:pPr>
              <w:spacing w:after="20" w:before="20"/>
            </w:pPr>
            <w:r>
              <w:rPr>
                <w:sz w:val="17"/>
              </w:rPr>
              <w:t>Séquence propriétaire transmise à un tiers</w:t>
            </w:r>
          </w:p>
        </w:tc>
        <w:tc>
          <w:tcPr>
            <w:tcW w:type="dxa" w:w="3184"/>
          </w:tcPr>
          <w:p>
            <w:pPr>
              <w:spacing w:after="20" w:before="20"/>
            </w:pPr>
            <w:r>
              <w:rPr>
                <w:sz w:val="17"/>
              </w:rPr>
              <w:t>Confidentialité</w:t>
            </w:r>
          </w:p>
        </w:tc>
        <w:tc>
          <w:tcPr>
            <w:tcW w:type="dxa" w:w="3184"/>
          </w:tcPr>
          <w:p>
            <w:pPr>
              <w:spacing w:after="20" w:before="20"/>
            </w:pPr>
            <w:r>
              <w:rPr>
                <w:sz w:val="17"/>
              </w:rPr>
              <w:t>Désactiver recherche externe sans autorisation</w:t>
            </w:r>
          </w:p>
        </w:tc>
      </w:tr>
      <w:tr>
        <w:trPr>
          <w:cantSplit/>
        </w:trPr>
        <w:tc>
          <w:tcPr>
            <w:tcW w:type="dxa" w:w="3184"/>
          </w:tcPr>
          <w:p>
            <w:pPr>
              <w:spacing w:after="20" w:before="20"/>
            </w:pPr>
            <w:r>
              <w:rPr>
                <w:sz w:val="17"/>
              </w:rPr>
              <w:t>Conseils pris comme prédictions garanties</w:t>
            </w:r>
          </w:p>
        </w:tc>
        <w:tc>
          <w:tcPr>
            <w:tcW w:type="dxa" w:w="3184"/>
          </w:tcPr>
          <w:p>
            <w:pPr>
              <w:spacing w:after="20" w:before="20"/>
            </w:pPr>
            <w:r>
              <w:rPr>
                <w:sz w:val="17"/>
              </w:rPr>
              <w:t>Essais inadaptés</w:t>
            </w:r>
          </w:p>
        </w:tc>
        <w:tc>
          <w:tcPr>
            <w:tcW w:type="dxa" w:w="3184"/>
          </w:tcPr>
          <w:p>
            <w:pPr>
              <w:spacing w:after="20" w:before="20"/>
            </w:pPr>
            <w:r>
              <w:rPr>
                <w:sz w:val="17"/>
              </w:rPr>
              <w:t>Règles expliquées + validation scientifique</w:t>
            </w:r>
          </w:p>
        </w:tc>
      </w:tr>
      <w:tr>
        <w:trPr>
          <w:cantSplit/>
        </w:trPr>
        <w:tc>
          <w:tcPr>
            <w:tcW w:type="dxa" w:w="3184"/>
          </w:tcPr>
          <w:p>
            <w:pPr>
              <w:spacing w:after="20" w:before="20"/>
            </w:pPr>
            <w:r>
              <w:rPr>
                <w:sz w:val="17"/>
              </w:rPr>
              <w:t>Absence de suivi économique</w:t>
            </w:r>
          </w:p>
        </w:tc>
        <w:tc>
          <w:tcPr>
            <w:tcW w:type="dxa" w:w="3184"/>
          </w:tcPr>
          <w:p>
            <w:pPr>
              <w:spacing w:after="20" w:before="20"/>
            </w:pPr>
            <w:r>
              <w:rPr>
                <w:sz w:val="17"/>
              </w:rPr>
              <w:t>ROI non prouvable</w:t>
            </w:r>
          </w:p>
        </w:tc>
        <w:tc>
          <w:tcPr>
            <w:tcW w:type="dxa" w:w="3184"/>
          </w:tcPr>
          <w:p>
            <w:pPr>
              <w:spacing w:after="20" w:before="20"/>
            </w:pPr>
            <w:r>
              <w:rPr>
                <w:sz w:val="17"/>
              </w:rPr>
              <w:t>Mesure prévue par cycle d’essai</w:t>
            </w:r>
          </w:p>
        </w:tc>
      </w:tr>
    </w:tbl>
    <w:p>
      <w:pPr>
        <w:pStyle w:val="Heading2"/>
        <w:keepNext/>
        <w:spacing w:before="180" w:after="80"/>
      </w:pPr>
      <w:r>
        <w:t>Indicateurs de succès (KPI business et techniques)</w:t>
      </w:r>
    </w:p>
    <w:tbl>
      <w:tblPr>
        <w:tblStyle w:val="TableGrid"/>
        <w:tblW w:type="auto" w:w="0"/>
        <w:jc w:val="center"/>
        <w:tblLayout w:type="fixed"/>
        <w:tblLook w:firstColumn="1" w:firstRow="1" w:lastColumn="0" w:lastRow="0" w:noHBand="0" w:noVBand="1" w:val="04A0"/>
      </w:tblPr>
      <w:tblGrid>
        <w:gridCol w:w="1502"/>
        <w:gridCol w:w="4025"/>
        <w:gridCol w:w="3997"/>
      </w:tblGrid>
      <w:tr>
        <w:trPr>
          <w:cantSplit/>
        </w:trPr>
        <w:tc>
          <w:tcPr>
            <w:tcW w:type="dxa" w:w="1502"/>
            <w:vAlign w:val="center"/>
            <w:shd w:fill="176E75"/>
            <w:tcMar>
              <w:top w:w="45" w:type="dxa"/>
              <w:bottom w:w="45" w:type="dxa"/>
              <w:left w:w="95" w:type="dxa"/>
              <w:right w:w="95" w:type="dxa"/>
            </w:tcMar>
          </w:tcPr>
          <w:p>
            <w:pPr>
              <w:spacing w:after="0" w:before="0" w:line="240" w:lineRule="auto"/>
            </w:pPr>
            <w:r>
              <w:rPr>
                <w:rFonts w:ascii="Aptos" w:hAnsi="Aptos"/>
                <w:b/>
                <w:color w:val="FFFFFF"/>
                <w:sz w:val="15"/>
              </w:rPr>
              <w:t>Catégorie</w:t>
            </w:r>
          </w:p>
        </w:tc>
        <w:tc>
          <w:tcPr>
            <w:tcW w:type="dxa" w:w="4025"/>
            <w:vAlign w:val="center"/>
            <w:shd w:fill="176E75"/>
            <w:tcMar>
              <w:top w:w="45" w:type="dxa"/>
              <w:bottom w:w="45" w:type="dxa"/>
              <w:left w:w="95" w:type="dxa"/>
              <w:right w:w="95" w:type="dxa"/>
            </w:tcMar>
          </w:tcPr>
          <w:p>
            <w:pPr>
              <w:spacing w:after="0" w:before="0" w:line="240" w:lineRule="auto"/>
            </w:pPr>
            <w:r>
              <w:rPr>
                <w:rFonts w:ascii="Aptos" w:hAnsi="Aptos"/>
                <w:b/>
                <w:color w:val="FFFFFF"/>
                <w:sz w:val="15"/>
              </w:rPr>
              <w:t>KPI à suivre</w:t>
            </w:r>
          </w:p>
        </w:tc>
        <w:tc>
          <w:tcPr>
            <w:tcW w:type="dxa" w:w="3997"/>
            <w:vAlign w:val="center"/>
            <w:shd w:fill="176E75"/>
            <w:tcMar>
              <w:top w:w="45" w:type="dxa"/>
              <w:bottom w:w="45" w:type="dxa"/>
              <w:left w:w="95" w:type="dxa"/>
              <w:right w:w="95" w:type="dxa"/>
            </w:tcMar>
          </w:tcPr>
          <w:p>
            <w:pPr>
              <w:spacing w:after="0" w:before="0" w:line="240" w:lineRule="auto"/>
            </w:pPr>
            <w:r>
              <w:rPr>
                <w:rFonts w:ascii="Aptos" w:hAnsi="Aptos"/>
                <w:b/>
                <w:color w:val="FFFFFF"/>
                <w:sz w:val="15"/>
              </w:rPr>
              <w:t>Preuve / état</w:t>
            </w:r>
          </w:p>
        </w:tc>
      </w:tr>
      <w:tr>
        <w:trPr>
          <w:cantSplit/>
        </w:trPr>
        <w:tc>
          <w:tcPr>
            <w:tcW w:type="dxa" w:w="1502"/>
            <w:vAlign w:val="center"/>
            <w:shd w:fill="DCE7F1"/>
            <w:tcMar>
              <w:top w:w="45" w:type="dxa"/>
              <w:bottom w:w="45" w:type="dxa"/>
              <w:left w:w="95" w:type="dxa"/>
              <w:right w:w="95" w:type="dxa"/>
            </w:tcMar>
          </w:tcPr>
          <w:p>
            <w:pPr>
              <w:spacing w:after="0" w:before="0" w:line="240" w:lineRule="auto"/>
            </w:pPr>
            <w:r>
              <w:rPr>
                <w:rFonts w:ascii="Aptos" w:hAnsi="Aptos"/>
                <w:b/>
                <w:color w:val="1B303E"/>
                <w:sz w:val="15"/>
              </w:rPr>
              <w:t>Métier</w:t>
            </w:r>
          </w:p>
        </w:tc>
        <w:tc>
          <w:tcPr>
            <w:tcW w:type="dxa" w:w="4025"/>
            <w:vAlign w:val="center"/>
            <w:shd w:fill="DCE7F1"/>
            <w:tcMar>
              <w:top w:w="45" w:type="dxa"/>
              <w:bottom w:w="45" w:type="dxa"/>
              <w:left w:w="95" w:type="dxa"/>
              <w:right w:w="95" w:type="dxa"/>
            </w:tcMar>
          </w:tcPr>
          <w:p>
            <w:pPr>
              <w:spacing w:after="0" w:before="0" w:line="240" w:lineRule="auto"/>
            </w:pPr>
            <w:r>
              <w:rPr>
                <w:rFonts w:ascii="Aptos" w:hAnsi="Aptos"/>
                <w:b w:val="0"/>
                <w:color w:val="1B303E"/>
                <w:sz w:val="15"/>
              </w:rPr>
              <w:t>Essais évités ; fraction soluble ; heures et € par construction</w:t>
            </w:r>
          </w:p>
        </w:tc>
        <w:tc>
          <w:tcPr>
            <w:tcW w:type="dxa" w:w="3997"/>
            <w:vAlign w:val="center"/>
            <w:shd w:fill="DCE7F1"/>
            <w:tcMar>
              <w:top w:w="45" w:type="dxa"/>
              <w:bottom w:w="45" w:type="dxa"/>
              <w:left w:w="95" w:type="dxa"/>
              <w:right w:w="95" w:type="dxa"/>
            </w:tcMar>
          </w:tcPr>
          <w:p>
            <w:pPr>
              <w:spacing w:after="0" w:before="0" w:line="240" w:lineRule="auto"/>
            </w:pPr>
            <w:r>
              <w:rPr>
                <w:rFonts w:ascii="Aptos" w:hAnsi="Aptos"/>
                <w:b w:val="0"/>
                <w:color w:val="1B303E"/>
                <w:sz w:val="15"/>
              </w:rPr>
              <w:t>Pilote avec lot témoin ; non mesuré</w:t>
            </w:r>
          </w:p>
        </w:tc>
      </w:tr>
      <w:tr>
        <w:trPr>
          <w:cantSplit/>
        </w:trPr>
        <w:tc>
          <w:tcPr>
            <w:tcW w:type="dxa" w:w="1502"/>
            <w:vAlign w:val="center"/>
            <w:shd w:fill="FFFFFF"/>
            <w:tcMar>
              <w:top w:w="45" w:type="dxa"/>
              <w:bottom w:w="45" w:type="dxa"/>
              <w:left w:w="95" w:type="dxa"/>
              <w:right w:w="95" w:type="dxa"/>
            </w:tcMar>
          </w:tcPr>
          <w:p>
            <w:pPr>
              <w:spacing w:after="0" w:before="0" w:line="240" w:lineRule="auto"/>
            </w:pPr>
            <w:r>
              <w:rPr>
                <w:rFonts w:ascii="Aptos" w:hAnsi="Aptos"/>
                <w:b/>
                <w:color w:val="1B303E"/>
                <w:sz w:val="15"/>
              </w:rPr>
              <w:t>Modèle</w:t>
            </w:r>
          </w:p>
        </w:tc>
        <w:tc>
          <w:tcPr>
            <w:tcW w:type="dxa" w:w="4025"/>
            <w:vAlign w:val="center"/>
            <w:shd w:fill="FFFFFF"/>
            <w:tcMar>
              <w:top w:w="45" w:type="dxa"/>
              <w:bottom w:w="45" w:type="dxa"/>
              <w:left w:w="95" w:type="dxa"/>
              <w:right w:w="95" w:type="dxa"/>
            </w:tcMar>
          </w:tcPr>
          <w:p>
            <w:pPr>
              <w:spacing w:after="0" w:before="0" w:line="240" w:lineRule="auto"/>
            </w:pPr>
            <w:r>
              <w:rPr>
                <w:rFonts w:ascii="Aptos" w:hAnsi="Aptos"/>
                <w:b w:val="0"/>
                <w:color w:val="1B303E"/>
                <w:sz w:val="15"/>
              </w:rPr>
              <w:t>AUC ≈ 0,83 sur Tune ; rappel ≈ 0,86 au choix du seuil</w:t>
            </w:r>
          </w:p>
        </w:tc>
        <w:tc>
          <w:tcPr>
            <w:tcW w:type="dxa" w:w="3997"/>
            <w:vAlign w:val="center"/>
            <w:shd w:fill="FFFFFF"/>
            <w:tcMar>
              <w:top w:w="45" w:type="dxa"/>
              <w:bottom w:w="45" w:type="dxa"/>
              <w:left w:w="95" w:type="dxa"/>
              <w:right w:w="95" w:type="dxa"/>
            </w:tcMar>
          </w:tcPr>
          <w:p>
            <w:pPr>
              <w:spacing w:after="0" w:before="0" w:line="240" w:lineRule="auto"/>
            </w:pPr>
            <w:r>
              <w:rPr>
                <w:rFonts w:ascii="Aptos" w:hAnsi="Aptos"/>
                <w:b w:val="0"/>
                <w:color w:val="1B303E"/>
                <w:sz w:val="15"/>
              </w:rPr>
              <w:t>Mesures de développement</w:t>
            </w:r>
          </w:p>
        </w:tc>
      </w:tr>
      <w:tr>
        <w:trPr>
          <w:cantSplit/>
        </w:trPr>
        <w:tc>
          <w:tcPr>
            <w:tcW w:type="dxa" w:w="1502"/>
            <w:vAlign w:val="center"/>
            <w:shd w:fill="DCE7F1"/>
            <w:tcMar>
              <w:top w:w="45" w:type="dxa"/>
              <w:bottom w:w="45" w:type="dxa"/>
              <w:left w:w="95" w:type="dxa"/>
              <w:right w:w="95" w:type="dxa"/>
            </w:tcMar>
          </w:tcPr>
          <w:p>
            <w:pPr>
              <w:spacing w:after="0" w:before="0" w:line="240" w:lineRule="auto"/>
            </w:pPr>
            <w:r>
              <w:rPr>
                <w:rFonts w:ascii="Aptos" w:hAnsi="Aptos"/>
                <w:b/>
                <w:color w:val="1B303E"/>
                <w:sz w:val="15"/>
              </w:rPr>
              <w:t>Service</w:t>
            </w:r>
          </w:p>
        </w:tc>
        <w:tc>
          <w:tcPr>
            <w:tcW w:type="dxa" w:w="4025"/>
            <w:vAlign w:val="center"/>
            <w:shd w:fill="DCE7F1"/>
            <w:tcMar>
              <w:top w:w="45" w:type="dxa"/>
              <w:bottom w:w="45" w:type="dxa"/>
              <w:left w:w="95" w:type="dxa"/>
              <w:right w:w="95" w:type="dxa"/>
            </w:tcMar>
          </w:tcPr>
          <w:p>
            <w:pPr>
              <w:spacing w:after="0" w:before="0" w:line="240" w:lineRule="auto"/>
            </w:pPr>
            <w:r>
              <w:rPr>
                <w:rFonts w:ascii="Aptos" w:hAnsi="Aptos"/>
                <w:b w:val="0"/>
                <w:color w:val="1B303E"/>
                <w:sz w:val="15"/>
              </w:rPr>
              <w:t>Calibration, dérive, latence P95, disponibilité</w:t>
            </w:r>
          </w:p>
        </w:tc>
        <w:tc>
          <w:tcPr>
            <w:tcW w:type="dxa" w:w="3997"/>
            <w:vAlign w:val="center"/>
            <w:shd w:fill="DCE7F1"/>
            <w:tcMar>
              <w:top w:w="45" w:type="dxa"/>
              <w:bottom w:w="45" w:type="dxa"/>
              <w:left w:w="95" w:type="dxa"/>
              <w:right w:w="95" w:type="dxa"/>
            </w:tcMar>
          </w:tcPr>
          <w:p>
            <w:pPr>
              <w:spacing w:after="0" w:before="0" w:line="240" w:lineRule="auto"/>
            </w:pPr>
            <w:r>
              <w:rPr>
                <w:rFonts w:ascii="Aptos" w:hAnsi="Aptos"/>
                <w:b w:val="0"/>
                <w:color w:val="1B303E"/>
                <w:sz w:val="15"/>
              </w:rPr>
              <w:t>À évaluer en exploitation</w:t>
            </w:r>
          </w:p>
        </w:tc>
      </w:tr>
    </w:tbl>
    <w:p>
      <w:pPr>
        <w:pStyle w:val="Heading2"/>
        <w:keepNext/>
        <w:spacing w:before="100" w:after="20"/>
      </w:pPr>
      <w:r>
        <w:t>Responsabilité scientifique, confidentialité et conformité</w:t>
      </w:r>
    </w:p>
    <w:p>
      <w:pPr>
        <w:keepLines/>
        <w:spacing w:after="0" w:line="240" w:lineRule="auto"/>
      </w:pPr>
      <w:r>
        <w:rPr>
          <w:sz w:val="16"/>
        </w:rPr>
        <w:t>La décision d’engager un essai reste humaine : aucun choix de production ne peut reposer sur le seul score. En pilote, toute transmission de séquences confidentielles à PDB/UniProt requiert une autorisation ; les licences, conditions d’usage et annotations externes doivent être vérifiées. Un biologiste confirme les recommandations et les résultats expérimentaux.</w:t>
      </w:r>
    </w:p>
    <w:p>
      <w:pPr>
        <w:pStyle w:val="Eyebrow"/>
        <w:pageBreakBefore w:val="0"/>
      </w:pPr>
      <w:r>
        <w:t>5. CONTRÔLE ET SUIVI</w:t>
      </w:r>
    </w:p>
    <w:p>
      <w:pPr>
        <w:pStyle w:val="Heading1"/>
      </w:pPr>
      <w:r>
        <w:t>5.1 Tableau de bord : délais, coûts, livrables, qualité</w:t>
      </w:r>
    </w:p>
    <w:p>
      <w:r>
        <w:t xml:space="preserve">Le tableau de bord distingue une </w:t>
      </w:r>
      <w:r>
        <w:rPr>
          <w:b/>
        </w:rPr>
        <w:t>situation observée</w:t>
      </w:r>
      <w:r>
        <w:t xml:space="preserve"> d’un </w:t>
      </w:r>
      <w:r>
        <w:rPr>
          <w:b/>
        </w:rPr>
        <w:t>objectif à piloter</w:t>
      </w:r>
      <w:r>
        <w:t>. Une case « non relevé » signifie qu’aucune mesure historique fiable n’est disponible, et non que le coût ou le retard est nul.</w:t>
      </w:r>
    </w:p>
    <w:tbl>
      <w:tblPr>
        <w:tblStyle w:val="LightShading-Accent1"/>
        <w:tblW w:type="auto" w:w="0"/>
        <w:jc w:val="center"/>
        <w:tblLayout w:type="autofit"/>
        <w:tblLook w:firstColumn="1" w:firstRow="1" w:lastColumn="0" w:lastRow="0" w:noHBand="0" w:noVBand="1" w:val="04A0"/>
      </w:tblPr>
      <w:tblGrid>
        <w:gridCol w:w="2388"/>
        <w:gridCol w:w="2388"/>
        <w:gridCol w:w="2388"/>
        <w:gridCol w:w="2388"/>
      </w:tblGrid>
      <w:tr>
        <w:trPr>
          <w:cantSplit/>
        </w:trPr>
        <w:tc>
          <w:tcPr>
            <w:tcW w:type="dxa" w:w="2388"/>
            <w:vAlign w:val="center"/>
            <w:shd w:fill="176E75"/>
          </w:tcPr>
          <w:p>
            <w:pPr>
              <w:spacing w:after="20" w:before="20"/>
            </w:pPr>
            <w:r>
              <w:rPr>
                <w:b/>
                <w:color w:val="FFFFFF"/>
                <w:sz w:val="16"/>
              </w:rPr>
              <w:t>Dimension</w:t>
            </w:r>
          </w:p>
        </w:tc>
        <w:tc>
          <w:tcPr>
            <w:tcW w:type="dxa" w:w="2388"/>
            <w:vAlign w:val="center"/>
            <w:shd w:fill="176E75"/>
          </w:tcPr>
          <w:p>
            <w:pPr>
              <w:spacing w:after="20" w:before="20"/>
            </w:pPr>
            <w:r>
              <w:rPr>
                <w:b/>
                <w:color w:val="FFFFFF"/>
                <w:sz w:val="16"/>
              </w:rPr>
              <w:t>Prévu / objectif</w:t>
            </w:r>
          </w:p>
        </w:tc>
        <w:tc>
          <w:tcPr>
            <w:tcW w:type="dxa" w:w="2388"/>
            <w:vAlign w:val="center"/>
            <w:shd w:fill="176E75"/>
          </w:tcPr>
          <w:p>
            <w:pPr>
              <w:spacing w:after="20" w:before="20"/>
            </w:pPr>
            <w:r>
              <w:rPr>
                <w:b/>
                <w:color w:val="FFFFFF"/>
                <w:sz w:val="16"/>
              </w:rPr>
              <w:t>Réalisé ou état constaté</w:t>
            </w:r>
          </w:p>
        </w:tc>
        <w:tc>
          <w:tcPr>
            <w:tcW w:type="dxa" w:w="2388"/>
            <w:vAlign w:val="center"/>
            <w:shd w:fill="176E75"/>
          </w:tcPr>
          <w:p>
            <w:pPr>
              <w:spacing w:after="20" w:before="20"/>
            </w:pPr>
            <w:r>
              <w:rPr>
                <w:b/>
                <w:color w:val="FFFFFF"/>
                <w:sz w:val="16"/>
              </w:rPr>
              <w:t>Écart / décision</w:t>
            </w:r>
          </w:p>
        </w:tc>
      </w:tr>
      <w:tr>
        <w:trPr>
          <w:cantSplit/>
        </w:trPr>
        <w:tc>
          <w:tcPr>
            <w:tcW w:type="dxa" w:w="2388"/>
          </w:tcPr>
          <w:p>
            <w:pPr>
              <w:spacing w:after="20" w:before="20"/>
            </w:pPr>
            <w:r>
              <w:rPr>
                <w:sz w:val="16"/>
              </w:rPr>
              <w:t>Délais – cycle MLOps</w:t>
            </w:r>
          </w:p>
        </w:tc>
        <w:tc>
          <w:tcPr>
            <w:tcW w:type="dxa" w:w="2388"/>
          </w:tcPr>
          <w:p>
            <w:pPr>
              <w:spacing w:after="20" w:before="20"/>
            </w:pPr>
            <w:r>
              <w:rPr>
                <w:sz w:val="16"/>
              </w:rPr>
              <w:t>Effort estimatif : 15 j-personne</w:t>
            </w:r>
          </w:p>
        </w:tc>
        <w:tc>
          <w:tcPr>
            <w:tcW w:type="dxa" w:w="2388"/>
          </w:tcPr>
          <w:p>
            <w:pPr>
              <w:spacing w:after="20" w:before="20"/>
            </w:pPr>
            <w:r>
              <w:rPr>
                <w:sz w:val="16"/>
              </w:rPr>
              <w:t>03–24 juillet : 22 j calendaires</w:t>
            </w:r>
          </w:p>
        </w:tc>
        <w:tc>
          <w:tcPr>
            <w:tcW w:type="dxa" w:w="2388"/>
          </w:tcPr>
          <w:p>
            <w:pPr>
              <w:spacing w:after="20" w:before="20"/>
            </w:pPr>
            <w:r>
              <w:rPr>
                <w:sz w:val="16"/>
              </w:rPr>
              <w:t>Non comparable ; temps passé non relevé</w:t>
            </w:r>
          </w:p>
        </w:tc>
      </w:tr>
      <w:tr>
        <w:trPr>
          <w:cantSplit/>
        </w:trPr>
        <w:tc>
          <w:tcPr>
            <w:tcW w:type="dxa" w:w="2388"/>
          </w:tcPr>
          <w:p>
            <w:pPr>
              <w:spacing w:after="20" w:before="20"/>
            </w:pPr>
            <w:r>
              <w:rPr>
                <w:sz w:val="16"/>
              </w:rPr>
              <w:t>Délais – démonstrateur</w:t>
            </w:r>
          </w:p>
        </w:tc>
        <w:tc>
          <w:tcPr>
            <w:tcW w:type="dxa" w:w="2388"/>
          </w:tcPr>
          <w:p>
            <w:pPr>
              <w:spacing w:after="20" w:before="20"/>
            </w:pPr>
            <w:r>
              <w:rPr>
                <w:sz w:val="16"/>
              </w:rPr>
              <w:t>Version stabilisée en octobre</w:t>
            </w:r>
          </w:p>
        </w:tc>
        <w:tc>
          <w:tcPr>
            <w:tcW w:type="dxa" w:w="2388"/>
          </w:tcPr>
          <w:p>
            <w:r>
              <w:rPr>
                <w:rFonts w:ascii="Aptos" w:hAnsi="Aptos"/>
                <w:sz w:val="16"/>
              </w:rPr>
              <w:t>application livrée, GitHub et CI au 25/10</w:t>
            </w:r>
          </w:p>
        </w:tc>
        <w:tc>
          <w:tcPr>
            <w:tcW w:type="dxa" w:w="2388"/>
          </w:tcPr>
          <w:p>
            <w:pPr>
              <w:spacing w:after="20" w:before="20"/>
            </w:pPr>
            <w:r>
              <w:rPr>
                <w:sz w:val="16"/>
              </w:rPr>
              <w:t>Livrable atteint</w:t>
            </w:r>
          </w:p>
        </w:tc>
      </w:tr>
      <w:tr>
        <w:trPr>
          <w:cantSplit/>
        </w:trPr>
        <w:tc>
          <w:tcPr>
            <w:tcW w:type="dxa" w:w="2388"/>
          </w:tcPr>
          <w:p>
            <w:pPr>
              <w:spacing w:after="20" w:before="20"/>
            </w:pPr>
            <w:r>
              <w:rPr>
                <w:sz w:val="16"/>
              </w:rPr>
              <w:t>Coûts – projet réalisé</w:t>
            </w:r>
          </w:p>
        </w:tc>
        <w:tc>
          <w:tcPr>
            <w:tcW w:type="dxa" w:w="2388"/>
          </w:tcPr>
          <w:p>
            <w:pPr>
              <w:spacing w:after="20" w:before="20"/>
            </w:pPr>
            <w:r>
              <w:rPr>
                <w:sz w:val="16"/>
              </w:rPr>
              <w:t>Budget de référence initial non documenté</w:t>
            </w:r>
          </w:p>
        </w:tc>
        <w:tc>
          <w:tcPr>
            <w:tcW w:type="dxa" w:w="2388"/>
          </w:tcPr>
          <w:p>
            <w:pPr>
              <w:spacing w:after="20" w:before="20"/>
            </w:pPr>
            <w:r>
              <w:rPr>
                <w:sz w:val="16"/>
              </w:rPr>
              <w:t>Dépenses effectives : non relevées</w:t>
            </w:r>
          </w:p>
        </w:tc>
        <w:tc>
          <w:tcPr>
            <w:tcW w:type="dxa" w:w="2388"/>
          </w:tcPr>
          <w:p>
            <w:pPr>
              <w:spacing w:after="20" w:before="20"/>
            </w:pPr>
            <w:r>
              <w:rPr>
                <w:sz w:val="16"/>
              </w:rPr>
              <w:t>Mettre en place suivi de factures/temps</w:t>
            </w:r>
          </w:p>
        </w:tc>
      </w:tr>
      <w:tr>
        <w:trPr>
          <w:cantSplit/>
        </w:trPr>
        <w:tc>
          <w:tcPr>
            <w:tcW w:type="dxa" w:w="2388"/>
          </w:tcPr>
          <w:p>
            <w:pPr>
              <w:spacing w:after="20" w:before="20"/>
            </w:pPr>
            <w:r>
              <w:rPr>
                <w:sz w:val="16"/>
              </w:rPr>
              <w:t>Coûts – pilote futur</w:t>
            </w:r>
          </w:p>
        </w:tc>
        <w:tc>
          <w:tcPr>
            <w:tcW w:type="dxa" w:w="2388"/>
          </w:tcPr>
          <w:p>
            <w:pPr>
              <w:spacing w:after="20" w:before="20"/>
            </w:pPr>
            <w:r>
              <w:rPr>
                <w:sz w:val="16"/>
              </w:rPr>
              <w:t>Scénarios : 7 000 / 12 500 / 23 000 €</w:t>
            </w:r>
          </w:p>
        </w:tc>
        <w:tc>
          <w:tcPr>
            <w:tcW w:type="dxa" w:w="2388"/>
          </w:tcPr>
          <w:p>
            <w:pPr>
              <w:spacing w:after="20" w:before="20"/>
            </w:pPr>
            <w:r>
              <w:rPr>
                <w:sz w:val="16"/>
              </w:rPr>
              <w:t>Aucun budget engagé</w:t>
            </w:r>
          </w:p>
        </w:tc>
        <w:tc>
          <w:tcPr>
            <w:tcW w:type="dxa" w:w="2388"/>
          </w:tcPr>
          <w:p>
            <w:pPr>
              <w:spacing w:after="20" w:before="20"/>
            </w:pPr>
            <w:r>
              <w:rPr>
                <w:sz w:val="16"/>
              </w:rPr>
              <w:t>Soumettre arbitrage</w:t>
            </w:r>
          </w:p>
        </w:tc>
      </w:tr>
      <w:tr>
        <w:trPr>
          <w:cantSplit/>
        </w:trPr>
        <w:tc>
          <w:tcPr>
            <w:tcW w:type="dxa" w:w="2388"/>
          </w:tcPr>
          <w:p>
            <w:pPr>
              <w:spacing w:after="20" w:before="20"/>
            </w:pPr>
            <w:r>
              <w:rPr>
                <w:sz w:val="16"/>
              </w:rPr>
              <w:t>Livrables</w:t>
            </w:r>
          </w:p>
        </w:tc>
        <w:tc>
          <w:tcPr>
            <w:tcW w:type="dxa" w:w="2388"/>
          </w:tcPr>
          <w:p>
            <w:pPr>
              <w:spacing w:after="20" w:before="20"/>
            </w:pPr>
            <w:r>
              <w:rPr>
                <w:sz w:val="16"/>
              </w:rPr>
              <w:t>Interface, documentation, tests</w:t>
            </w:r>
          </w:p>
        </w:tc>
        <w:tc>
          <w:tcPr>
            <w:tcW w:type="dxa" w:w="2388"/>
          </w:tcPr>
          <w:p>
            <w:pPr>
              <w:spacing w:after="20" w:before="20"/>
            </w:pPr>
            <w:r>
              <w:rPr>
                <w:sz w:val="16"/>
              </w:rPr>
              <w:t>Application en ligne, PDF, dépôt et Actions</w:t>
            </w:r>
          </w:p>
        </w:tc>
        <w:tc>
          <w:tcPr>
            <w:tcW w:type="dxa" w:w="2388"/>
          </w:tcPr>
          <w:p>
            <w:pPr>
              <w:spacing w:after="20" w:before="20"/>
            </w:pPr>
            <w:r>
              <w:rPr>
                <w:sz w:val="16"/>
              </w:rPr>
              <w:t>Terminé pour démonstrateur</w:t>
            </w:r>
          </w:p>
        </w:tc>
      </w:tr>
      <w:tr>
        <w:trPr>
          <w:cantSplit/>
        </w:trPr>
        <w:tc>
          <w:tcPr>
            <w:tcW w:type="dxa" w:w="2388"/>
          </w:tcPr>
          <w:p>
            <w:pPr>
              <w:spacing w:after="20" w:before="20"/>
            </w:pPr>
            <w:r>
              <w:rPr>
                <w:sz w:val="16"/>
              </w:rPr>
              <w:t>Qualité data</w:t>
            </w:r>
          </w:p>
        </w:tc>
        <w:tc>
          <w:tcPr>
            <w:tcW w:type="dxa" w:w="2388"/>
          </w:tcPr>
          <w:p>
            <w:pPr>
              <w:spacing w:after="20" w:before="20"/>
            </w:pPr>
            <w:r>
              <w:rPr>
                <w:sz w:val="16"/>
              </w:rPr>
              <w:t>Partitions distinctes, homologie contrôlée</w:t>
            </w:r>
          </w:p>
        </w:tc>
        <w:tc>
          <w:tcPr>
            <w:tcW w:type="dxa" w:w="2388"/>
          </w:tcPr>
          <w:p>
            <w:pPr>
              <w:spacing w:after="20" w:before="20"/>
            </w:pPr>
            <w:r>
              <w:rPr>
                <w:sz w:val="16"/>
              </w:rPr>
              <w:t>62 478 séquences partitionnées</w:t>
            </w:r>
          </w:p>
        </w:tc>
        <w:tc>
          <w:tcPr>
            <w:tcW w:type="dxa" w:w="2388"/>
          </w:tcPr>
          <w:p>
            <w:pPr>
              <w:spacing w:after="20" w:before="20"/>
            </w:pPr>
            <w:r>
              <w:rPr>
                <w:sz w:val="16"/>
              </w:rPr>
              <w:t>Contrôle exhaustif non garanti</w:t>
            </w:r>
          </w:p>
        </w:tc>
      </w:tr>
      <w:tr>
        <w:trPr>
          <w:cantSplit/>
        </w:trPr>
        <w:tc>
          <w:tcPr>
            <w:tcW w:type="dxa" w:w="2388"/>
          </w:tcPr>
          <w:p>
            <w:pPr>
              <w:spacing w:after="20" w:before="20"/>
            </w:pPr>
            <w:r>
              <w:rPr>
                <w:sz w:val="16"/>
              </w:rPr>
              <w:t>Performance ML</w:t>
            </w:r>
          </w:p>
        </w:tc>
        <w:tc>
          <w:tcPr>
            <w:tcW w:type="dxa" w:w="2388"/>
          </w:tcPr>
          <w:p>
            <w:pPr>
              <w:spacing w:after="20" w:before="20"/>
            </w:pPr>
            <w:r>
              <w:rPr>
                <w:sz w:val="16"/>
              </w:rPr>
              <w:t>Meilleur discriminant sur Tune</w:t>
            </w:r>
          </w:p>
        </w:tc>
        <w:tc>
          <w:tcPr>
            <w:tcW w:type="dxa" w:w="2388"/>
          </w:tcPr>
          <w:p>
            <w:r>
              <w:t>AUC 0,832857 ; PR-AUC 0,786022 sur Tune (développement)</w:t>
            </w:r>
          </w:p>
        </w:tc>
        <w:tc>
          <w:tcPr>
            <w:tcW w:type="dxa" w:w="2388"/>
          </w:tcPr>
          <w:p>
            <w:r>
              <w:t>Aucune validation externe du fine-tuning à ce stade</w:t>
            </w:r>
          </w:p>
        </w:tc>
      </w:tr>
      <w:tr>
        <w:trPr>
          <w:cantSplit/>
        </w:trPr>
        <w:tc>
          <w:tcPr>
            <w:tcW w:type="dxa" w:w="2388"/>
          </w:tcPr>
          <w:p>
            <w:pPr>
              <w:spacing w:after="20" w:before="20"/>
            </w:pPr>
            <w:r>
              <w:rPr>
                <w:sz w:val="16"/>
              </w:rPr>
              <w:t>Coût d’erreur simulé</w:t>
            </w:r>
          </w:p>
        </w:tc>
        <w:tc>
          <w:tcPr>
            <w:tcW w:type="dxa" w:w="2388"/>
          </w:tcPr>
          <w:p>
            <w:pPr>
              <w:spacing w:after="20" w:before="20"/>
            </w:pPr>
            <w:r>
              <w:rPr>
                <w:sz w:val="16"/>
              </w:rPr>
              <w:t>Minimiser coût FN/FP avec rappel minimal</w:t>
            </w:r>
          </w:p>
        </w:tc>
        <w:tc>
          <w:tcPr>
            <w:tcW w:type="dxa" w:w="2388"/>
          </w:tcPr>
          <w:p>
            <w:pPr>
              <w:spacing w:after="20" w:before="20"/>
            </w:pPr>
            <w:r>
              <w:rPr>
                <w:sz w:val="16"/>
              </w:rPr>
              <w:t>387 600 € sur sous-ensemble de choix de seuil</w:t>
            </w:r>
          </w:p>
        </w:tc>
        <w:tc>
          <w:tcPr>
            <w:tcW w:type="dxa" w:w="2388"/>
          </w:tcPr>
          <w:p>
            <w:pPr>
              <w:spacing w:after="20" w:before="20"/>
            </w:pPr>
            <w:r>
              <w:rPr>
                <w:sz w:val="16"/>
              </w:rPr>
              <w:t>Mesure de réglage, pas économie constatée</w:t>
            </w:r>
          </w:p>
        </w:tc>
      </w:tr>
    </w:tbl>
    <w:p>
      <w:pPr>
        <w:spacing w:after="20"/>
      </w:pPr>
    </w:p>
    <w:p>
      <w:pPr>
        <w:pStyle w:val="Heading2"/>
      </w:pPr>
      <w:r>
        <w:t>Lecture des indicateurs : coûts, temps et livrables</w:t>
      </w:r>
    </w:p>
    <w:p>
      <w:r>
        <w:rPr>
          <w:b/>
        </w:rPr>
        <w:t>Délai réel :</w:t>
      </w:r>
      <w:r>
        <w:t xml:space="preserve"> le temps écoulé entre deux commits n’est pas une mesure de jours travaillés. </w:t>
      </w:r>
      <w:r>
        <w:rPr>
          <w:b/>
        </w:rPr>
        <w:t>Coût réel :</w:t>
      </w:r>
      <w:r>
        <w:t xml:space="preserve"> sans timesheet, factures et coût d’infrastructure, on ne peut pas déclarer un « réalisé » monétaire. </w:t>
      </w:r>
      <w:r>
        <w:rPr>
          <w:b/>
        </w:rPr>
        <w:t>Performance :</w:t>
      </w:r>
      <w:r>
        <w:t xml:space="preserve"> un score technique ne remplace pas la mesure d’essais économisés.</w:t>
      </w:r>
    </w:p>
    <w:p>
      <w:r>
        <w:t>Ce tableau évite de mélanger une enveloppe budgétaire prospective, un coût hypothétique d’erreur de classification et une dépense effectivement supportée par le projet.</w:t>
      </w:r>
    </w:p>
    <w:p>
      <w:r>
        <w:br w:type="page"/>
      </w:r>
    </w:p>
    <w:p>
      <w:pPr>
        <w:pStyle w:val="Eyebrow"/>
        <w:pageBreakBefore w:val="0"/>
      </w:pPr>
      <w:r>
        <w:t>5. CONTRÔLE ET SUIVI</w:t>
      </w:r>
    </w:p>
    <w:p>
      <w:pPr>
        <w:pStyle w:val="Heading1"/>
      </w:pPr>
      <w:r>
        <w:t>5.2 Outils, reporting et qualité de livraison</w:t>
      </w:r>
    </w:p>
    <w:p>
      <w:pPr>
        <w:pStyle w:val="Heading2"/>
      </w:pPr>
      <w:r>
        <w:t>Outils effectivement utilisés</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Outil</w:t>
            </w:r>
          </w:p>
        </w:tc>
        <w:tc>
          <w:tcPr>
            <w:tcW w:type="dxa" w:w="3184"/>
            <w:vAlign w:val="center"/>
            <w:shd w:fill="176E75"/>
          </w:tcPr>
          <w:p>
            <w:pPr>
              <w:spacing w:after="20" w:before="20"/>
            </w:pPr>
            <w:r>
              <w:rPr>
                <w:b/>
                <w:color w:val="FFFFFF"/>
                <w:sz w:val="17"/>
              </w:rPr>
              <w:t>Utilité</w:t>
            </w:r>
          </w:p>
        </w:tc>
        <w:tc>
          <w:tcPr>
            <w:tcW w:type="dxa" w:w="3184"/>
            <w:vAlign w:val="center"/>
            <w:shd w:fill="176E75"/>
          </w:tcPr>
          <w:p>
            <w:pPr>
              <w:spacing w:after="20" w:before="20"/>
            </w:pPr>
            <w:r>
              <w:rPr>
                <w:b/>
                <w:color w:val="FFFFFF"/>
                <w:sz w:val="17"/>
              </w:rPr>
              <w:t>Preuve / limite</w:t>
            </w:r>
          </w:p>
        </w:tc>
      </w:tr>
      <w:tr>
        <w:trPr>
          <w:cantSplit/>
        </w:trPr>
        <w:tc>
          <w:tcPr>
            <w:tcW w:type="dxa" w:w="3184"/>
          </w:tcPr>
          <w:p>
            <w:pPr>
              <w:spacing w:after="20" w:before="20"/>
            </w:pPr>
            <w:r>
              <w:rPr>
                <w:sz w:val="17"/>
              </w:rPr>
              <w:t>Git / GitHub</w:t>
            </w:r>
          </w:p>
        </w:tc>
        <w:tc>
          <w:tcPr>
            <w:tcW w:type="dxa" w:w="3184"/>
          </w:tcPr>
          <w:p>
            <w:pPr>
              <w:spacing w:after="20" w:before="20"/>
            </w:pPr>
            <w:r>
              <w:rPr>
                <w:sz w:val="17"/>
              </w:rPr>
              <w:t>Historique, branches, documentation</w:t>
            </w:r>
          </w:p>
        </w:tc>
        <w:tc>
          <w:tcPr>
            <w:tcW w:type="dxa" w:w="3184"/>
          </w:tcPr>
          <w:p>
            <w:pPr>
              <w:spacing w:after="20" w:before="20"/>
            </w:pPr>
            <w:r>
              <w:rPr>
                <w:sz w:val="17"/>
              </w:rPr>
              <w:t>Commits datés, version principale stabilisée</w:t>
            </w:r>
          </w:p>
        </w:tc>
      </w:tr>
      <w:tr>
        <w:trPr>
          <w:cantSplit/>
        </w:trPr>
        <w:tc>
          <w:tcPr>
            <w:tcW w:type="dxa" w:w="3184"/>
          </w:tcPr>
          <w:p>
            <w:pPr>
              <w:spacing w:after="20" w:before="20"/>
            </w:pPr>
            <w:r>
              <w:rPr>
                <w:sz w:val="17"/>
              </w:rPr>
              <w:t>GitHub Actions</w:t>
            </w:r>
          </w:p>
        </w:tc>
        <w:tc>
          <w:tcPr>
            <w:tcW w:type="dxa" w:w="3184"/>
          </w:tcPr>
          <w:p>
            <w:pPr>
              <w:spacing w:after="20" w:before="20"/>
            </w:pPr>
            <w:r>
              <w:rPr>
                <w:sz w:val="17"/>
              </w:rPr>
              <w:t>Exécuter les tests de non-régression</w:t>
            </w:r>
          </w:p>
        </w:tc>
        <w:tc>
          <w:tcPr>
            <w:tcW w:type="dxa" w:w="3184"/>
          </w:tcPr>
          <w:p>
            <w:pPr>
              <w:spacing w:after="20" w:before="20"/>
            </w:pPr>
            <w:r>
              <w:rPr>
                <w:sz w:val="17"/>
              </w:rPr>
              <w:t>Derniers tests sans GPU réussis</w:t>
            </w:r>
          </w:p>
        </w:tc>
      </w:tr>
      <w:tr>
        <w:trPr>
          <w:cantSplit/>
        </w:trPr>
        <w:tc>
          <w:tcPr>
            <w:tcW w:type="dxa" w:w="3184"/>
          </w:tcPr>
          <w:p>
            <w:pPr>
              <w:spacing w:after="20" w:before="20"/>
            </w:pPr>
            <w:r>
              <w:rPr>
                <w:sz w:val="17"/>
              </w:rPr>
              <w:t>Google Colab / GPU</w:t>
            </w:r>
          </w:p>
        </w:tc>
        <w:tc>
          <w:tcPr>
            <w:tcW w:type="dxa" w:w="3184"/>
          </w:tcPr>
          <w:p>
            <w:pPr>
              <w:spacing w:after="20" w:before="20"/>
            </w:pPr>
            <w:r>
              <w:rPr>
                <w:sz w:val="17"/>
              </w:rPr>
              <w:t>Entraîner et comparer les modèles</w:t>
            </w:r>
          </w:p>
        </w:tc>
        <w:tc>
          <w:tcPr>
            <w:tcW w:type="dxa" w:w="3184"/>
          </w:tcPr>
          <w:p>
            <w:pPr>
              <w:spacing w:after="20" w:before="20"/>
            </w:pPr>
            <w:r>
              <w:rPr>
                <w:sz w:val="17"/>
              </w:rPr>
              <w:t>Sorties de campagnes sauvegardées</w:t>
            </w:r>
          </w:p>
        </w:tc>
      </w:tr>
      <w:tr>
        <w:trPr>
          <w:cantSplit/>
        </w:trPr>
        <w:tc>
          <w:tcPr>
            <w:tcW w:type="dxa" w:w="3184"/>
          </w:tcPr>
          <w:p>
            <w:pPr>
              <w:spacing w:after="20" w:before="20"/>
            </w:pPr>
            <w:r>
              <w:rPr>
                <w:sz w:val="17"/>
              </w:rPr>
              <w:t>Hugging Face Spaces</w:t>
            </w:r>
          </w:p>
        </w:tc>
        <w:tc>
          <w:tcPr>
            <w:tcW w:type="dxa" w:w="3184"/>
          </w:tcPr>
          <w:p>
            <w:pPr>
              <w:spacing w:after="20" w:before="20"/>
            </w:pPr>
            <w:r>
              <w:rPr>
                <w:sz w:val="17"/>
              </w:rPr>
              <w:t>Démonstration web</w:t>
            </w:r>
          </w:p>
        </w:tc>
        <w:tc>
          <w:tcPr>
            <w:tcW w:type="dxa" w:w="3184"/>
          </w:tcPr>
          <w:p>
            <w:pPr>
              <w:spacing w:after="20" w:before="20"/>
            </w:pPr>
            <w:r>
              <w:rPr>
                <w:sz w:val="17"/>
              </w:rPr>
              <w:t>Gradio accessible ; latence à caractériser</w:t>
            </w:r>
          </w:p>
        </w:tc>
      </w:tr>
      <w:tr>
        <w:trPr>
          <w:cantSplit/>
        </w:trPr>
        <w:tc>
          <w:tcPr>
            <w:tcW w:type="dxa" w:w="3184"/>
          </w:tcPr>
          <w:p>
            <w:pPr>
              <w:spacing w:after="20" w:before="20"/>
            </w:pPr>
            <w:r>
              <w:rPr>
                <w:sz w:val="17"/>
              </w:rPr>
              <w:t>MMseqs2</w:t>
            </w:r>
          </w:p>
        </w:tc>
        <w:tc>
          <w:tcPr>
            <w:tcW w:type="dxa" w:w="3184"/>
          </w:tcPr>
          <w:p>
            <w:pPr>
              <w:spacing w:after="20" w:before="20"/>
            </w:pPr>
            <w:r>
              <w:rPr>
                <w:sz w:val="17"/>
              </w:rPr>
              <w:t>Chercher des séquences apparentées</w:t>
            </w:r>
          </w:p>
        </w:tc>
        <w:tc>
          <w:tcPr>
            <w:tcW w:type="dxa" w:w="3184"/>
          </w:tcPr>
          <w:p>
            <w:pPr>
              <w:spacing w:after="20" w:before="20"/>
            </w:pPr>
            <w:r>
              <w:rPr>
                <w:sz w:val="17"/>
              </w:rPr>
              <w:t>Audit approché, non exhaustif</w:t>
            </w:r>
          </w:p>
        </w:tc>
      </w:tr>
      <w:tr>
        <w:trPr>
          <w:cantSplit/>
        </w:trPr>
        <w:tc>
          <w:tcPr>
            <w:tcW w:type="dxa" w:w="3184"/>
          </w:tcPr>
          <w:p>
            <w:pPr>
              <w:spacing w:after="20" w:before="20"/>
            </w:pPr>
            <w:r>
              <w:rPr>
                <w:sz w:val="17"/>
              </w:rPr>
              <w:t>PDB / UniProt</w:t>
            </w:r>
          </w:p>
        </w:tc>
        <w:tc>
          <w:tcPr>
            <w:tcW w:type="dxa" w:w="3184"/>
          </w:tcPr>
          <w:p>
            <w:pPr>
              <w:spacing w:after="20" w:before="20"/>
            </w:pPr>
            <w:r>
              <w:rPr>
                <w:sz w:val="17"/>
              </w:rPr>
              <w:t>Mettre le score dans son contexte</w:t>
            </w:r>
          </w:p>
        </w:tc>
        <w:tc>
          <w:tcPr>
            <w:tcW w:type="dxa" w:w="3184"/>
          </w:tcPr>
          <w:p>
            <w:pPr>
              <w:spacing w:after="20" w:before="20"/>
            </w:pPr>
            <w:r>
              <w:rPr>
                <w:sz w:val="17"/>
              </w:rPr>
              <w:t>Correspondance à contrôler</w:t>
            </w:r>
          </w:p>
        </w:tc>
      </w:tr>
    </w:tbl>
    <w:p>
      <w:pPr>
        <w:spacing w:after="20"/>
      </w:pPr>
    </w:p>
    <w:p>
      <w:pPr>
        <w:pStyle w:val="Heading2"/>
      </w:pPr>
      <w:r>
        <w:t>Cadence de suivi recommandée en pilote</w:t>
      </w:r>
    </w:p>
    <w:p>
      <w:pPr>
        <w:pStyle w:val="ListBullet"/>
        <w:ind w:left="312" w:hanging="147"/>
      </w:pPr>
      <w:r>
        <w:t>À chaque import de données : contrôle qualité et recherche de doublons/homologies.</w:t>
      </w:r>
    </w:p>
    <w:p>
      <w:pPr>
        <w:pStyle w:val="ListBullet"/>
        <w:ind w:left="312" w:hanging="147"/>
      </w:pPr>
      <w:r>
        <w:t>À chaque commit : tests automatiques et vérification des secrets.</w:t>
      </w:r>
    </w:p>
    <w:p>
      <w:pPr>
        <w:pStyle w:val="ListBullet"/>
        <w:ind w:left="312" w:hanging="147"/>
      </w:pPr>
      <w:r>
        <w:t>Chaque semaine : avancement des jalons, dépenses engagées, heures consommées et incidents.</w:t>
      </w:r>
    </w:p>
    <w:p>
      <w:pPr>
        <w:pStyle w:val="ListBullet"/>
        <w:ind w:left="312" w:hanging="147"/>
      </w:pPr>
      <w:r>
        <w:t>Après chaque campagne : fraction soluble, activité, essai évité ou non, coût complet et avis utilisateur.</w:t>
      </w:r>
    </w:p>
    <w:p>
      <w:pPr>
        <w:pStyle w:val="Heading2"/>
      </w:pPr>
      <w:r>
        <w:t>Facteurs clés de succès et points de vigilance</w:t>
      </w:r>
    </w:p>
    <w:tbl>
      <w:tblPr>
        <w:tblStyle w:val="LightShading-Accent1"/>
        <w:tblW w:type="auto" w:w="0"/>
        <w:jc w:val="center"/>
        <w:tblLayout w:type="autofit"/>
        <w:tblLook w:firstColumn="1" w:firstRow="1" w:lastColumn="0" w:lastRow="0" w:noHBand="0" w:noVBand="1" w:val="04A0"/>
      </w:tblPr>
      <w:tblGrid>
        <w:gridCol w:w="4776"/>
        <w:gridCol w:w="4776"/>
      </w:tblGrid>
      <w:tr>
        <w:trPr>
          <w:cantSplit/>
        </w:trPr>
        <w:tc>
          <w:tcPr>
            <w:tcW w:type="dxa" w:w="4776"/>
            <w:vAlign w:val="center"/>
            <w:shd w:fill="176E75"/>
          </w:tcPr>
          <w:p>
            <w:pPr>
              <w:spacing w:after="20" w:before="20"/>
            </w:pPr>
            <w:r>
              <w:rPr>
                <w:b/>
                <w:color w:val="FFFFFF"/>
                <w:sz w:val="17"/>
              </w:rPr>
              <w:t>Porte</w:t>
            </w:r>
          </w:p>
        </w:tc>
        <w:tc>
          <w:tcPr>
            <w:tcW w:type="dxa" w:w="4776"/>
            <w:vAlign w:val="center"/>
            <w:shd w:fill="176E75"/>
          </w:tcPr>
          <w:p>
            <w:pPr>
              <w:spacing w:after="20" w:before="20"/>
            </w:pPr>
            <w:r>
              <w:rPr>
                <w:b/>
                <w:color w:val="FFFFFF"/>
                <w:sz w:val="17"/>
              </w:rPr>
              <w:t>Condition de passage</w:t>
            </w:r>
          </w:p>
        </w:tc>
      </w:tr>
      <w:tr>
        <w:trPr>
          <w:cantSplit/>
        </w:trPr>
        <w:tc>
          <w:tcPr>
            <w:tcW w:type="dxa" w:w="4776"/>
          </w:tcPr>
          <w:p>
            <w:pPr>
              <w:spacing w:after="20" w:before="20"/>
            </w:pPr>
            <w:r>
              <w:rPr>
                <w:sz w:val="17"/>
              </w:rPr>
              <w:t>Scientifique</w:t>
            </w:r>
          </w:p>
        </w:tc>
        <w:tc>
          <w:tcPr>
            <w:tcW w:type="dxa" w:w="4776"/>
          </w:tcPr>
          <w:p>
            <w:pPr>
              <w:spacing w:after="20" w:before="20"/>
            </w:pPr>
            <w:r>
              <w:rPr>
                <w:sz w:val="17"/>
              </w:rPr>
              <w:t>Résultats reproduits sur protéines inédites et protocoles comparables</w:t>
            </w:r>
          </w:p>
        </w:tc>
      </w:tr>
      <w:tr>
        <w:trPr>
          <w:cantSplit/>
        </w:trPr>
        <w:tc>
          <w:tcPr>
            <w:tcW w:type="dxa" w:w="4776"/>
          </w:tcPr>
          <w:p>
            <w:pPr>
              <w:spacing w:after="20" w:before="20"/>
            </w:pPr>
            <w:r>
              <w:rPr>
                <w:sz w:val="17"/>
              </w:rPr>
              <w:t>Métier</w:t>
            </w:r>
          </w:p>
        </w:tc>
        <w:tc>
          <w:tcPr>
            <w:tcW w:type="dxa" w:w="4776"/>
          </w:tcPr>
          <w:p>
            <w:pPr>
              <w:spacing w:after="20" w:before="20"/>
            </w:pPr>
            <w:r>
              <w:rPr>
                <w:sz w:val="17"/>
              </w:rPr>
              <w:t>Réduction prouvée des cycles inutiles sans perte excessive de bonnes cibles</w:t>
            </w:r>
          </w:p>
        </w:tc>
      </w:tr>
      <w:tr>
        <w:trPr>
          <w:cantSplit/>
        </w:trPr>
        <w:tc>
          <w:tcPr>
            <w:tcW w:type="dxa" w:w="4776"/>
          </w:tcPr>
          <w:p>
            <w:pPr>
              <w:spacing w:after="20" w:before="20"/>
            </w:pPr>
            <w:r>
              <w:rPr>
                <w:sz w:val="17"/>
              </w:rPr>
              <w:t>Exploitation</w:t>
            </w:r>
          </w:p>
        </w:tc>
        <w:tc>
          <w:tcPr>
            <w:tcW w:type="dxa" w:w="4776"/>
          </w:tcPr>
          <w:p>
            <w:pPr>
              <w:spacing w:after="20" w:before="20"/>
            </w:pPr>
            <w:r>
              <w:rPr>
                <w:sz w:val="17"/>
              </w:rPr>
              <w:t>Confidentialité, disponibilité et maintenance documentées</w:t>
            </w:r>
          </w:p>
        </w:tc>
      </w:tr>
    </w:tbl>
    <w:p>
      <w:pPr>
        <w:spacing w:after="20"/>
      </w:pPr>
    </w:p>
    <w:p>
      <w:r>
        <w:br w:type="page"/>
      </w:r>
    </w:p>
    <w:p>
      <w:pPr>
        <w:pStyle w:val="Eyebrow"/>
      </w:pPr>
      <w:r>
        <w:t>6. CONCLUSION ET RECOMMANDATIONS</w:t>
      </w:r>
    </w:p>
    <w:p>
      <w:pPr>
        <w:pStyle w:val="Heading1"/>
      </w:pPr>
      <w:r>
        <w:t>Un démonstrateur terminé, un pilote à décider</w:t>
      </w:r>
    </w:p>
    <w:p>
      <w:r>
        <w:t>Le projet a évolué d’un premier pipeline de classification et d’industrialisation vers une application de recherche plus directement exploitable : l’utilisateur saisit une séquence, voit une prédiction, obtient un contexte biologique lorsque disponible et prépare un plan d’essais comparatifs.</w:t>
      </w:r>
    </w:p>
    <w:p>
      <w:r>
        <w:t>La version retenue, ESM-2 150M partiellement fine-tuné avec Bio13, affiche les meilleurs résultats parmi les variantes comparées sur Tune (AUC ROC 0,832857 ; PR-AUC 0,786022), mais ce jeu a servi au développement et n’est pas une validation indépendante. Les exports rétrospectifs, les empreintes d’artefacts et le script d’évaluation rendent ces calculs inspectables, sans constituer une réexécution complète du checkpoint ni un contrôle d’homologie externe. La prochaine étape proposée, non réalisée, est une évaluation gelée sur une nouvelle cohorte de protéines, avec contrôle des homologies et vérification de la calibration, en particulier entre 513 et 1 022 AA, avant un pilote biologique.</w:t>
      </w:r>
    </w:p>
    <w:p>
      <w:pPr>
        <w:pStyle w:val="Heading2"/>
      </w:pPr>
      <w:r>
        <w:t>Décisions prises pendant la conduite du projet</w:t>
      </w:r>
    </w:p>
    <w:p>
      <w:pPr>
        <w:pStyle w:val="ListBullet"/>
        <w:ind w:left="312" w:hanging="147"/>
      </w:pPr>
      <w:r>
        <w:t>Abandonner l’ajout brut de nouvelles protéines externes lorsque la performance baisse sur le jeu comparatif.</w:t>
      </w:r>
    </w:p>
    <w:p>
      <w:pPr>
        <w:pStyle w:val="ListBullet"/>
        <w:ind w:left="312" w:hanging="147"/>
      </w:pPr>
      <w:r>
        <w:t>Préférer un modèle protéique partiellement adapté à une architecture figée plus lourde et plus coûteuse à exécuter.</w:t>
      </w:r>
    </w:p>
    <w:p>
      <w:pPr>
        <w:pStyle w:val="ListBullet"/>
        <w:ind w:left="312" w:hanging="147"/>
      </w:pPr>
      <w:r>
        <w:t>Conserver les briques MLOps acquises dans l’historique, tout en recentrant le produit sur une interface métier.</w:t>
      </w:r>
    </w:p>
    <w:p>
      <w:pPr>
        <w:pStyle w:val="ListBullet"/>
        <w:ind w:left="312" w:hanging="147"/>
      </w:pPr>
      <w:r>
        <w:t>Présenter les recommandations de tags/hôtes comme des règles métier explicables et non comme une optimisation apprise.</w:t>
      </w:r>
    </w:p>
    <w:p>
      <w:pPr>
        <w:pStyle w:val="ListBullet"/>
        <w:ind w:left="312" w:hanging="147"/>
      </w:pPr>
      <w:r>
        <w:t>Figer le produit livré afin de stopper les ajustements successifs sur les mêmes données.</w:t>
      </w:r>
    </w:p>
    <w:p>
      <w:pPr>
        <w:pStyle w:val="Heading2"/>
      </w:pPr>
      <w:r>
        <w:t>Prochaine décision proposée</w:t>
      </w:r>
    </w:p>
    <w:p>
      <w:r>
        <w:t>Autoriser, ou non, une évaluation prospective figée avant tout pilote : checkpoint, calibrateur, seuil et protocole gelés ; cohorte réellement nouvelle ; contrôle des séquences homologues ; AUC/PR-AUC, Brier/ECE et matrices de confusion rapportées avec effectifs ; analyse spécifique de la plage 513–1 022 AA et recalibration si nécessaire. Cette validation est une perspective, elle n’a pas encore été réalisée. Un pilote biologique ultérieur devra suivre les rendements, l’activité, les dépenses et les deux types d’erreurs pour décider d’un go/no-go.</w:t>
      </w:r>
    </w:p>
    <w:p>
      <w:r>
        <w:br w:type="page"/>
      </w:r>
    </w:p>
    <w:p>
      <w:pPr>
        <w:pStyle w:val="Eyebrow"/>
      </w:pPr>
      <w:r>
        <w:t>7. ANNEXES</w:t>
      </w:r>
    </w:p>
    <w:p>
      <w:pPr>
        <w:pStyle w:val="Heading1"/>
      </w:pPr>
      <w:r>
        <w:t>Annexe A — glossaire opérationnel</w:t>
      </w:r>
    </w:p>
    <w:tbl>
      <w:tblPr>
        <w:tblStyle w:val="LightShading-Accent1"/>
        <w:tblW w:type="auto" w:w="0"/>
        <w:jc w:val="center"/>
        <w:tblLayout w:type="autofit"/>
        <w:tblLook w:firstColumn="1" w:firstRow="1" w:lastColumn="0" w:lastRow="0" w:noHBand="0" w:noVBand="1" w:val="04A0"/>
      </w:tblPr>
      <w:tblGrid>
        <w:gridCol w:w="4776"/>
        <w:gridCol w:w="4776"/>
      </w:tblGrid>
      <w:tr>
        <w:trPr>
          <w:cantSplit/>
        </w:trPr>
        <w:tc>
          <w:tcPr>
            <w:tcW w:type="dxa" w:w="4776"/>
            <w:vAlign w:val="center"/>
            <w:shd w:fill="176E75"/>
          </w:tcPr>
          <w:p>
            <w:pPr>
              <w:spacing w:after="20" w:before="20"/>
            </w:pPr>
            <w:r>
              <w:rPr>
                <w:b/>
                <w:color w:val="FFFFFF"/>
                <w:sz w:val="17"/>
              </w:rPr>
              <w:t>Terme</w:t>
            </w:r>
          </w:p>
        </w:tc>
        <w:tc>
          <w:tcPr>
            <w:tcW w:type="dxa" w:w="4776"/>
            <w:vAlign w:val="center"/>
            <w:shd w:fill="176E75"/>
          </w:tcPr>
          <w:p>
            <w:pPr>
              <w:spacing w:after="20" w:before="20"/>
            </w:pPr>
            <w:r>
              <w:rPr>
                <w:b/>
                <w:color w:val="FFFFFF"/>
                <w:sz w:val="17"/>
              </w:rPr>
              <w:t>Définition pour un lecteur non spécialiste</w:t>
            </w:r>
          </w:p>
        </w:tc>
      </w:tr>
      <w:tr>
        <w:trPr>
          <w:cantSplit/>
        </w:trPr>
        <w:tc>
          <w:tcPr>
            <w:tcW w:type="dxa" w:w="4776"/>
          </w:tcPr>
          <w:p>
            <w:pPr>
              <w:spacing w:after="20" w:before="20"/>
            </w:pPr>
            <w:r>
              <w:rPr>
                <w:sz w:val="17"/>
              </w:rPr>
              <w:t>AA</w:t>
            </w:r>
          </w:p>
        </w:tc>
        <w:tc>
          <w:tcPr>
            <w:tcW w:type="dxa" w:w="4776"/>
          </w:tcPr>
          <w:p>
            <w:pPr>
              <w:spacing w:after="20" w:before="20"/>
            </w:pPr>
            <w:r>
              <w:rPr>
                <w:sz w:val="17"/>
              </w:rPr>
              <w:t>Acide aminé : élément d’une séquence protéique.</w:t>
            </w:r>
          </w:p>
        </w:tc>
      </w:tr>
      <w:tr>
        <w:trPr>
          <w:cantSplit/>
        </w:trPr>
        <w:tc>
          <w:tcPr>
            <w:tcW w:type="dxa" w:w="4776"/>
          </w:tcPr>
          <w:p>
            <w:pPr>
              <w:spacing w:after="20" w:before="20"/>
            </w:pPr>
            <w:r>
              <w:rPr>
                <w:sz w:val="17"/>
              </w:rPr>
              <w:t>AUC ROC</w:t>
            </w:r>
          </w:p>
        </w:tc>
        <w:tc>
          <w:tcPr>
            <w:tcW w:type="dxa" w:w="4776"/>
          </w:tcPr>
          <w:p>
            <w:pPr>
              <w:spacing w:after="20" w:before="20"/>
            </w:pPr>
            <w:r>
              <w:rPr>
                <w:sz w:val="17"/>
              </w:rPr>
              <w:t>Mesure entre 0 et 1 de la qualité du classement ; 0,5 équivaut au hasard.</w:t>
            </w:r>
          </w:p>
        </w:tc>
      </w:tr>
      <w:tr>
        <w:trPr>
          <w:cantSplit/>
        </w:trPr>
        <w:tc>
          <w:tcPr>
            <w:tcW w:type="dxa" w:w="4776"/>
          </w:tcPr>
          <w:p>
            <w:pPr>
              <w:spacing w:after="20" w:before="20"/>
            </w:pPr>
            <w:r>
              <w:rPr>
                <w:sz w:val="17"/>
              </w:rPr>
              <w:t>PR-AUC</w:t>
            </w:r>
          </w:p>
        </w:tc>
        <w:tc>
          <w:tcPr>
            <w:tcW w:type="dxa" w:w="4776"/>
          </w:tcPr>
          <w:p>
            <w:pPr>
              <w:spacing w:after="20" w:before="20"/>
            </w:pPr>
            <w:r>
              <w:rPr>
                <w:sz w:val="17"/>
              </w:rPr>
              <w:t>Mesure de la qualité du classement de la classe soluble, sensible à sa fréquence.</w:t>
            </w:r>
          </w:p>
        </w:tc>
      </w:tr>
      <w:tr>
        <w:trPr>
          <w:cantSplit/>
        </w:trPr>
        <w:tc>
          <w:tcPr>
            <w:tcW w:type="dxa" w:w="4776"/>
          </w:tcPr>
          <w:p>
            <w:pPr>
              <w:spacing w:after="20" w:before="20"/>
            </w:pPr>
            <w:r>
              <w:rPr>
                <w:sz w:val="17"/>
              </w:rPr>
              <w:t>Bio13</w:t>
            </w:r>
          </w:p>
        </w:tc>
        <w:tc>
          <w:tcPr>
            <w:tcW w:type="dxa" w:w="4776"/>
          </w:tcPr>
          <w:p>
            <w:pPr>
              <w:spacing w:after="20" w:before="20"/>
            </w:pPr>
            <w:r>
              <w:rPr>
                <w:sz w:val="17"/>
              </w:rPr>
              <w:t>Treize caractéristiques biochimiques calculées sur la séquence.</w:t>
            </w:r>
          </w:p>
        </w:tc>
      </w:tr>
      <w:tr>
        <w:trPr>
          <w:cantSplit/>
        </w:trPr>
        <w:tc>
          <w:tcPr>
            <w:tcW w:type="dxa" w:w="4776"/>
          </w:tcPr>
          <w:p>
            <w:pPr>
              <w:spacing w:after="20" w:before="20"/>
            </w:pPr>
            <w:r>
              <w:rPr>
                <w:sz w:val="17"/>
              </w:rPr>
              <w:t>Calibration / Platt</w:t>
            </w:r>
          </w:p>
        </w:tc>
        <w:tc>
          <w:tcPr>
            <w:tcW w:type="dxa" w:w="4776"/>
          </w:tcPr>
          <w:p>
            <w:pPr>
              <w:spacing w:after="20" w:before="20"/>
            </w:pPr>
            <w:r>
              <w:rPr>
                <w:sz w:val="17"/>
              </w:rPr>
              <w:t>Méthode permettant de relier les scores bruts à des fréquences observées.</w:t>
            </w:r>
          </w:p>
        </w:tc>
      </w:tr>
      <w:tr>
        <w:trPr>
          <w:cantSplit/>
        </w:trPr>
        <w:tc>
          <w:tcPr>
            <w:tcW w:type="dxa" w:w="4776"/>
          </w:tcPr>
          <w:p>
            <w:pPr>
              <w:spacing w:after="20" w:before="20"/>
            </w:pPr>
            <w:r>
              <w:rPr>
                <w:sz w:val="17"/>
              </w:rPr>
              <w:t>CI/CD</w:t>
            </w:r>
          </w:p>
        </w:tc>
        <w:tc>
          <w:tcPr>
            <w:tcW w:type="dxa" w:w="4776"/>
          </w:tcPr>
          <w:p>
            <w:pPr>
              <w:spacing w:after="20" w:before="20"/>
            </w:pPr>
            <w:r>
              <w:rPr>
                <w:sz w:val="17"/>
              </w:rPr>
              <w:t>Tests et opérations automatiques autour des changements de code.</w:t>
            </w:r>
          </w:p>
        </w:tc>
      </w:tr>
      <w:tr>
        <w:trPr>
          <w:cantSplit/>
        </w:trPr>
        <w:tc>
          <w:tcPr>
            <w:tcW w:type="dxa" w:w="4776"/>
          </w:tcPr>
          <w:p>
            <w:pPr>
              <w:spacing w:after="20" w:before="20"/>
            </w:pPr>
            <w:r>
              <w:rPr>
                <w:sz w:val="17"/>
              </w:rPr>
              <w:t>ESM-2 150M</w:t>
            </w:r>
          </w:p>
        </w:tc>
        <w:tc>
          <w:tcPr>
            <w:tcW w:type="dxa" w:w="4776"/>
          </w:tcPr>
          <w:p>
            <w:pPr>
              <w:spacing w:after="20" w:before="20"/>
            </w:pPr>
            <w:r>
              <w:rPr>
                <w:sz w:val="17"/>
              </w:rPr>
              <w:t>Modèle de langage pour protéines comportant environ 150 millions de paramètres.</w:t>
            </w:r>
          </w:p>
        </w:tc>
      </w:tr>
      <w:tr>
        <w:trPr>
          <w:cantSplit/>
        </w:trPr>
        <w:tc>
          <w:tcPr>
            <w:tcW w:type="dxa" w:w="4776"/>
          </w:tcPr>
          <w:p>
            <w:pPr>
              <w:spacing w:after="20" w:before="20"/>
            </w:pPr>
            <w:r>
              <w:rPr>
                <w:sz w:val="17"/>
              </w:rPr>
              <w:t>Fine-tuning</w:t>
            </w:r>
          </w:p>
        </w:tc>
        <w:tc>
          <w:tcPr>
            <w:tcW w:type="dxa" w:w="4776"/>
          </w:tcPr>
          <w:p>
            <w:pPr>
              <w:spacing w:after="20" w:before="20"/>
            </w:pPr>
            <w:r>
              <w:rPr>
                <w:sz w:val="17"/>
              </w:rPr>
              <w:t>Adaptation d’une partie d’un modèle pré-entraîné à une tâche précise.</w:t>
            </w:r>
          </w:p>
        </w:tc>
      </w:tr>
      <w:tr>
        <w:trPr>
          <w:cantSplit/>
        </w:trPr>
        <w:tc>
          <w:tcPr>
            <w:tcW w:type="dxa" w:w="4776"/>
          </w:tcPr>
          <w:p>
            <w:pPr>
              <w:spacing w:after="20" w:before="20"/>
            </w:pPr>
            <w:r>
              <w:rPr>
                <w:sz w:val="17"/>
              </w:rPr>
              <w:t>FN / FP</w:t>
            </w:r>
          </w:p>
        </w:tc>
        <w:tc>
          <w:tcPr>
            <w:tcW w:type="dxa" w:w="4776"/>
          </w:tcPr>
          <w:p>
            <w:pPr>
              <w:spacing w:after="20" w:before="20"/>
            </w:pPr>
            <w:r>
              <w:rPr>
                <w:sz w:val="17"/>
              </w:rPr>
              <w:t>FN : soluble rejetée ; FP : insoluble acceptée.</w:t>
            </w:r>
          </w:p>
        </w:tc>
      </w:tr>
      <w:tr>
        <w:trPr>
          <w:cantSplit/>
        </w:trPr>
        <w:tc>
          <w:tcPr>
            <w:tcW w:type="dxa" w:w="4776"/>
          </w:tcPr>
          <w:p>
            <w:pPr>
              <w:spacing w:after="20" w:before="20"/>
            </w:pPr>
            <w:r>
              <w:rPr>
                <w:sz w:val="17"/>
              </w:rPr>
              <w:t>Gradio / ZeroGPU</w:t>
            </w:r>
          </w:p>
        </w:tc>
        <w:tc>
          <w:tcPr>
            <w:tcW w:type="dxa" w:w="4776"/>
          </w:tcPr>
          <w:p>
            <w:pPr>
              <w:spacing w:after="20" w:before="20"/>
            </w:pPr>
            <w:r>
              <w:rPr>
                <w:sz w:val="17"/>
              </w:rPr>
              <w:t>Interface web / dispositif d’accès à un GPU à la demande.</w:t>
            </w:r>
          </w:p>
        </w:tc>
      </w:tr>
      <w:tr>
        <w:trPr>
          <w:cantSplit/>
        </w:trPr>
        <w:tc>
          <w:tcPr>
            <w:tcW w:type="dxa" w:w="4776"/>
          </w:tcPr>
          <w:p>
            <w:pPr>
              <w:spacing w:after="20" w:before="20"/>
            </w:pPr>
            <w:r>
              <w:rPr>
                <w:sz w:val="17"/>
              </w:rPr>
              <w:t>Homologie</w:t>
            </w:r>
          </w:p>
        </w:tc>
        <w:tc>
          <w:tcPr>
            <w:tcW w:type="dxa" w:w="4776"/>
          </w:tcPr>
          <w:p>
            <w:pPr>
              <w:spacing w:after="20" w:before="20"/>
            </w:pPr>
            <w:r>
              <w:rPr>
                <w:sz w:val="17"/>
              </w:rPr>
              <w:t>Parenté entre protéines susceptible de rendre les échantillons dépendants.</w:t>
            </w:r>
          </w:p>
        </w:tc>
      </w:tr>
      <w:tr>
        <w:trPr>
          <w:cantSplit/>
        </w:trPr>
        <w:tc>
          <w:tcPr>
            <w:tcW w:type="dxa" w:w="4776"/>
          </w:tcPr>
          <w:p>
            <w:pPr>
              <w:spacing w:after="20" w:before="20"/>
            </w:pPr>
            <w:r>
              <w:rPr>
                <w:sz w:val="17"/>
              </w:rPr>
              <w:t>LightGBM</w:t>
            </w:r>
          </w:p>
        </w:tc>
        <w:tc>
          <w:tcPr>
            <w:tcW w:type="dxa" w:w="4776"/>
          </w:tcPr>
          <w:p>
            <w:pPr>
              <w:spacing w:after="20" w:before="20"/>
            </w:pPr>
            <w:r>
              <w:rPr>
                <w:sz w:val="17"/>
              </w:rPr>
              <w:t>Méthode de classification sur données tabulaires.</w:t>
            </w:r>
          </w:p>
        </w:tc>
      </w:tr>
      <w:tr>
        <w:trPr>
          <w:cantSplit/>
        </w:trPr>
        <w:tc>
          <w:tcPr>
            <w:tcW w:type="dxa" w:w="4776"/>
          </w:tcPr>
          <w:p>
            <w:pPr>
              <w:spacing w:after="20" w:before="20"/>
            </w:pPr>
            <w:r>
              <w:rPr>
                <w:sz w:val="17"/>
              </w:rPr>
              <w:t>MMseqs2</w:t>
            </w:r>
          </w:p>
        </w:tc>
        <w:tc>
          <w:tcPr>
            <w:tcW w:type="dxa" w:w="4776"/>
          </w:tcPr>
          <w:p>
            <w:pPr>
              <w:spacing w:after="20" w:before="20"/>
            </w:pPr>
            <w:r>
              <w:rPr>
                <w:sz w:val="17"/>
              </w:rPr>
              <w:t>Logiciel de recherche rapide de similarités entre séquences.</w:t>
            </w:r>
          </w:p>
        </w:tc>
      </w:tr>
      <w:tr>
        <w:trPr>
          <w:cantSplit/>
        </w:trPr>
        <w:tc>
          <w:tcPr>
            <w:tcW w:type="dxa" w:w="4776"/>
          </w:tcPr>
          <w:p>
            <w:pPr>
              <w:spacing w:after="20" w:before="20"/>
            </w:pPr>
            <w:r>
              <w:rPr>
                <w:sz w:val="17"/>
              </w:rPr>
              <w:t>PDB / UniProt</w:t>
            </w:r>
          </w:p>
        </w:tc>
        <w:tc>
          <w:tcPr>
            <w:tcW w:type="dxa" w:w="4776"/>
          </w:tcPr>
          <w:p>
            <w:pPr>
              <w:spacing w:after="20" w:before="20"/>
            </w:pPr>
            <w:r>
              <w:rPr>
                <w:sz w:val="17"/>
              </w:rPr>
              <w:t>Bases publiques d’informations structurales et fonctionnelles sur les protéines.</w:t>
            </w:r>
          </w:p>
        </w:tc>
      </w:tr>
      <w:tr>
        <w:trPr>
          <w:cantSplit/>
        </w:trPr>
        <w:tc>
          <w:tcPr>
            <w:tcW w:type="dxa" w:w="4776"/>
          </w:tcPr>
          <w:p>
            <w:pPr>
              <w:spacing w:after="20" w:before="20"/>
            </w:pPr>
            <w:r>
              <w:rPr>
                <w:sz w:val="17"/>
              </w:rPr>
              <w:t>Tag / hôte</w:t>
            </w:r>
          </w:p>
        </w:tc>
        <w:tc>
          <w:tcPr>
            <w:tcW w:type="dxa" w:w="4776"/>
          </w:tcPr>
          <w:p>
            <w:pPr>
              <w:spacing w:after="20" w:before="20"/>
            </w:pPr>
            <w:r>
              <w:rPr>
                <w:sz w:val="17"/>
              </w:rPr>
              <w:t>Étiquette fusionnée à la protéine / organisme ou cellule servant à la produire.</w:t>
            </w:r>
          </w:p>
        </w:tc>
      </w:tr>
      <w:tr>
        <w:trPr>
          <w:cantSplit/>
        </w:trPr>
        <w:tc>
          <w:tcPr>
            <w:tcW w:type="dxa" w:w="4776"/>
          </w:tcPr>
          <w:p>
            <w:pPr>
              <w:spacing w:after="20" w:before="20"/>
            </w:pPr>
            <w:r>
              <w:rPr>
                <w:sz w:val="17"/>
              </w:rPr>
              <w:t>Holdout / Tune</w:t>
            </w:r>
          </w:p>
        </w:tc>
        <w:tc>
          <w:tcPr>
            <w:tcW w:type="dxa" w:w="4776"/>
          </w:tcPr>
          <w:p>
            <w:pPr>
              <w:spacing w:after="20" w:before="20"/>
            </w:pPr>
            <w:r>
              <w:rPr>
                <w:sz w:val="17"/>
              </w:rPr>
              <w:t>Jeu conservé pour tester / jeu utilisé pour choisir les modèles.</w:t>
            </w:r>
          </w:p>
        </w:tc>
      </w:tr>
      <w:tr>
        <w:trPr>
          <w:cantSplit/>
        </w:trPr>
        <w:tc>
          <w:tcPr>
            <w:tcW w:type="dxa" w:w="4776"/>
          </w:tcPr>
          <w:p>
            <w:pPr>
              <w:spacing w:after="20" w:before="20"/>
            </w:pPr>
            <w:r>
              <w:rPr>
                <w:sz w:val="17"/>
              </w:rPr>
              <w:t>MLOps</w:t>
            </w:r>
          </w:p>
        </w:tc>
        <w:tc>
          <w:tcPr>
            <w:tcW w:type="dxa" w:w="4776"/>
          </w:tcPr>
          <w:p>
            <w:pPr>
              <w:spacing w:after="20" w:before="20"/>
            </w:pPr>
            <w:r>
              <w:rPr>
                <w:sz w:val="17"/>
              </w:rPr>
              <w:t>Pratiques pour versionner, tester, livrer et surveiller des modèles ML.</w:t>
            </w:r>
          </w:p>
        </w:tc>
      </w:tr>
    </w:tbl>
    <w:p>
      <w:pPr>
        <w:spacing w:after="20"/>
      </w:pPr>
    </w:p>
    <w:p>
      <w:r>
        <w:br w:type="page"/>
      </w:r>
    </w:p>
    <w:p>
      <w:pPr>
        <w:pStyle w:val="Eyebrow"/>
      </w:pPr>
      <w:r>
        <w:t>7. ANNEXES</w:t>
      </w:r>
    </w:p>
    <w:p>
      <w:pPr>
        <w:pStyle w:val="Heading1"/>
      </w:pPr>
      <w:r>
        <w:t>Annexe B — résultats chiffrés et choix écartés</w:t>
      </w:r>
    </w:p>
    <w:p>
      <w:pPr>
        <w:pStyle w:val="Heading2"/>
      </w:pPr>
      <w:r>
        <w:t>Comparaison des modèles — sur le jeu Tune (n = 4 052)</w:t>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Variante explorée</w:t>
            </w:r>
          </w:p>
        </w:tc>
        <w:tc>
          <w:tcPr>
            <w:tcW w:type="dxa" w:w="3184"/>
            <w:vAlign w:val="center"/>
            <w:shd w:fill="176E75"/>
          </w:tcPr>
          <w:p>
            <w:pPr>
              <w:spacing w:after="20" w:before="20"/>
            </w:pPr>
            <w:r>
              <w:rPr>
                <w:b/>
                <w:color w:val="FFFFFF"/>
                <w:sz w:val="17"/>
              </w:rPr>
              <w:t>AUC exacte</w:t>
            </w:r>
          </w:p>
        </w:tc>
        <w:tc>
          <w:tcPr>
            <w:tcW w:type="dxa" w:w="3184"/>
            <w:vAlign w:val="center"/>
            <w:shd w:fill="176E75"/>
          </w:tcPr>
          <w:p>
            <w:pPr>
              <w:spacing w:after="20" w:before="20"/>
            </w:pPr>
            <w:r>
              <w:rPr>
                <w:b/>
                <w:color w:val="FFFFFF"/>
                <w:sz w:val="17"/>
              </w:rPr>
              <w:t>PR-AUC exacte</w:t>
            </w:r>
          </w:p>
        </w:tc>
      </w:tr>
      <w:tr>
        <w:trPr>
          <w:cantSplit/>
        </w:trPr>
        <w:tc>
          <w:tcPr>
            <w:tcW w:type="dxa" w:w="3184"/>
          </w:tcPr>
          <w:p>
            <w:pPr>
              <w:spacing w:after="20" w:before="20"/>
            </w:pPr>
            <w:r>
              <w:rPr>
                <w:sz w:val="17"/>
              </w:rPr>
              <w:t>ESM-2 35M figé</w:t>
            </w:r>
          </w:p>
        </w:tc>
        <w:tc>
          <w:tcPr>
            <w:tcW w:type="dxa" w:w="3184"/>
          </w:tcPr>
          <w:p>
            <w:pPr>
              <w:spacing w:after="20" w:before="20"/>
            </w:pPr>
            <w:r>
              <w:rPr>
                <w:sz w:val="17"/>
              </w:rPr>
              <w:t>0,7297</w:t>
            </w:r>
          </w:p>
        </w:tc>
        <w:tc>
          <w:tcPr>
            <w:tcW w:type="dxa" w:w="3184"/>
          </w:tcPr>
          <w:p>
            <w:pPr>
              <w:spacing w:after="20" w:before="20"/>
            </w:pPr>
            <w:r>
              <w:rPr>
                <w:sz w:val="17"/>
              </w:rPr>
              <w:t>0,6587</w:t>
            </w:r>
          </w:p>
        </w:tc>
      </w:tr>
      <w:tr>
        <w:trPr>
          <w:cantSplit/>
        </w:trPr>
        <w:tc>
          <w:tcPr>
            <w:tcW w:type="dxa" w:w="3184"/>
          </w:tcPr>
          <w:p>
            <w:pPr>
              <w:spacing w:after="20" w:before="20"/>
            </w:pPr>
            <w:r>
              <w:rPr>
                <w:sz w:val="17"/>
              </w:rPr>
              <w:t>ESM-2 35M + Bio13</w:t>
            </w:r>
          </w:p>
        </w:tc>
        <w:tc>
          <w:tcPr>
            <w:tcW w:type="dxa" w:w="3184"/>
          </w:tcPr>
          <w:p>
            <w:pPr>
              <w:spacing w:after="20" w:before="20"/>
            </w:pPr>
            <w:r>
              <w:rPr>
                <w:sz w:val="17"/>
              </w:rPr>
              <w:t>0,7383</w:t>
            </w:r>
          </w:p>
        </w:tc>
        <w:tc>
          <w:tcPr>
            <w:tcW w:type="dxa" w:w="3184"/>
          </w:tcPr>
          <w:p>
            <w:pPr>
              <w:spacing w:after="20" w:before="20"/>
            </w:pPr>
            <w:r>
              <w:rPr>
                <w:sz w:val="17"/>
              </w:rPr>
              <w:t>0,6735</w:t>
            </w:r>
          </w:p>
        </w:tc>
      </w:tr>
      <w:tr>
        <w:trPr>
          <w:cantSplit/>
        </w:trPr>
        <w:tc>
          <w:tcPr>
            <w:tcW w:type="dxa" w:w="3184"/>
          </w:tcPr>
          <w:p>
            <w:pPr>
              <w:spacing w:after="20" w:before="20"/>
            </w:pPr>
            <w:r>
              <w:rPr>
                <w:sz w:val="17"/>
              </w:rPr>
              <w:t>ESM-2 150M figé</w:t>
            </w:r>
          </w:p>
        </w:tc>
        <w:tc>
          <w:tcPr>
            <w:tcW w:type="dxa" w:w="3184"/>
          </w:tcPr>
          <w:p>
            <w:pPr>
              <w:spacing w:after="20" w:before="20"/>
            </w:pPr>
            <w:r>
              <w:rPr>
                <w:sz w:val="17"/>
              </w:rPr>
              <w:t>0,7511</w:t>
            </w:r>
          </w:p>
        </w:tc>
        <w:tc>
          <w:tcPr>
            <w:tcW w:type="dxa" w:w="3184"/>
          </w:tcPr>
          <w:p>
            <w:pPr>
              <w:spacing w:after="20" w:before="20"/>
            </w:pPr>
            <w:r>
              <w:rPr>
                <w:sz w:val="17"/>
              </w:rPr>
              <w:t>0,6854</w:t>
            </w:r>
          </w:p>
        </w:tc>
      </w:tr>
      <w:tr>
        <w:trPr>
          <w:cantSplit/>
        </w:trPr>
        <w:tc>
          <w:tcPr>
            <w:tcW w:type="dxa" w:w="3184"/>
          </w:tcPr>
          <w:p>
            <w:pPr>
              <w:spacing w:after="20" w:before="20"/>
            </w:pPr>
            <w:r>
              <w:rPr>
                <w:sz w:val="17"/>
              </w:rPr>
              <w:t>ESM-2 150M + Bio13</w:t>
            </w:r>
          </w:p>
        </w:tc>
        <w:tc>
          <w:tcPr>
            <w:tcW w:type="dxa" w:w="3184"/>
          </w:tcPr>
          <w:p>
            <w:pPr>
              <w:spacing w:after="20" w:before="20"/>
            </w:pPr>
            <w:r>
              <w:rPr>
                <w:sz w:val="17"/>
              </w:rPr>
              <w:t>0,7562</w:t>
            </w:r>
          </w:p>
        </w:tc>
        <w:tc>
          <w:tcPr>
            <w:tcW w:type="dxa" w:w="3184"/>
          </w:tcPr>
          <w:p>
            <w:pPr>
              <w:spacing w:after="20" w:before="20"/>
            </w:pPr>
            <w:r>
              <w:rPr>
                <w:sz w:val="17"/>
              </w:rPr>
              <w:t>0,6864</w:t>
            </w:r>
          </w:p>
        </w:tc>
      </w:tr>
      <w:tr>
        <w:trPr>
          <w:cantSplit/>
        </w:trPr>
        <w:tc>
          <w:tcPr>
            <w:tcW w:type="dxa" w:w="3184"/>
          </w:tcPr>
          <w:p>
            <w:pPr>
              <w:spacing w:after="20" w:before="20"/>
            </w:pPr>
            <w:r>
              <w:rPr>
                <w:sz w:val="17"/>
              </w:rPr>
              <w:t>ESM-2 150M + Optuna</w:t>
            </w:r>
          </w:p>
        </w:tc>
        <w:tc>
          <w:tcPr>
            <w:tcW w:type="dxa" w:w="3184"/>
          </w:tcPr>
          <w:p>
            <w:pPr>
              <w:spacing w:after="20" w:before="20"/>
            </w:pPr>
            <w:r>
              <w:rPr>
                <w:sz w:val="17"/>
              </w:rPr>
              <w:t>0,761432</w:t>
            </w:r>
          </w:p>
        </w:tc>
        <w:tc>
          <w:tcPr>
            <w:tcW w:type="dxa" w:w="3184"/>
          </w:tcPr>
          <w:p>
            <w:pPr>
              <w:spacing w:after="20" w:before="20"/>
            </w:pPr>
            <w:r>
              <w:rPr>
                <w:sz w:val="17"/>
              </w:rPr>
              <w:t>0,693242</w:t>
            </w:r>
          </w:p>
        </w:tc>
      </w:tr>
      <w:tr>
        <w:trPr>
          <w:cantSplit/>
        </w:trPr>
        <w:tc>
          <w:tcPr>
            <w:tcW w:type="dxa" w:w="3184"/>
          </w:tcPr>
          <w:p>
            <w:pPr>
              <w:spacing w:after="20" w:before="20"/>
            </w:pPr>
            <w:r>
              <w:rPr>
                <w:sz w:val="17"/>
              </w:rPr>
              <w:t>ESM-2 650M figé + Bio13</w:t>
            </w:r>
          </w:p>
        </w:tc>
        <w:tc>
          <w:tcPr>
            <w:tcW w:type="dxa" w:w="3184"/>
          </w:tcPr>
          <w:p>
            <w:pPr>
              <w:spacing w:after="20" w:before="20"/>
            </w:pPr>
            <w:r>
              <w:rPr>
                <w:sz w:val="17"/>
              </w:rPr>
              <w:t>0,766446</w:t>
            </w:r>
          </w:p>
        </w:tc>
        <w:tc>
          <w:tcPr>
            <w:tcW w:type="dxa" w:w="3184"/>
          </w:tcPr>
          <w:p>
            <w:pPr>
              <w:spacing w:after="20" w:before="20"/>
            </w:pPr>
            <w:r>
              <w:rPr>
                <w:sz w:val="17"/>
              </w:rPr>
              <w:t>0,701039</w:t>
            </w:r>
          </w:p>
        </w:tc>
      </w:tr>
      <w:tr>
        <w:trPr>
          <w:cantSplit/>
        </w:trPr>
        <w:tc>
          <w:tcPr>
            <w:tcW w:type="dxa" w:w="3184"/>
          </w:tcPr>
          <w:p>
            <w:pPr>
              <w:spacing w:after="20" w:before="20"/>
            </w:pPr>
            <w:r>
              <w:rPr>
                <w:sz w:val="17"/>
              </w:rPr>
              <w:t>ESM-2 150M fine-tuné + Bio13</w:t>
            </w:r>
          </w:p>
        </w:tc>
        <w:tc>
          <w:tcPr>
            <w:tcW w:type="dxa" w:w="3184"/>
          </w:tcPr>
          <w:p>
            <w:pPr>
              <w:spacing w:after="20" w:before="20"/>
            </w:pPr>
            <w:r>
              <w:rPr>
                <w:sz w:val="17"/>
              </w:rPr>
              <w:t>0,832857</w:t>
            </w:r>
          </w:p>
        </w:tc>
        <w:tc>
          <w:tcPr>
            <w:tcW w:type="dxa" w:w="3184"/>
          </w:tcPr>
          <w:p>
            <w:pPr>
              <w:spacing w:after="20" w:before="20"/>
            </w:pPr>
            <w:r>
              <w:rPr>
                <w:sz w:val="17"/>
              </w:rPr>
              <w:t>0,786022</w:t>
            </w:r>
          </w:p>
        </w:tc>
      </w:tr>
    </w:tbl>
    <w:p>
      <w:pPr>
        <w:spacing w:after="20"/>
      </w:pPr>
    </w:p>
    <w:p>
      <w:pPr>
        <w:pStyle w:val="Heading2"/>
      </w:pPr>
      <w:r>
        <w:t>Apports complémentaires non retenus</w:t>
      </w:r>
    </w:p>
    <w:p>
      <w:r>
        <w:rPr>
          <w:b/>
        </w:rPr>
        <w:t>UEsolDS :</w:t>
      </w:r>
      <w:r>
        <w:t xml:space="preserve"> 70 029 séquences valides uniques, puis exclusion de 10 994 doublons exacts et de 25 386 homologues identifiés ; 33 649 supplémentaires retenues. L’AUC Tune du modèle figé + Bio13 a baissé de 0,756177 à 0,733012 après augmentation du Fit à 79 919. Cette baisse ne prouve pas à elle seule sa cause.</w:t>
      </w:r>
    </w:p>
    <w:p>
      <w:r>
        <w:rPr>
          <w:b/>
        </w:rPr>
        <w:t>Descripteurs supplémentaires :</w:t>
      </w:r>
      <w:r>
        <w:t xml:space="preserve"> meilleure variation Tune observée +0,0014 avec la longueur brute, trop faible pour justifier un changement.</w:t>
      </w:r>
    </w:p>
    <w:p>
      <w:pPr>
        <w:pStyle w:val="Heading2"/>
      </w:pPr>
      <w:r>
        <w:t>Troncature : chiffres de Tune</w:t>
      </w:r>
    </w:p>
    <w:tbl>
      <w:tblPr>
        <w:tblStyle w:val="LightShading-Accent1"/>
        <w:tblW w:type="auto" w:w="0"/>
        <w:jc w:val="center"/>
        <w:tblLayout w:type="autofit"/>
        <w:tblLook w:firstColumn="1" w:firstRow="1" w:lastColumn="0" w:lastRow="0" w:noHBand="0" w:noVBand="1" w:val="04A0"/>
      </w:tblPr>
      <w:tblGrid>
        <w:gridCol w:w="2388"/>
        <w:gridCol w:w="2388"/>
        <w:gridCol w:w="2388"/>
        <w:gridCol w:w="2388"/>
      </w:tblGrid>
      <w:tr>
        <w:trPr>
          <w:cantSplit/>
        </w:trPr>
        <w:tc>
          <w:tcPr>
            <w:tcW w:type="dxa" w:w="2388"/>
            <w:vAlign w:val="center"/>
            <w:shd w:fill="176E75"/>
          </w:tcPr>
          <w:p>
            <w:pPr>
              <w:spacing w:after="20" w:before="20"/>
            </w:pPr>
            <w:r>
              <w:rPr>
                <w:b/>
                <w:color w:val="FFFFFF"/>
                <w:sz w:val="16"/>
              </w:rPr>
              <w:t>Population</w:t>
            </w:r>
          </w:p>
        </w:tc>
        <w:tc>
          <w:tcPr>
            <w:tcW w:type="dxa" w:w="2388"/>
            <w:vAlign w:val="center"/>
            <w:shd w:fill="176E75"/>
          </w:tcPr>
          <w:p>
            <w:pPr>
              <w:spacing w:after="20" w:before="20"/>
            </w:pPr>
            <w:r>
              <w:rPr>
                <w:b/>
                <w:color w:val="FFFFFF"/>
                <w:sz w:val="16"/>
              </w:rPr>
              <w:t>N</w:t>
            </w:r>
          </w:p>
        </w:tc>
        <w:tc>
          <w:tcPr>
            <w:tcW w:type="dxa" w:w="2388"/>
            <w:vAlign w:val="center"/>
            <w:shd w:fill="176E75"/>
          </w:tcPr>
          <w:p>
            <w:pPr>
              <w:spacing w:after="20" w:before="20"/>
            </w:pPr>
            <w:r>
              <w:rPr>
                <w:b/>
                <w:color w:val="FFFFFF"/>
                <w:sz w:val="16"/>
              </w:rPr>
              <w:t>AUC 512 AA</w:t>
            </w:r>
          </w:p>
        </w:tc>
        <w:tc>
          <w:tcPr>
            <w:tcW w:type="dxa" w:w="2388"/>
            <w:vAlign w:val="center"/>
            <w:shd w:fill="176E75"/>
          </w:tcPr>
          <w:p>
            <w:pPr>
              <w:spacing w:after="20" w:before="20"/>
            </w:pPr>
            <w:r>
              <w:rPr>
                <w:b/>
                <w:color w:val="FFFFFF"/>
                <w:sz w:val="16"/>
              </w:rPr>
              <w:t>AUC 1 022 AA</w:t>
            </w:r>
          </w:p>
        </w:tc>
      </w:tr>
      <w:tr>
        <w:trPr>
          <w:cantSplit/>
        </w:trPr>
        <w:tc>
          <w:tcPr>
            <w:tcW w:type="dxa" w:w="2388"/>
          </w:tcPr>
          <w:p>
            <w:pPr>
              <w:spacing w:after="20" w:before="20"/>
            </w:pPr>
            <w:r>
              <w:rPr>
                <w:sz w:val="16"/>
              </w:rPr>
              <w:t>Total</w:t>
            </w:r>
          </w:p>
        </w:tc>
        <w:tc>
          <w:tcPr>
            <w:tcW w:type="dxa" w:w="2388"/>
          </w:tcPr>
          <w:p>
            <w:pPr>
              <w:spacing w:after="20" w:before="20"/>
            </w:pPr>
            <w:r>
              <w:rPr>
                <w:sz w:val="16"/>
              </w:rPr>
              <w:t>4 052</w:t>
            </w:r>
          </w:p>
        </w:tc>
        <w:tc>
          <w:tcPr>
            <w:tcW w:type="dxa" w:w="2388"/>
          </w:tcPr>
          <w:p>
            <w:pPr>
              <w:spacing w:after="20" w:before="20"/>
            </w:pPr>
            <w:r>
              <w:rPr>
                <w:sz w:val="16"/>
              </w:rPr>
              <w:t>0,832857</w:t>
            </w:r>
          </w:p>
        </w:tc>
        <w:tc>
          <w:tcPr>
            <w:tcW w:type="dxa" w:w="2388"/>
          </w:tcPr>
          <w:p>
            <w:pPr>
              <w:spacing w:after="20" w:before="20"/>
            </w:pPr>
            <w:r>
              <w:rPr>
                <w:sz w:val="16"/>
              </w:rPr>
              <w:t>0,834727</w:t>
            </w:r>
          </w:p>
        </w:tc>
      </w:tr>
      <w:tr>
        <w:trPr>
          <w:cantSplit/>
        </w:trPr>
        <w:tc>
          <w:tcPr>
            <w:tcW w:type="dxa" w:w="2388"/>
          </w:tcPr>
          <w:p>
            <w:pPr>
              <w:spacing w:after="20" w:before="20"/>
            </w:pPr>
            <w:r>
              <w:rPr>
                <w:sz w:val="16"/>
              </w:rPr>
              <w:t>Jusqu’à 512 AA</w:t>
            </w:r>
          </w:p>
        </w:tc>
        <w:tc>
          <w:tcPr>
            <w:tcW w:type="dxa" w:w="2388"/>
          </w:tcPr>
          <w:p>
            <w:pPr>
              <w:spacing w:after="20" w:before="20"/>
            </w:pPr>
            <w:r>
              <w:rPr>
                <w:sz w:val="16"/>
              </w:rPr>
              <w:t>3 672</w:t>
            </w:r>
          </w:p>
        </w:tc>
        <w:tc>
          <w:tcPr>
            <w:tcW w:type="dxa" w:w="2388"/>
          </w:tcPr>
          <w:p>
            <w:pPr>
              <w:spacing w:after="20" w:before="20"/>
            </w:pPr>
            <w:r>
              <w:rPr>
                <w:sz w:val="16"/>
              </w:rPr>
              <w:t>0,834522</w:t>
            </w:r>
          </w:p>
        </w:tc>
        <w:tc>
          <w:tcPr>
            <w:tcW w:type="dxa" w:w="2388"/>
          </w:tcPr>
          <w:p>
            <w:pPr>
              <w:spacing w:after="20" w:before="20"/>
            </w:pPr>
            <w:r>
              <w:rPr>
                <w:sz w:val="16"/>
              </w:rPr>
              <w:t>0,834522</w:t>
            </w:r>
          </w:p>
        </w:tc>
      </w:tr>
      <w:tr>
        <w:trPr>
          <w:cantSplit/>
        </w:trPr>
        <w:tc>
          <w:tcPr>
            <w:tcW w:type="dxa" w:w="2388"/>
          </w:tcPr>
          <w:p>
            <w:pPr>
              <w:spacing w:after="20" w:before="20"/>
            </w:pPr>
            <w:r>
              <w:rPr>
                <w:sz w:val="16"/>
              </w:rPr>
              <w:t>513 à 1 022 AA</w:t>
            </w:r>
          </w:p>
        </w:tc>
        <w:tc>
          <w:tcPr>
            <w:tcW w:type="dxa" w:w="2388"/>
          </w:tcPr>
          <w:p>
            <w:pPr>
              <w:spacing w:after="20" w:before="20"/>
            </w:pPr>
            <w:r>
              <w:rPr>
                <w:sz w:val="16"/>
              </w:rPr>
              <w:t>360</w:t>
            </w:r>
          </w:p>
        </w:tc>
        <w:tc>
          <w:tcPr>
            <w:tcW w:type="dxa" w:w="2388"/>
          </w:tcPr>
          <w:p>
            <w:pPr>
              <w:spacing w:after="20" w:before="20"/>
            </w:pPr>
            <w:r>
              <w:rPr>
                <w:sz w:val="16"/>
              </w:rPr>
              <w:t>0,813852</w:t>
            </w:r>
          </w:p>
        </w:tc>
        <w:tc>
          <w:tcPr>
            <w:tcW w:type="dxa" w:w="2388"/>
          </w:tcPr>
          <w:p>
            <w:pPr>
              <w:spacing w:after="20" w:before="20"/>
            </w:pPr>
            <w:r>
              <w:rPr>
                <w:sz w:val="16"/>
              </w:rPr>
              <w:t>0,848630</w:t>
            </w:r>
          </w:p>
        </w:tc>
      </w:tr>
    </w:tbl>
    <w:p>
      <w:pPr>
        <w:spacing w:after="20"/>
      </w:pPr>
    </w:p>
    <w:p>
      <w:r>
        <w:t>Les 20 protéines de plus de 1 022 AA ne sont pas représentées graphiquement : échantillon trop petit pour soutenir une interprétation stable.</w:t>
      </w:r>
    </w:p>
    <w:p>
      <w:pPr>
        <w:pStyle w:val="Eyebrow"/>
      </w:pPr>
      <w:r>
        <w:t>7. ANNEXES</w:t>
      </w:r>
    </w:p>
    <w:p>
      <w:pPr>
        <w:pStyle w:val="Heading1"/>
      </w:pPr>
      <w:r>
        <w:t>Annexe C — erreurs de classification et seuil économique</w:t>
      </w:r>
    </w:p>
    <w:p>
      <w:pPr>
        <w:pStyle w:val="Heading2"/>
      </w:pPr>
      <w:r>
        <w:t>Matrice de confusion disponible : ancienne variante ESM-2 figée</w:t>
      </w:r>
    </w:p>
    <w:p>
      <w:r>
        <w:t>L’exemple ci-dessous est une mesure réelle d’une ancienne variante ESM-2 150M figée avec Bio13, sur son holdout historique de 4 052 protéines. Ce n’est pas une matrice de confusion de la version fine-tunée. La comparer directement à la version livrée serait incorrect.</w:t>
      </w:r>
    </w:p>
    <w:p>
      <w:pPr>
        <w:spacing w:after="60"/>
        <w:jc w:val="center"/>
      </w:pPr>
      <w:r>
        <w:drawing>
          <wp:inline xmlns:a="http://schemas.openxmlformats.org/drawingml/2006/main" xmlns:pic="http://schemas.openxmlformats.org/drawingml/2006/picture">
            <wp:extent cx="3311999" cy="2725836"/>
            <wp:docPr id="6" name="Picture 6"/>
            <wp:cNvGraphicFramePr>
              <a:graphicFrameLocks noChangeAspect="1"/>
            </wp:cNvGraphicFramePr>
            <a:graphic>
              <a:graphicData uri="http://schemas.openxmlformats.org/drawingml/2006/picture">
                <pic:pic>
                  <pic:nvPicPr>
                    <pic:cNvPr id="0" name="matrice_historique.png"/>
                    <pic:cNvPicPr/>
                  </pic:nvPicPr>
                  <pic:blipFill>
                    <a:blip r:embed="rId15"/>
                    <a:stretch>
                      <a:fillRect/>
                    </a:stretch>
                  </pic:blipFill>
                  <pic:spPr>
                    <a:xfrm>
                      <a:off x="0" y="0"/>
                      <a:ext cx="3311999" cy="2725836"/>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Pr>
      <w:tblGrid>
        <w:gridCol w:w="3184"/>
        <w:gridCol w:w="3184"/>
        <w:gridCol w:w="3184"/>
      </w:tblGrid>
      <w:tr>
        <w:trPr>
          <w:cantSplit/>
        </w:trPr>
        <w:tc>
          <w:tcPr>
            <w:tcW w:type="dxa" w:w="3184"/>
            <w:vAlign w:val="center"/>
            <w:shd w:fill="176E75"/>
          </w:tcPr>
          <w:p>
            <w:pPr>
              <w:spacing w:after="20" w:before="20"/>
            </w:pPr>
            <w:r>
              <w:rPr>
                <w:b/>
                <w:color w:val="FFFFFF"/>
                <w:sz w:val="17"/>
              </w:rPr>
              <w:t>Erreur / résultat historique</w:t>
            </w:r>
          </w:p>
        </w:tc>
        <w:tc>
          <w:tcPr>
            <w:tcW w:type="dxa" w:w="3184"/>
            <w:vAlign w:val="center"/>
            <w:shd w:fill="176E75"/>
          </w:tcPr>
          <w:p>
            <w:pPr>
              <w:spacing w:after="20" w:before="20"/>
            </w:pPr>
            <w:r>
              <w:rPr>
                <w:b/>
                <w:color w:val="FFFFFF"/>
                <w:sz w:val="17"/>
              </w:rPr>
              <w:t>Effectif</w:t>
            </w:r>
          </w:p>
        </w:tc>
        <w:tc>
          <w:tcPr>
            <w:tcW w:type="dxa" w:w="3184"/>
            <w:vAlign w:val="center"/>
            <w:shd w:fill="176E75"/>
          </w:tcPr>
          <w:p>
            <w:pPr>
              <w:spacing w:after="20" w:before="20"/>
            </w:pPr>
            <w:r>
              <w:rPr>
                <w:b/>
                <w:color w:val="FFFFFF"/>
                <w:sz w:val="17"/>
              </w:rPr>
              <w:t>Sens métier</w:t>
            </w:r>
          </w:p>
        </w:tc>
      </w:tr>
      <w:tr>
        <w:trPr>
          <w:cantSplit/>
        </w:trPr>
        <w:tc>
          <w:tcPr>
            <w:tcW w:type="dxa" w:w="3184"/>
          </w:tcPr>
          <w:p>
            <w:pPr>
              <w:spacing w:after="20" w:before="20"/>
            </w:pPr>
            <w:r>
              <w:rPr>
                <w:sz w:val="17"/>
              </w:rPr>
              <w:t>Vrais négatifs</w:t>
            </w:r>
          </w:p>
        </w:tc>
        <w:tc>
          <w:tcPr>
            <w:tcW w:type="dxa" w:w="3184"/>
          </w:tcPr>
          <w:p>
            <w:pPr>
              <w:spacing w:after="20" w:before="20"/>
            </w:pPr>
            <w:r>
              <w:rPr>
                <w:sz w:val="17"/>
              </w:rPr>
              <w:t>1 663</w:t>
            </w:r>
          </w:p>
        </w:tc>
        <w:tc>
          <w:tcPr>
            <w:tcW w:type="dxa" w:w="3184"/>
          </w:tcPr>
          <w:p>
            <w:pPr>
              <w:spacing w:after="20" w:before="20"/>
            </w:pPr>
            <w:r>
              <w:rPr>
                <w:sz w:val="17"/>
              </w:rPr>
              <w:t>Insolubles correctement écartées</w:t>
            </w:r>
          </w:p>
        </w:tc>
      </w:tr>
      <w:tr>
        <w:trPr>
          <w:cantSplit/>
        </w:trPr>
        <w:tc>
          <w:tcPr>
            <w:tcW w:type="dxa" w:w="3184"/>
          </w:tcPr>
          <w:p>
            <w:pPr>
              <w:spacing w:after="20" w:before="20"/>
            </w:pPr>
            <w:r>
              <w:rPr>
                <w:sz w:val="17"/>
              </w:rPr>
              <w:t>Faux positifs</w:t>
            </w:r>
          </w:p>
        </w:tc>
        <w:tc>
          <w:tcPr>
            <w:tcW w:type="dxa" w:w="3184"/>
          </w:tcPr>
          <w:p>
            <w:pPr>
              <w:spacing w:after="20" w:before="20"/>
            </w:pPr>
            <w:r>
              <w:rPr>
                <w:sz w:val="17"/>
              </w:rPr>
              <w:t>757</w:t>
            </w:r>
          </w:p>
        </w:tc>
        <w:tc>
          <w:tcPr>
            <w:tcW w:type="dxa" w:w="3184"/>
          </w:tcPr>
          <w:p>
            <w:pPr>
              <w:spacing w:after="20" w:before="20"/>
            </w:pPr>
            <w:r>
              <w:rPr>
                <w:sz w:val="17"/>
              </w:rPr>
              <w:t>Insolubles jugées solubles → essais inutiles possibles</w:t>
            </w:r>
          </w:p>
        </w:tc>
      </w:tr>
      <w:tr>
        <w:trPr>
          <w:cantSplit/>
        </w:trPr>
        <w:tc>
          <w:tcPr>
            <w:tcW w:type="dxa" w:w="3184"/>
          </w:tcPr>
          <w:p>
            <w:pPr>
              <w:spacing w:after="20" w:before="20"/>
            </w:pPr>
            <w:r>
              <w:rPr>
                <w:sz w:val="17"/>
              </w:rPr>
              <w:t>Faux négatifs</w:t>
            </w:r>
          </w:p>
        </w:tc>
        <w:tc>
          <w:tcPr>
            <w:tcW w:type="dxa" w:w="3184"/>
          </w:tcPr>
          <w:p>
            <w:pPr>
              <w:spacing w:after="20" w:before="20"/>
            </w:pPr>
            <w:r>
              <w:rPr>
                <w:sz w:val="17"/>
              </w:rPr>
              <w:t>498</w:t>
            </w:r>
          </w:p>
        </w:tc>
        <w:tc>
          <w:tcPr>
            <w:tcW w:type="dxa" w:w="3184"/>
          </w:tcPr>
          <w:p>
            <w:pPr>
              <w:spacing w:after="20" w:before="20"/>
            </w:pPr>
            <w:r>
              <w:rPr>
                <w:sz w:val="17"/>
              </w:rPr>
              <w:t>Solubles écartées → occasions manquées</w:t>
            </w:r>
          </w:p>
        </w:tc>
      </w:tr>
      <w:tr>
        <w:trPr>
          <w:cantSplit/>
        </w:trPr>
        <w:tc>
          <w:tcPr>
            <w:tcW w:type="dxa" w:w="3184"/>
          </w:tcPr>
          <w:p>
            <w:pPr>
              <w:spacing w:after="20" w:before="20"/>
            </w:pPr>
            <w:r>
              <w:rPr>
                <w:sz w:val="17"/>
              </w:rPr>
              <w:t>Vrais positifs</w:t>
            </w:r>
          </w:p>
        </w:tc>
        <w:tc>
          <w:tcPr>
            <w:tcW w:type="dxa" w:w="3184"/>
          </w:tcPr>
          <w:p>
            <w:pPr>
              <w:spacing w:after="20" w:before="20"/>
            </w:pPr>
            <w:r>
              <w:rPr>
                <w:sz w:val="17"/>
              </w:rPr>
              <w:t>1 134</w:t>
            </w:r>
          </w:p>
        </w:tc>
        <w:tc>
          <w:tcPr>
            <w:tcW w:type="dxa" w:w="3184"/>
          </w:tcPr>
          <w:p>
            <w:pPr>
              <w:spacing w:after="20" w:before="20"/>
            </w:pPr>
            <w:r>
              <w:rPr>
                <w:sz w:val="17"/>
              </w:rPr>
              <w:t>Solubles correctement retenues</w:t>
            </w:r>
          </w:p>
        </w:tc>
      </w:tr>
    </w:tbl>
    <w:p>
      <w:pPr>
        <w:spacing w:after="20"/>
      </w:pPr>
    </w:p>
    <w:p>
      <w:r>
        <w:t>Sur cette ancienne variante, le coût théorique selon les mêmes pondérations atteint 1 051 800 €, soit 757 × 600 € + 498 × 1 200 €. Cette valeur ne mesure aucun coût réel de laboratoire et ne doit pas être attribuée à la version livrée.</w:t>
      </w:r>
    </w:p>
    <w:p>
      <w:pPr>
        <w:pStyle w:val="Heading2"/>
      </w:pPr>
      <w:r>
        <w:t>Seuil économique du modèle fine-tuné : protocole de finalisation</w:t>
      </w:r>
    </w:p>
    <w:p>
      <w:r>
        <w:t>La partition Calibration historique a été utilisée pour choisir l’époque et l’arrêt anticipé du fine-tuning. Le script de finalisation a ensuite séparé Threshold (4 052 protéines) en deux sous-ensembles distincts de 2 026 : Platt est ajusté sur le premier à partir des logits du checkpoint, puis le seuil économique est choisi sur le second (sans réentraînement). Le bilan d’exécution atteste n = 2 026 / 2 026, avec séparation approximative par groupes d’homologie MMseqs2 (identité ≥ 25 %, couverture ≥ 70 %, recherche plafonnée ; non exhaustive). Sur le sous-ensemble réservé au choix du seuil, le seuil figé est 0,296491, le rappel des solubles 0,8575 et le coût simulé 387 600 € (FN 114, FP 418 ; 1 200 €/FN, 600 €/FP). Il s’agit de métriques de réglage interne et non de performances finales indépendantes.</w:t>
      </w:r>
    </w:p>
    <w:p>
      <w:r>
        <w:t>L’AUC ROC de 0,832857 sur Tune ne doit pas être présentée comme indépendante. Un export rétrospectif de Tune (4 052 lignes) permet désormais de recalculer les métriques descriptives et une matrice de confusion pour la variante fine-tunée au seuil déjà fixé ; ces résultats sont documentés en annexe F. Les probabilités calibrées de cet export ont été reconstruites à partir des probabilités historiques du modèle (transformation logit inverse) puis du calibrateur Platt figé : ce n’est pas une nouvelle inférence directe sur les logits d’origine, notamment pour les scores saturés. Le holdout déjà consulté lors d’autres essais ne constitue pas une cohorte inédite ; aucun résultat final indépendant du fine-tuning n’est revendiqué.</w:t>
      </w:r>
    </w:p>
    <w:p>
      <w:r>
        <w:br w:type="page"/>
      </w:r>
    </w:p>
    <w:p>
      <w:pPr>
        <w:pStyle w:val="Eyebrow"/>
      </w:pPr>
      <w:r>
        <w:t>7. ANNEXES</w:t>
      </w:r>
    </w:p>
    <w:p>
      <w:pPr>
        <w:pStyle w:val="Heading1"/>
      </w:pPr>
      <w:r>
        <w:t>Annexe D — indicateurs, traçabilité et sources</w:t>
      </w:r>
    </w:p>
    <w:p>
      <w:pPr>
        <w:pStyle w:val="Heading2"/>
      </w:pPr>
      <w:r>
        <w:t>Fiche de suivi à compléter pendant un pilote</w:t>
      </w:r>
    </w:p>
    <w:tbl>
      <w:tblPr>
        <w:tblStyle w:val="LightShading-Accent1"/>
        <w:tblW w:type="auto" w:w="0"/>
        <w:jc w:val="center"/>
        <w:tblLayout w:type="autofit"/>
        <w:tblLook w:firstColumn="1" w:firstRow="1" w:lastColumn="0" w:lastRow="0" w:noHBand="0" w:noVBand="1" w:val="04A0"/>
      </w:tblPr>
      <w:tblGrid>
        <w:gridCol w:w="2388"/>
        <w:gridCol w:w="2388"/>
        <w:gridCol w:w="2388"/>
        <w:gridCol w:w="2388"/>
      </w:tblGrid>
      <w:tr>
        <w:trPr>
          <w:cantSplit/>
        </w:trPr>
        <w:tc>
          <w:tcPr>
            <w:tcW w:type="dxa" w:w="2388"/>
            <w:vAlign w:val="center"/>
            <w:shd w:fill="176E75"/>
          </w:tcPr>
          <w:p>
            <w:pPr>
              <w:spacing w:after="20" w:before="20"/>
            </w:pPr>
            <w:r>
              <w:rPr>
                <w:b/>
                <w:color w:val="FFFFFF"/>
                <w:sz w:val="16"/>
              </w:rPr>
              <w:t>Date / lot</w:t>
            </w:r>
          </w:p>
        </w:tc>
        <w:tc>
          <w:tcPr>
            <w:tcW w:type="dxa" w:w="2388"/>
            <w:vAlign w:val="center"/>
            <w:shd w:fill="176E75"/>
          </w:tcPr>
          <w:p>
            <w:pPr>
              <w:spacing w:after="20" w:before="20"/>
            </w:pPr>
            <w:r>
              <w:rPr>
                <w:b/>
                <w:color w:val="FFFFFF"/>
                <w:sz w:val="16"/>
              </w:rPr>
              <w:t>Prévu</w:t>
            </w:r>
          </w:p>
        </w:tc>
        <w:tc>
          <w:tcPr>
            <w:tcW w:type="dxa" w:w="2388"/>
            <w:vAlign w:val="center"/>
            <w:shd w:fill="176E75"/>
          </w:tcPr>
          <w:p>
            <w:pPr>
              <w:spacing w:after="20" w:before="20"/>
            </w:pPr>
            <w:r>
              <w:rPr>
                <w:b/>
                <w:color w:val="FFFFFF"/>
                <w:sz w:val="16"/>
              </w:rPr>
              <w:t>Réalisé</w:t>
            </w:r>
          </w:p>
        </w:tc>
        <w:tc>
          <w:tcPr>
            <w:tcW w:type="dxa" w:w="2388"/>
            <w:vAlign w:val="center"/>
            <w:shd w:fill="176E75"/>
          </w:tcPr>
          <w:p>
            <w:pPr>
              <w:spacing w:after="20" w:before="20"/>
            </w:pPr>
            <w:r>
              <w:rPr>
                <w:b/>
                <w:color w:val="FFFFFF"/>
                <w:sz w:val="16"/>
              </w:rPr>
              <w:t>Écart / action</w:t>
            </w:r>
          </w:p>
        </w:tc>
      </w:tr>
      <w:tr>
        <w:trPr>
          <w:cantSplit/>
        </w:trPr>
        <w:tc>
          <w:tcPr>
            <w:tcW w:type="dxa" w:w="2388"/>
          </w:tcPr>
          <w:p>
            <w:pPr>
              <w:spacing w:after="20" w:before="20"/>
            </w:pPr>
            <w:r>
              <w:rPr>
                <w:sz w:val="16"/>
              </w:rPr>
              <w:t>Début/fin des essais</w:t>
            </w:r>
          </w:p>
        </w:tc>
        <w:tc>
          <w:tcPr>
            <w:tcW w:type="dxa" w:w="2388"/>
          </w:tcPr>
          <w:p>
            <w:pPr>
              <w:spacing w:after="20" w:before="20"/>
            </w:pPr>
            <w:r>
              <w:rPr>
                <w:sz w:val="16"/>
              </w:rPr>
              <w:t>Date, responsable, objectif</w:t>
            </w:r>
          </w:p>
        </w:tc>
        <w:tc>
          <w:tcPr>
            <w:tcW w:type="dxa" w:w="2388"/>
          </w:tcPr>
          <w:p>
            <w:pPr>
              <w:spacing w:after="20" w:before="20"/>
            </w:pPr>
            <w:r>
              <w:rPr>
                <w:sz w:val="16"/>
              </w:rPr>
              <w:t>Date et durée constatées</w:t>
            </w:r>
          </w:p>
        </w:tc>
        <w:tc>
          <w:tcPr>
            <w:tcW w:type="dxa" w:w="2388"/>
          </w:tcPr>
          <w:p>
            <w:pPr>
              <w:spacing w:after="20" w:before="20"/>
            </w:pPr>
            <w:r>
              <w:rPr>
                <w:sz w:val="16"/>
              </w:rPr>
              <w:t>Retard en jours</w:t>
            </w:r>
          </w:p>
        </w:tc>
      </w:tr>
      <w:tr>
        <w:trPr>
          <w:cantSplit/>
        </w:trPr>
        <w:tc>
          <w:tcPr>
            <w:tcW w:type="dxa" w:w="2388"/>
          </w:tcPr>
          <w:p>
            <w:pPr>
              <w:spacing w:after="20" w:before="20"/>
            </w:pPr>
            <w:r>
              <w:rPr>
                <w:sz w:val="16"/>
              </w:rPr>
              <w:t>Temps de travail</w:t>
            </w:r>
          </w:p>
        </w:tc>
        <w:tc>
          <w:tcPr>
            <w:tcW w:type="dxa" w:w="2388"/>
          </w:tcPr>
          <w:p>
            <w:pPr>
              <w:spacing w:after="20" w:before="20"/>
            </w:pPr>
            <w:r>
              <w:rPr>
                <w:sz w:val="16"/>
              </w:rPr>
              <w:t>Heures budgétées</w:t>
            </w:r>
          </w:p>
        </w:tc>
        <w:tc>
          <w:tcPr>
            <w:tcW w:type="dxa" w:w="2388"/>
          </w:tcPr>
          <w:p>
            <w:pPr>
              <w:spacing w:after="20" w:before="20"/>
            </w:pPr>
            <w:r>
              <w:rPr>
                <w:sz w:val="16"/>
              </w:rPr>
              <w:t>Heures déclarées</w:t>
            </w:r>
          </w:p>
        </w:tc>
        <w:tc>
          <w:tcPr>
            <w:tcW w:type="dxa" w:w="2388"/>
          </w:tcPr>
          <w:p>
            <w:pPr>
              <w:spacing w:after="20" w:before="20"/>
            </w:pPr>
            <w:r>
              <w:rPr>
                <w:sz w:val="16"/>
              </w:rPr>
              <w:t>Écart de charge</w:t>
            </w:r>
          </w:p>
        </w:tc>
      </w:tr>
      <w:tr>
        <w:trPr>
          <w:cantSplit/>
        </w:trPr>
        <w:tc>
          <w:tcPr>
            <w:tcW w:type="dxa" w:w="2388"/>
          </w:tcPr>
          <w:p>
            <w:pPr>
              <w:spacing w:after="20" w:before="20"/>
            </w:pPr>
            <w:r>
              <w:rPr>
                <w:sz w:val="16"/>
              </w:rPr>
              <w:t>Consommables et GPU</w:t>
            </w:r>
          </w:p>
        </w:tc>
        <w:tc>
          <w:tcPr>
            <w:tcW w:type="dxa" w:w="2388"/>
          </w:tcPr>
          <w:p>
            <w:pPr>
              <w:spacing w:after="20" w:before="20"/>
            </w:pPr>
            <w:r>
              <w:rPr>
                <w:sz w:val="16"/>
              </w:rPr>
              <w:t>Budget autorisé</w:t>
            </w:r>
          </w:p>
        </w:tc>
        <w:tc>
          <w:tcPr>
            <w:tcW w:type="dxa" w:w="2388"/>
          </w:tcPr>
          <w:p>
            <w:pPr>
              <w:spacing w:after="20" w:before="20"/>
            </w:pPr>
            <w:r>
              <w:rPr>
                <w:sz w:val="16"/>
              </w:rPr>
              <w:t>Factures / coûts enregistrés</w:t>
            </w:r>
          </w:p>
        </w:tc>
        <w:tc>
          <w:tcPr>
            <w:tcW w:type="dxa" w:w="2388"/>
          </w:tcPr>
          <w:p>
            <w:pPr>
              <w:spacing w:after="20" w:before="20"/>
            </w:pPr>
            <w:r>
              <w:rPr>
                <w:sz w:val="16"/>
              </w:rPr>
              <w:t>Écart € et %</w:t>
            </w:r>
          </w:p>
        </w:tc>
      </w:tr>
      <w:tr>
        <w:trPr>
          <w:cantSplit/>
        </w:trPr>
        <w:tc>
          <w:tcPr>
            <w:tcW w:type="dxa" w:w="2388"/>
          </w:tcPr>
          <w:p>
            <w:pPr>
              <w:spacing w:after="20" w:before="20"/>
            </w:pPr>
            <w:r>
              <w:rPr>
                <w:sz w:val="16"/>
              </w:rPr>
              <w:t>Construits/expressés</w:t>
            </w:r>
          </w:p>
        </w:tc>
        <w:tc>
          <w:tcPr>
            <w:tcW w:type="dxa" w:w="2388"/>
          </w:tcPr>
          <w:p>
            <w:pPr>
              <w:spacing w:after="20" w:before="20"/>
            </w:pPr>
            <w:r>
              <w:rPr>
                <w:sz w:val="16"/>
              </w:rPr>
              <w:t>Nombre d’essais prévus</w:t>
            </w:r>
          </w:p>
        </w:tc>
        <w:tc>
          <w:tcPr>
            <w:tcW w:type="dxa" w:w="2388"/>
          </w:tcPr>
          <w:p>
            <w:pPr>
              <w:spacing w:after="20" w:before="20"/>
            </w:pPr>
            <w:r>
              <w:rPr>
                <w:sz w:val="16"/>
              </w:rPr>
              <w:t>Nombre et fractions solubles</w:t>
            </w:r>
          </w:p>
        </w:tc>
        <w:tc>
          <w:tcPr>
            <w:tcW w:type="dxa" w:w="2388"/>
          </w:tcPr>
          <w:p>
            <w:pPr>
              <w:spacing w:after="20" w:before="20"/>
            </w:pPr>
            <w:r>
              <w:rPr>
                <w:sz w:val="16"/>
              </w:rPr>
              <w:t>Efficacité réelle</w:t>
            </w:r>
          </w:p>
        </w:tc>
      </w:tr>
      <w:tr>
        <w:trPr>
          <w:cantSplit/>
        </w:trPr>
        <w:tc>
          <w:tcPr>
            <w:tcW w:type="dxa" w:w="2388"/>
          </w:tcPr>
          <w:p>
            <w:pPr>
              <w:spacing w:after="20" w:before="20"/>
            </w:pPr>
            <w:r>
              <w:rPr>
                <w:sz w:val="16"/>
              </w:rPr>
              <w:t>Activité et pureté</w:t>
            </w:r>
          </w:p>
        </w:tc>
        <w:tc>
          <w:tcPr>
            <w:tcW w:type="dxa" w:w="2388"/>
          </w:tcPr>
          <w:p>
            <w:pPr>
              <w:spacing w:after="20" w:before="20"/>
            </w:pPr>
            <w:r>
              <w:rPr>
                <w:sz w:val="16"/>
              </w:rPr>
              <w:t>Critères fixés</w:t>
            </w:r>
          </w:p>
        </w:tc>
        <w:tc>
          <w:tcPr>
            <w:tcW w:type="dxa" w:w="2388"/>
          </w:tcPr>
          <w:p>
            <w:pPr>
              <w:spacing w:after="20" w:before="20"/>
            </w:pPr>
            <w:r>
              <w:rPr>
                <w:sz w:val="16"/>
              </w:rPr>
              <w:t>Résultats biologiques</w:t>
            </w:r>
          </w:p>
        </w:tc>
        <w:tc>
          <w:tcPr>
            <w:tcW w:type="dxa" w:w="2388"/>
          </w:tcPr>
          <w:p>
            <w:pPr>
              <w:spacing w:after="20" w:before="20"/>
            </w:pPr>
            <w:r>
              <w:rPr>
                <w:sz w:val="16"/>
              </w:rPr>
              <w:t>Décision expérimentale</w:t>
            </w:r>
          </w:p>
        </w:tc>
      </w:tr>
    </w:tbl>
    <w:p>
      <w:pPr>
        <w:spacing w:after="20"/>
      </w:pPr>
    </w:p>
    <w:p>
      <w:pPr>
        <w:pStyle w:val="Heading2"/>
      </w:pPr>
      <w:r>
        <w:t>Livrables consultables</w:t>
      </w:r>
    </w:p>
    <w:p>
      <w:r>
        <w:t>Application publiée : https://huggingface.co/spaces/fatimaadda2878/protein-solubility-esm150-ft</w:t>
      </w:r>
    </w:p>
    <w:p>
      <w:r>
        <w:t>Code source et tests : https://github.com/fatimaadda2878/protein-solubility-api</w:t>
      </w:r>
    </w:p>
    <w:p>
      <w:r>
        <w:t>Documentation et preuves du dépôt : README.md ; docs/ARCHITECTURE.md ; docs/RESULTATS_ET_LIMITES.md ; docs/NOTE_EVALUATION.md ; docs/PROTOCOLE_EVALUATION.md ; scripts/evaluer_predictions_figees.py ; resultats/evaluation_v1/ (CSV de prédictions, métriques, manifeste et bilan de calibration/seuil).</w:t>
      </w:r>
    </w:p>
    <w:p>
      <w:pPr>
        <w:pStyle w:val="Heading2"/>
      </w:pPr>
      <w:r>
        <w:t>Références techniques et pédagogiques</w:t>
      </w:r>
    </w:p>
    <w:p>
      <w:pPr>
        <w:pStyle w:val="ListBullet"/>
        <w:ind w:left="312" w:hanging="147"/>
      </w:pPr>
      <w:r>
        <w:t>Template fourni : Rapport de conduite de projet Data &amp; ML, sections 1 à 7.</w:t>
      </w:r>
    </w:p>
    <w:p>
      <w:pPr>
        <w:pStyle w:val="ListBullet"/>
        <w:ind w:left="312" w:hanging="147"/>
      </w:pPr>
      <w:r>
        <w:t>Khurana et al. (2018), DeepSol: a deep learning framework for sequence-based protein solubility prediction. Bioinformatics 34, 2605–2613.</w:t>
      </w:r>
    </w:p>
    <w:p>
      <w:pPr>
        <w:pStyle w:val="ListBullet"/>
        <w:ind w:left="312" w:hanging="147"/>
      </w:pPr>
      <w:r>
        <w:t>Lin et al. (2023), Evolutionary-scale prediction of atomic-level protein structure with a language model. Science 379, 1123–1130.</w:t>
      </w:r>
    </w:p>
    <w:p>
      <w:pPr>
        <w:pStyle w:val="ListBullet"/>
        <w:ind w:left="312" w:hanging="147"/>
      </w:pPr>
      <w:r>
        <w:t>RCSB PDB : https://www.rcsb.org/docs/programmatic-access/web-apis-overview</w:t>
      </w:r>
    </w:p>
    <w:p>
      <w:pPr>
        <w:pStyle w:val="ListBullet"/>
        <w:ind w:left="312" w:hanging="147"/>
      </w:pPr>
      <w:r>
        <w:t>UniProt API : https://www.uniprot.org/help/api</w:t>
      </w:r>
    </w:p>
    <w:p>
      <w:pPr>
        <w:pStyle w:val="ListBullet"/>
        <w:ind w:left="312" w:hanging="147"/>
      </w:pPr>
      <w:r>
        <w:t>Hugging Face Spaces : https://huggingface.co/docs/hub/spaces</w:t>
      </w:r>
    </w:p>
    <w:p>
      <w:pPr>
        <w:pStyle w:val="ListBullet"/>
        <w:ind w:left="312" w:hanging="147"/>
      </w:pPr>
      <w:r>
        <w:t>Artefacts du projet : sorties Colab (campagne finale, audit UESolDS, finalisation du seuil et test 512/1 022 AA).</w:t>
      </w:r>
    </w:p>
    <w:p>
      <w:pPr>
        <w:pStyle w:val="Smallnote"/>
      </w:pPr>
      <w:r>
        <w:t>Les chiffres complets sont conservés ici pour audit ; le corps du rapport emploie des arrondis adaptés à la décision.</w:t>
      </w:r>
    </w:p>
    <w:p>
      <w:pPr>
        <w:pStyle w:val="Eyebrow"/>
      </w:pPr>
      <w:r>
        <w:t>7. ANNEXES</w:t>
      </w:r>
    </w:p>
    <w:p>
      <w:pPr>
        <w:pStyle w:val="Heading1"/>
        <w:pageBreakBefore/>
      </w:pPr>
      <w:r>
        <w:t>Annexe E — Hypothèses budgétaires et protocole de vérification</w:t>
      </w:r>
    </w:p>
    <w:p>
      <w:pPr>
        <w:pStyle w:val="Heading2"/>
      </w:pPr>
      <w:r>
        <w:t>E.1 Hypothèses chiffrées : scénarios cumulatifs</w:t>
      </w:r>
    </w:p>
    <w:p>
      <w:r>
        <w:t>Unités et périmètres proposés pour arbitrage avec un laboratoire ; montants illustratifs HT, non engagés. J = jour-personne. Les 600 € par essai sont une hypothèse de consommables et frais de plateforme pour un premier criblage de 10 constructions (un essai par construction), hors journées scientifiques déjà comptabilisées. Ils ne désignent ni un cycle complet à 2 000 € ni le coût théorique de faux positif du seuil. La réserve d’aléas est séparée des postes déjà budgétés et ne finance pas une seconde fois les mêmes essais.</w:t>
      </w:r>
    </w:p>
    <w:tbl>
      <w:tblPr>
        <w:tblStyle w:val="TableGrid"/>
        <w:tblW w:type="auto" w:w="0"/>
        <w:jc w:val="center"/>
        <w:tblLook w:firstColumn="1" w:firstRow="1" w:lastColumn="0" w:lastRow="0" w:noHBand="0" w:noVBand="1" w:val="04A0"/>
      </w:tblPr>
      <w:tblGrid>
        <w:gridCol w:w="2388"/>
        <w:gridCol w:w="2388"/>
        <w:gridCol w:w="2388"/>
        <w:gridCol w:w="2388"/>
      </w:tblGrid>
      <w:tr>
        <w:trPr>
          <w:cantSplit/>
        </w:trPr>
        <w:tc>
          <w:tcPr>
            <w:tcW w:type="dxa" w:w="2388"/>
          </w:tcPr>
          <w:p>
            <w:pPr>
              <w:spacing w:after="40" w:before="40"/>
            </w:pPr>
            <w:r>
              <w:rPr>
                <w:b/>
                <w:sz w:val="16"/>
              </w:rPr>
              <w:t>Scénario / poste</w:t>
            </w:r>
          </w:p>
        </w:tc>
        <w:tc>
          <w:tcPr>
            <w:tcW w:type="dxa" w:w="2388"/>
          </w:tcPr>
          <w:p>
            <w:pPr>
              <w:spacing w:after="40" w:before="40"/>
            </w:pPr>
            <w:r>
              <w:rPr>
                <w:b/>
                <w:sz w:val="16"/>
              </w:rPr>
              <w:t>Quantité</w:t>
            </w:r>
          </w:p>
        </w:tc>
        <w:tc>
          <w:tcPr>
            <w:tcW w:type="dxa" w:w="2388"/>
          </w:tcPr>
          <w:p>
            <w:pPr>
              <w:spacing w:after="40" w:before="40"/>
            </w:pPr>
            <w:r>
              <w:rPr>
                <w:b/>
                <w:sz w:val="16"/>
              </w:rPr>
              <w:t>Prix unitaire (€)</w:t>
            </w:r>
          </w:p>
        </w:tc>
        <w:tc>
          <w:tcPr>
            <w:tcW w:type="dxa" w:w="2388"/>
          </w:tcPr>
          <w:p>
            <w:pPr>
              <w:spacing w:after="40" w:before="40"/>
            </w:pPr>
            <w:r>
              <w:rPr>
                <w:b/>
                <w:sz w:val="16"/>
              </w:rPr>
              <w:t>Sous-total (€)</w:t>
            </w:r>
          </w:p>
        </w:tc>
      </w:tr>
      <w:tr>
        <w:trPr>
          <w:cantSplit/>
        </w:trPr>
        <w:tc>
          <w:tcPr>
            <w:tcW w:type="dxa" w:w="2388"/>
          </w:tcPr>
          <w:p>
            <w:pPr>
              <w:spacing w:after="40" w:before="40"/>
            </w:pPr>
            <w:r>
              <w:rPr>
                <w:sz w:val="16"/>
              </w:rPr>
              <w:t>A • audit, dédoublonnage, traçabilité data</w:t>
            </w:r>
          </w:p>
        </w:tc>
        <w:tc>
          <w:tcPr>
            <w:tcW w:type="dxa" w:w="2388"/>
          </w:tcPr>
          <w:p>
            <w:pPr>
              <w:spacing w:after="40" w:before="40"/>
            </w:pPr>
            <w:r>
              <w:rPr>
                <w:sz w:val="16"/>
              </w:rPr>
              <w:t>8 J</w:t>
            </w:r>
          </w:p>
        </w:tc>
        <w:tc>
          <w:tcPr>
            <w:tcW w:type="dxa" w:w="2388"/>
          </w:tcPr>
          <w:p>
            <w:pPr>
              <w:spacing w:after="40" w:before="40"/>
            </w:pPr>
            <w:r>
              <w:rPr>
                <w:sz w:val="16"/>
              </w:rPr>
              <w:t>450</w:t>
            </w:r>
          </w:p>
        </w:tc>
        <w:tc>
          <w:tcPr>
            <w:tcW w:type="dxa" w:w="2388"/>
          </w:tcPr>
          <w:p>
            <w:pPr>
              <w:spacing w:after="40" w:before="40"/>
            </w:pPr>
            <w:r>
              <w:rPr>
                <w:sz w:val="16"/>
              </w:rPr>
              <w:t>3 600</w:t>
            </w:r>
          </w:p>
        </w:tc>
      </w:tr>
      <w:tr>
        <w:trPr>
          <w:cantSplit/>
        </w:trPr>
        <w:tc>
          <w:tcPr>
            <w:tcW w:type="dxa" w:w="2388"/>
          </w:tcPr>
          <w:p>
            <w:pPr>
              <w:spacing w:after="40" w:before="40"/>
            </w:pPr>
            <w:r>
              <w:rPr>
                <w:sz w:val="16"/>
              </w:rPr>
              <w:t>A • expertise biochimie / qualité des labels</w:t>
            </w:r>
          </w:p>
        </w:tc>
        <w:tc>
          <w:tcPr>
            <w:tcW w:type="dxa" w:w="2388"/>
          </w:tcPr>
          <w:p>
            <w:pPr>
              <w:spacing w:after="40" w:before="40"/>
            </w:pPr>
            <w:r>
              <w:rPr>
                <w:sz w:val="16"/>
              </w:rPr>
              <w:t>4 J</w:t>
            </w:r>
          </w:p>
        </w:tc>
        <w:tc>
          <w:tcPr>
            <w:tcW w:type="dxa" w:w="2388"/>
          </w:tcPr>
          <w:p>
            <w:pPr>
              <w:spacing w:after="40" w:before="40"/>
            </w:pPr>
            <w:r>
              <w:rPr>
                <w:sz w:val="16"/>
              </w:rPr>
              <w:t>500</w:t>
            </w:r>
          </w:p>
        </w:tc>
        <w:tc>
          <w:tcPr>
            <w:tcW w:type="dxa" w:w="2388"/>
          </w:tcPr>
          <w:p>
            <w:pPr>
              <w:spacing w:after="40" w:before="40"/>
            </w:pPr>
            <w:r>
              <w:rPr>
                <w:sz w:val="16"/>
              </w:rPr>
              <w:t>2 000</w:t>
            </w:r>
          </w:p>
        </w:tc>
      </w:tr>
      <w:tr>
        <w:trPr>
          <w:cantSplit/>
        </w:trPr>
        <w:tc>
          <w:tcPr>
            <w:tcW w:type="dxa" w:w="2388"/>
          </w:tcPr>
          <w:p>
            <w:pPr>
              <w:spacing w:after="40" w:before="40"/>
            </w:pPr>
            <w:r>
              <w:rPr>
                <w:sz w:val="16"/>
              </w:rPr>
              <w:t>A • tests et revue qualité de pipeline</w:t>
            </w:r>
          </w:p>
        </w:tc>
        <w:tc>
          <w:tcPr>
            <w:tcW w:type="dxa" w:w="2388"/>
          </w:tcPr>
          <w:p>
            <w:pPr>
              <w:spacing w:after="40" w:before="40"/>
            </w:pPr>
            <w:r>
              <w:rPr>
                <w:sz w:val="16"/>
              </w:rPr>
              <w:t>2 J</w:t>
            </w:r>
          </w:p>
        </w:tc>
        <w:tc>
          <w:tcPr>
            <w:tcW w:type="dxa" w:w="2388"/>
          </w:tcPr>
          <w:p>
            <w:pPr>
              <w:spacing w:after="40" w:before="40"/>
            </w:pPr>
            <w:r>
              <w:rPr>
                <w:sz w:val="16"/>
              </w:rPr>
              <w:t>450</w:t>
            </w:r>
          </w:p>
        </w:tc>
        <w:tc>
          <w:tcPr>
            <w:tcW w:type="dxa" w:w="2388"/>
          </w:tcPr>
          <w:p>
            <w:pPr>
              <w:spacing w:after="40" w:before="40"/>
            </w:pPr>
            <w:r>
              <w:rPr>
                <w:sz w:val="16"/>
              </w:rPr>
              <w:t>900</w:t>
            </w:r>
          </w:p>
        </w:tc>
      </w:tr>
      <w:tr>
        <w:trPr>
          <w:cantSplit/>
        </w:trPr>
        <w:tc>
          <w:tcPr>
            <w:tcW w:type="dxa" w:w="2388"/>
          </w:tcPr>
          <w:p>
            <w:pPr>
              <w:spacing w:after="40" w:before="40"/>
            </w:pPr>
            <w:r>
              <w:rPr>
                <w:sz w:val="16"/>
              </w:rPr>
              <w:t>A • stockage / outils / petits frais</w:t>
            </w:r>
          </w:p>
        </w:tc>
        <w:tc>
          <w:tcPr>
            <w:tcW w:type="dxa" w:w="2388"/>
          </w:tcPr>
          <w:p>
            <w:pPr>
              <w:spacing w:after="40" w:before="40"/>
            </w:pPr>
            <w:r>
              <w:rPr>
                <w:sz w:val="16"/>
              </w:rPr>
              <w:t>1 forfait</w:t>
            </w:r>
          </w:p>
        </w:tc>
        <w:tc>
          <w:tcPr>
            <w:tcW w:type="dxa" w:w="2388"/>
          </w:tcPr>
          <w:p>
            <w:pPr>
              <w:spacing w:after="40" w:before="40"/>
            </w:pPr>
            <w:r>
              <w:rPr>
                <w:sz w:val="16"/>
              </w:rPr>
              <w:t>500</w:t>
            </w:r>
          </w:p>
        </w:tc>
        <w:tc>
          <w:tcPr>
            <w:tcW w:type="dxa" w:w="2388"/>
          </w:tcPr>
          <w:p>
            <w:pPr>
              <w:spacing w:after="40" w:before="40"/>
            </w:pPr>
            <w:r>
              <w:rPr>
                <w:sz w:val="16"/>
              </w:rPr>
              <w:t>500</w:t>
            </w:r>
          </w:p>
        </w:tc>
      </w:tr>
      <w:tr>
        <w:trPr>
          <w:cantSplit/>
        </w:trPr>
        <w:tc>
          <w:tcPr>
            <w:tcW w:type="dxa" w:w="2388"/>
          </w:tcPr>
          <w:p>
            <w:pPr>
              <w:spacing w:after="40" w:before="40"/>
            </w:pPr>
            <w:r>
              <w:rPr>
                <w:b/>
                <w:sz w:val="16"/>
              </w:rPr>
              <w:t>TOTAL A • données / qualité</w:t>
            </w:r>
          </w:p>
        </w:tc>
        <w:tc>
          <w:tcPr>
            <w:tcW w:type="dxa" w:w="2388"/>
          </w:tcPr>
          <w:p>
            <w:pPr>
              <w:spacing w:after="40" w:before="40"/>
            </w:pPr>
            <w:r>
              <w:rPr>
                <w:b/>
                <w:sz w:val="16"/>
              </w:rPr>
              <w:t>14 J + forfait</w:t>
            </w:r>
          </w:p>
        </w:tc>
        <w:tc>
          <w:tcPr>
            <w:tcW w:type="dxa" w:w="2388"/>
          </w:tcPr>
          <w:p>
            <w:pPr>
              <w:spacing w:after="40" w:before="40"/>
            </w:pPr>
            <w:r>
              <w:rPr>
                <w:b/>
                <w:sz w:val="16"/>
              </w:rPr>
              <w:t>—</w:t>
            </w:r>
          </w:p>
        </w:tc>
        <w:tc>
          <w:tcPr>
            <w:tcW w:type="dxa" w:w="2388"/>
          </w:tcPr>
          <w:p>
            <w:pPr>
              <w:spacing w:after="40" w:before="40"/>
            </w:pPr>
            <w:r>
              <w:rPr>
                <w:b/>
                <w:sz w:val="16"/>
              </w:rPr>
              <w:t>7 000</w:t>
            </w:r>
          </w:p>
        </w:tc>
      </w:tr>
      <w:tr>
        <w:trPr>
          <w:cantSplit/>
        </w:trPr>
        <w:tc>
          <w:tcPr>
            <w:tcW w:type="dxa" w:w="2388"/>
          </w:tcPr>
          <w:p>
            <w:pPr>
              <w:spacing w:after="40" w:before="40"/>
            </w:pPr>
            <w:r>
              <w:rPr>
                <w:sz w:val="16"/>
              </w:rPr>
              <w:t>B • évaluation reproductible, calibration</w:t>
            </w:r>
          </w:p>
        </w:tc>
        <w:tc>
          <w:tcPr>
            <w:tcW w:type="dxa" w:w="2388"/>
          </w:tcPr>
          <w:p>
            <w:pPr>
              <w:spacing w:after="40" w:before="40"/>
            </w:pPr>
            <w:r>
              <w:rPr>
                <w:sz w:val="16"/>
              </w:rPr>
              <w:t>6 J</w:t>
            </w:r>
          </w:p>
        </w:tc>
        <w:tc>
          <w:tcPr>
            <w:tcW w:type="dxa" w:w="2388"/>
          </w:tcPr>
          <w:p>
            <w:pPr>
              <w:spacing w:after="40" w:before="40"/>
            </w:pPr>
            <w:r>
              <w:rPr>
                <w:sz w:val="16"/>
              </w:rPr>
              <w:t>550</w:t>
            </w:r>
          </w:p>
        </w:tc>
        <w:tc>
          <w:tcPr>
            <w:tcW w:type="dxa" w:w="2388"/>
          </w:tcPr>
          <w:p>
            <w:pPr>
              <w:spacing w:after="40" w:before="40"/>
            </w:pPr>
            <w:r>
              <w:rPr>
                <w:sz w:val="16"/>
              </w:rPr>
              <w:t>3 300</w:t>
            </w:r>
          </w:p>
        </w:tc>
      </w:tr>
      <w:tr>
        <w:trPr>
          <w:cantSplit/>
        </w:trPr>
        <w:tc>
          <w:tcPr>
            <w:tcW w:type="dxa" w:w="2388"/>
          </w:tcPr>
          <w:p>
            <w:pPr>
              <w:spacing w:after="40" w:before="40"/>
            </w:pPr>
            <w:r>
              <w:rPr>
                <w:sz w:val="16"/>
              </w:rPr>
              <w:t>B • revue biologique et protocole de validation</w:t>
            </w:r>
          </w:p>
        </w:tc>
        <w:tc>
          <w:tcPr>
            <w:tcW w:type="dxa" w:w="2388"/>
          </w:tcPr>
          <w:p>
            <w:pPr>
              <w:spacing w:after="40" w:before="40"/>
            </w:pPr>
            <w:r>
              <w:rPr>
                <w:sz w:val="16"/>
              </w:rPr>
              <w:t>3 J</w:t>
            </w:r>
          </w:p>
        </w:tc>
        <w:tc>
          <w:tcPr>
            <w:tcW w:type="dxa" w:w="2388"/>
          </w:tcPr>
          <w:p>
            <w:pPr>
              <w:spacing w:after="40" w:before="40"/>
            </w:pPr>
            <w:r>
              <w:rPr>
                <w:sz w:val="16"/>
              </w:rPr>
              <w:t>500</w:t>
            </w:r>
          </w:p>
        </w:tc>
        <w:tc>
          <w:tcPr>
            <w:tcW w:type="dxa" w:w="2388"/>
          </w:tcPr>
          <w:p>
            <w:pPr>
              <w:spacing w:after="40" w:before="40"/>
            </w:pPr>
            <w:r>
              <w:rPr>
                <w:sz w:val="16"/>
              </w:rPr>
              <w:t>1 500</w:t>
            </w:r>
          </w:p>
        </w:tc>
      </w:tr>
      <w:tr>
        <w:trPr>
          <w:cantSplit/>
        </w:trPr>
        <w:tc>
          <w:tcPr>
            <w:tcW w:type="dxa" w:w="2388"/>
          </w:tcPr>
          <w:p>
            <w:pPr>
              <w:spacing w:after="40" w:before="40"/>
            </w:pPr>
            <w:r>
              <w:rPr>
                <w:sz w:val="16"/>
              </w:rPr>
              <w:t>B • calcul GPU / infrastructure</w:t>
            </w:r>
          </w:p>
        </w:tc>
        <w:tc>
          <w:tcPr>
            <w:tcW w:type="dxa" w:w="2388"/>
          </w:tcPr>
          <w:p>
            <w:pPr>
              <w:spacing w:after="40" w:before="40"/>
            </w:pPr>
            <w:r>
              <w:rPr>
                <w:sz w:val="16"/>
              </w:rPr>
              <w:t>1 forfait</w:t>
            </w:r>
          </w:p>
        </w:tc>
        <w:tc>
          <w:tcPr>
            <w:tcW w:type="dxa" w:w="2388"/>
          </w:tcPr>
          <w:p>
            <w:pPr>
              <w:spacing w:after="40" w:before="40"/>
            </w:pPr>
            <w:r>
              <w:rPr>
                <w:sz w:val="16"/>
              </w:rPr>
              <w:t>700</w:t>
            </w:r>
          </w:p>
        </w:tc>
        <w:tc>
          <w:tcPr>
            <w:tcW w:type="dxa" w:w="2388"/>
          </w:tcPr>
          <w:p>
            <w:pPr>
              <w:spacing w:after="40" w:before="40"/>
            </w:pPr>
            <w:r>
              <w:rPr>
                <w:sz w:val="16"/>
              </w:rPr>
              <w:t>700</w:t>
            </w:r>
          </w:p>
        </w:tc>
      </w:tr>
      <w:tr>
        <w:trPr>
          <w:cantSplit/>
        </w:trPr>
        <w:tc>
          <w:tcPr>
            <w:tcW w:type="dxa" w:w="2388"/>
          </w:tcPr>
          <w:p>
            <w:pPr>
              <w:spacing w:after="40" w:before="40"/>
            </w:pPr>
            <w:r>
              <w:rPr>
                <w:b/>
                <w:sz w:val="16"/>
              </w:rPr>
              <w:t>TOTAL B • cumul A + amélioration ML</w:t>
            </w:r>
          </w:p>
        </w:tc>
        <w:tc>
          <w:tcPr>
            <w:tcW w:type="dxa" w:w="2388"/>
          </w:tcPr>
          <w:p>
            <w:pPr>
              <w:spacing w:after="40" w:before="40"/>
            </w:pPr>
            <w:r>
              <w:rPr>
                <w:b/>
                <w:sz w:val="16"/>
              </w:rPr>
              <w:t>23 J + forfaits</w:t>
            </w:r>
          </w:p>
        </w:tc>
        <w:tc>
          <w:tcPr>
            <w:tcW w:type="dxa" w:w="2388"/>
          </w:tcPr>
          <w:p>
            <w:pPr>
              <w:spacing w:after="40" w:before="40"/>
            </w:pPr>
            <w:r>
              <w:rPr>
                <w:b/>
                <w:sz w:val="16"/>
              </w:rPr>
              <w:t>—</w:t>
            </w:r>
          </w:p>
        </w:tc>
        <w:tc>
          <w:tcPr>
            <w:tcW w:type="dxa" w:w="2388"/>
          </w:tcPr>
          <w:p>
            <w:pPr>
              <w:spacing w:after="40" w:before="40"/>
            </w:pPr>
            <w:r>
              <w:rPr>
                <w:b/>
                <w:sz w:val="16"/>
              </w:rPr>
              <w:t>12 500</w:t>
            </w:r>
          </w:p>
        </w:tc>
      </w:tr>
      <w:tr>
        <w:trPr>
          <w:cantSplit/>
        </w:trPr>
        <w:tc>
          <w:tcPr>
            <w:tcW w:type="dxa" w:w="2388"/>
          </w:tcPr>
          <w:p>
            <w:pPr>
              <w:spacing w:after="40" w:before="40"/>
            </w:pPr>
            <w:r>
              <w:rPr>
                <w:sz w:val="16"/>
              </w:rPr>
              <w:t>C • conduite des essais et exploitation labo</w:t>
            </w:r>
          </w:p>
        </w:tc>
        <w:tc>
          <w:tcPr>
            <w:tcW w:type="dxa" w:w="2388"/>
          </w:tcPr>
          <w:p>
            <w:pPr>
              <w:spacing w:after="40" w:before="40"/>
            </w:pPr>
            <w:r>
              <w:rPr>
                <w:sz w:val="16"/>
              </w:rPr>
              <w:t>5 J</w:t>
            </w:r>
          </w:p>
        </w:tc>
        <w:tc>
          <w:tcPr>
            <w:tcW w:type="dxa" w:w="2388"/>
          </w:tcPr>
          <w:p>
            <w:pPr>
              <w:spacing w:after="40" w:before="40"/>
            </w:pPr>
            <w:r>
              <w:rPr>
                <w:sz w:val="16"/>
              </w:rPr>
              <w:t>500</w:t>
            </w:r>
          </w:p>
        </w:tc>
        <w:tc>
          <w:tcPr>
            <w:tcW w:type="dxa" w:w="2388"/>
          </w:tcPr>
          <w:p>
            <w:pPr>
              <w:spacing w:after="40" w:before="40"/>
            </w:pPr>
            <w:r>
              <w:rPr>
                <w:sz w:val="16"/>
              </w:rPr>
              <w:t>2 500</w:t>
            </w:r>
          </w:p>
        </w:tc>
      </w:tr>
      <w:tr>
        <w:trPr>
          <w:cantSplit/>
        </w:trPr>
        <w:tc>
          <w:tcPr>
            <w:tcW w:type="dxa" w:w="2388"/>
          </w:tcPr>
          <w:p>
            <w:r>
              <w:t>C • criblage de 10 constructions (1 essai chacune, frais directs hors main-d’œuvre)</w:t>
            </w:r>
          </w:p>
        </w:tc>
        <w:tc>
          <w:tcPr>
            <w:tcW w:type="dxa" w:w="2388"/>
          </w:tcPr>
          <w:p>
            <w:pPr>
              <w:spacing w:after="40" w:before="40"/>
            </w:pPr>
            <w:r>
              <w:rPr>
                <w:sz w:val="16"/>
              </w:rPr>
              <w:t>10 essais</w:t>
            </w:r>
          </w:p>
        </w:tc>
        <w:tc>
          <w:tcPr>
            <w:tcW w:type="dxa" w:w="2388"/>
          </w:tcPr>
          <w:p>
            <w:pPr>
              <w:spacing w:after="40" w:before="40"/>
            </w:pPr>
            <w:r>
              <w:rPr>
                <w:sz w:val="16"/>
              </w:rPr>
              <w:t>600</w:t>
            </w:r>
          </w:p>
        </w:tc>
        <w:tc>
          <w:tcPr>
            <w:tcW w:type="dxa" w:w="2388"/>
          </w:tcPr>
          <w:p>
            <w:pPr>
              <w:spacing w:after="40" w:before="40"/>
            </w:pPr>
            <w:r>
              <w:rPr>
                <w:sz w:val="16"/>
              </w:rPr>
              <w:t>6 000</w:t>
            </w:r>
          </w:p>
        </w:tc>
      </w:tr>
      <w:tr>
        <w:trPr>
          <w:cantSplit/>
        </w:trPr>
        <w:tc>
          <w:tcPr>
            <w:tcW w:type="dxa" w:w="2388"/>
          </w:tcPr>
          <w:p>
            <w:pPr>
              <w:spacing w:after="40" w:before="40"/>
            </w:pPr>
            <w:r>
              <w:rPr>
                <w:sz w:val="16"/>
              </w:rPr>
              <w:t>C • analyse, livrables et bilan pilote</w:t>
            </w:r>
          </w:p>
        </w:tc>
        <w:tc>
          <w:tcPr>
            <w:tcW w:type="dxa" w:w="2388"/>
          </w:tcPr>
          <w:p>
            <w:pPr>
              <w:spacing w:after="40" w:before="40"/>
            </w:pPr>
            <w:r>
              <w:rPr>
                <w:sz w:val="16"/>
              </w:rPr>
              <w:t>2 J</w:t>
            </w:r>
          </w:p>
        </w:tc>
        <w:tc>
          <w:tcPr>
            <w:tcW w:type="dxa" w:w="2388"/>
          </w:tcPr>
          <w:p>
            <w:pPr>
              <w:spacing w:after="40" w:before="40"/>
            </w:pPr>
            <w:r>
              <w:rPr>
                <w:sz w:val="16"/>
              </w:rPr>
              <w:t>500</w:t>
            </w:r>
          </w:p>
        </w:tc>
        <w:tc>
          <w:tcPr>
            <w:tcW w:type="dxa" w:w="2388"/>
          </w:tcPr>
          <w:p>
            <w:pPr>
              <w:spacing w:after="40" w:before="40"/>
            </w:pPr>
            <w:r>
              <w:rPr>
                <w:sz w:val="16"/>
              </w:rPr>
              <w:t>1 000</w:t>
            </w:r>
          </w:p>
        </w:tc>
      </w:tr>
      <w:tr>
        <w:trPr>
          <w:cantSplit/>
        </w:trPr>
        <w:tc>
          <w:tcPr>
            <w:tcW w:type="dxa" w:w="2388"/>
          </w:tcPr>
          <w:p>
            <w:pPr>
              <w:spacing w:after="40" w:before="40"/>
            </w:pPr>
            <w:r>
              <w:rPr>
                <w:sz w:val="16"/>
              </w:rPr>
              <w:t>C • réserve d’aléas (sous justification)</w:t>
            </w:r>
          </w:p>
        </w:tc>
        <w:tc>
          <w:tcPr>
            <w:tcW w:type="dxa" w:w="2388"/>
          </w:tcPr>
          <w:p>
            <w:pPr>
              <w:spacing w:after="40" w:before="40"/>
            </w:pPr>
            <w:r>
              <w:rPr>
                <w:sz w:val="16"/>
              </w:rPr>
              <w:t>1 forfait</w:t>
            </w:r>
          </w:p>
        </w:tc>
        <w:tc>
          <w:tcPr>
            <w:tcW w:type="dxa" w:w="2388"/>
          </w:tcPr>
          <w:p>
            <w:pPr>
              <w:spacing w:after="40" w:before="40"/>
            </w:pPr>
            <w:r>
              <w:rPr>
                <w:sz w:val="16"/>
              </w:rPr>
              <w:t>1 000</w:t>
            </w:r>
          </w:p>
        </w:tc>
        <w:tc>
          <w:tcPr>
            <w:tcW w:type="dxa" w:w="2388"/>
          </w:tcPr>
          <w:p>
            <w:pPr>
              <w:spacing w:after="40" w:before="40"/>
            </w:pPr>
            <w:r>
              <w:rPr>
                <w:sz w:val="16"/>
              </w:rPr>
              <w:t>1 000</w:t>
            </w:r>
          </w:p>
        </w:tc>
      </w:tr>
      <w:tr>
        <w:trPr>
          <w:cantSplit/>
        </w:trPr>
        <w:tc>
          <w:tcPr>
            <w:tcW w:type="dxa" w:w="2388"/>
          </w:tcPr>
          <w:p>
            <w:pPr>
              <w:spacing w:after="40" w:before="40"/>
            </w:pPr>
            <w:r>
              <w:rPr>
                <w:b/>
                <w:sz w:val="16"/>
              </w:rPr>
              <w:t>TOTAL C • cumul B + pilote biologique</w:t>
            </w:r>
          </w:p>
        </w:tc>
        <w:tc>
          <w:tcPr>
            <w:tcW w:type="dxa" w:w="2388"/>
          </w:tcPr>
          <w:p>
            <w:pPr>
              <w:spacing w:after="40" w:before="40"/>
            </w:pPr>
            <w:r>
              <w:rPr>
                <w:b/>
                <w:sz w:val="16"/>
              </w:rPr>
              <w:t>30 J + 10 essais + forfaits</w:t>
            </w:r>
          </w:p>
        </w:tc>
        <w:tc>
          <w:tcPr>
            <w:tcW w:type="dxa" w:w="2388"/>
          </w:tcPr>
          <w:p>
            <w:pPr>
              <w:spacing w:after="40" w:before="40"/>
            </w:pPr>
            <w:r>
              <w:rPr>
                <w:b/>
                <w:sz w:val="16"/>
              </w:rPr>
              <w:t>—</w:t>
            </w:r>
          </w:p>
        </w:tc>
        <w:tc>
          <w:tcPr>
            <w:tcW w:type="dxa" w:w="2388"/>
          </w:tcPr>
          <w:p>
            <w:pPr>
              <w:spacing w:after="40" w:before="40"/>
            </w:pPr>
            <w:r>
              <w:rPr>
                <w:b/>
                <w:sz w:val="16"/>
              </w:rPr>
              <w:t>23 000</w:t>
            </w:r>
          </w:p>
        </w:tc>
      </w:tr>
    </w:tbl>
    <w:p>
      <w:pPr/>
      <w:r>
        <w:t>Contrôles : A = 3 600 + 2 000 + 900 + 500 = 7 000 € ; B = A + 3 300 + 1 500 + 700 = 12 500 € ; C = B + 2 500 + 6 000 + 1 000 + 1 000 = 23 000 €. Le tarif de 2 000 € par cycle complet évité n’est qu’une hypothèse de retour sur investissement et doit être mesuré séparément. Toute décision budgétaire requiert devis et validation d’un partenaire biologique.</w:t>
      </w:r>
    </w:p>
    <w:p>
      <w:pPr>
        <w:pStyle w:val="Heading2"/>
      </w:pPr>
      <w:r>
        <w:t>E.2 Évaluation : traçabilité disponible et éléments manquants</w:t>
      </w:r>
    </w:p>
    <w:p>
      <w:r>
        <w:t>Chaîne de preuve publiée sur GitHub (branche main) : scripts/evaluer_predictions_figees.py (calcul de métriques en lecture seule, sans inférence) ; docs/NOTE_EVALUATION.md et docs/PROTOCOLE_EVALUATION.md (rôles des partitions et limites) ; resultats/evaluation_v1/predictions_tune_retrospectives.csv (4 052 prédictions d’entrée) ; resultats/evaluation_v1/metriques_par_partition.csv et evaluation_manifest.json (métriques par longueur, version et empreintes SHA-256) ; resultats/evaluation_v1/bilan_calibration_seuil.json (effectifs 2 026 / 2 026, Platt et seuil). Le script recalcule les mesures à partir du CSV ; il n’effectue ni nouvelle inférence ESM-2, ni audit d’homologie externe. Les scores d’entrée ont été obtenus par reconstruction numérique de logits à partir de probabilités historiques : les mesures de calibration associées restent exploratoires et doivent être comparées aux logits d’origine avant toute affirmation de calibration vérifiée.</w:t>
      </w:r>
    </w:p>
    <w:tbl>
      <w:tblPr>
        <w:tblStyle w:val="TableGrid"/>
        <w:tblW w:type="auto" w:w="0"/>
        <w:tblLook w:firstColumn="1" w:firstRow="1" w:lastColumn="0" w:lastRow="0" w:noHBand="0" w:noVBand="1" w:val="04A0"/>
      </w:tblPr>
      <w:tblGrid>
        <w:gridCol w:w="3184"/>
        <w:gridCol w:w="3184"/>
        <w:gridCol w:w="3184"/>
      </w:tblGrid>
      <w:tr>
        <w:trPr>
          <w:cantSplit/>
        </w:trPr>
        <w:tc>
          <w:tcPr>
            <w:tcW w:type="dxa" w:w="3184"/>
          </w:tcPr>
          <w:p>
            <w:r>
              <w:rPr>
                <w:sz w:val="16"/>
              </w:rPr>
              <w:t>Partition / usage</w:t>
            </w:r>
          </w:p>
        </w:tc>
        <w:tc>
          <w:tcPr>
            <w:tcW w:type="dxa" w:w="3184"/>
          </w:tcPr>
          <w:p>
            <w:r>
              <w:rPr>
                <w:sz w:val="16"/>
              </w:rPr>
              <w:t>Réalité documentée</w:t>
            </w:r>
          </w:p>
        </w:tc>
        <w:tc>
          <w:tcPr>
            <w:tcW w:type="dxa" w:w="3184"/>
          </w:tcPr>
          <w:p>
            <w:r>
              <w:rPr>
                <w:sz w:val="16"/>
              </w:rPr>
              <w:t>Statut des métriques</w:t>
            </w:r>
          </w:p>
        </w:tc>
      </w:tr>
      <w:tr>
        <w:trPr>
          <w:cantSplit/>
        </w:trPr>
        <w:tc>
          <w:tcPr>
            <w:tcW w:type="dxa" w:w="3184"/>
          </w:tcPr>
          <w:p>
            <w:r>
              <w:rPr>
                <w:sz w:val="16"/>
              </w:rPr>
              <w:t>Fit (46 270)</w:t>
            </w:r>
          </w:p>
        </w:tc>
        <w:tc>
          <w:tcPr>
            <w:tcW w:type="dxa" w:w="3184"/>
          </w:tcPr>
          <w:p>
            <w:r>
              <w:rPr>
                <w:sz w:val="16"/>
              </w:rPr>
              <w:t>Entraînement</w:t>
            </w:r>
          </w:p>
        </w:tc>
        <w:tc>
          <w:tcPr>
            <w:tcW w:type="dxa" w:w="3184"/>
          </w:tcPr>
          <w:p>
            <w:r>
              <w:rPr>
                <w:sz w:val="16"/>
              </w:rPr>
              <w:t>Pas de métrique indépendante</w:t>
            </w:r>
          </w:p>
        </w:tc>
      </w:tr>
      <w:tr>
        <w:trPr>
          <w:cantSplit/>
        </w:trPr>
        <w:tc>
          <w:tcPr>
            <w:tcW w:type="dxa" w:w="3184"/>
          </w:tcPr>
          <w:p>
            <w:r>
              <w:rPr>
                <w:sz w:val="16"/>
              </w:rPr>
              <w:t>Calibration (4 052)</w:t>
            </w:r>
          </w:p>
        </w:tc>
        <w:tc>
          <w:tcPr>
            <w:tcW w:type="dxa" w:w="3184"/>
          </w:tcPr>
          <w:p>
            <w:r>
              <w:rPr>
                <w:sz w:val="16"/>
              </w:rPr>
              <w:t>Choix époque et arrêt anticipé du fine-tuning</w:t>
            </w:r>
          </w:p>
        </w:tc>
        <w:tc>
          <w:tcPr>
            <w:tcW w:type="dxa" w:w="3184"/>
          </w:tcPr>
          <w:p>
            <w:r>
              <w:rPr>
                <w:sz w:val="16"/>
              </w:rPr>
              <w:t>Consommé ; ne pas réutiliser comme test</w:t>
            </w:r>
          </w:p>
        </w:tc>
      </w:tr>
      <w:tr>
        <w:trPr>
          <w:cantSplit/>
        </w:trPr>
        <w:tc>
          <w:tcPr>
            <w:tcW w:type="dxa" w:w="3184"/>
          </w:tcPr>
          <w:p>
            <w:r>
              <w:rPr>
                <w:sz w:val="16"/>
              </w:rPr>
              <w:t>Tune (4 052)</w:t>
            </w:r>
          </w:p>
        </w:tc>
        <w:tc>
          <w:tcPr>
            <w:tcW w:type="dxa" w:w="3184"/>
          </w:tcPr>
          <w:p>
            <w:r>
              <w:rPr>
                <w:sz w:val="16"/>
              </w:rPr>
              <w:t>Comparaison de variantes : AUC 0,832857 ; PR-AUC 0,786022</w:t>
            </w:r>
          </w:p>
        </w:tc>
        <w:tc>
          <w:tcPr>
            <w:tcW w:type="dxa" w:w="3184"/>
          </w:tcPr>
          <w:p>
            <w:r>
              <w:rPr>
                <w:sz w:val="16"/>
              </w:rPr>
              <w:t>Développement, non indépendant</w:t>
            </w:r>
          </w:p>
        </w:tc>
      </w:tr>
      <w:tr>
        <w:trPr>
          <w:cantSplit/>
        </w:trPr>
        <w:tc>
          <w:tcPr>
            <w:tcW w:type="dxa" w:w="3184"/>
          </w:tcPr>
          <w:p>
            <w:r>
              <w:rPr>
                <w:sz w:val="16"/>
              </w:rPr>
              <w:t>Threshold (4 052)</w:t>
            </w:r>
          </w:p>
        </w:tc>
        <w:tc>
          <w:tcPr>
            <w:tcW w:type="dxa" w:w="3184"/>
          </w:tcPr>
          <w:p>
            <w:r>
              <w:t>4 052, puis deux groupes disjoints de 2 026 : Platt (logits) et choix du seuil ; homologie MMseqs2 approchée.</w:t>
            </w:r>
          </w:p>
        </w:tc>
        <w:tc>
          <w:tcPr>
            <w:tcW w:type="dxa" w:w="3184"/>
          </w:tcPr>
          <w:p>
            <w:r>
              <w:t>Réglage interne, non indépendant.</w:t>
            </w:r>
          </w:p>
        </w:tc>
      </w:tr>
      <w:tr>
        <w:trPr>
          <w:cantSplit/>
        </w:trPr>
        <w:tc>
          <w:tcPr>
            <w:tcW w:type="dxa" w:w="3184"/>
          </w:tcPr>
          <w:p>
            <w:r>
              <w:rPr>
                <w:sz w:val="16"/>
              </w:rPr>
              <w:t>Holdout historique (4 052)</w:t>
            </w:r>
          </w:p>
        </w:tc>
        <w:tc>
          <w:tcPr>
            <w:tcW w:type="dxa" w:w="3184"/>
          </w:tcPr>
          <w:p>
            <w:r>
              <w:rPr>
                <w:sz w:val="16"/>
              </w:rPr>
              <w:t>Déjà consulté pour une autre variante</w:t>
            </w:r>
          </w:p>
        </w:tc>
        <w:tc>
          <w:tcPr>
            <w:tcW w:type="dxa" w:w="3184"/>
          </w:tcPr>
          <w:p>
            <w:r>
              <w:rPr>
                <w:sz w:val="16"/>
              </w:rPr>
              <w:t>Non réutilisable comme test final FT</w:t>
            </w:r>
          </w:p>
        </w:tc>
      </w:tr>
      <w:tr>
        <w:trPr>
          <w:cantSplit/>
        </w:trPr>
        <w:tc>
          <w:tcPr>
            <w:tcW w:type="dxa" w:w="3184"/>
          </w:tcPr>
          <w:p>
            <w:r>
              <w:rPr>
                <w:sz w:val="16"/>
              </w:rPr>
              <w:t>Nouvelle cohorte : à collecter</w:t>
            </w:r>
          </w:p>
        </w:tc>
        <w:tc>
          <w:tcPr>
            <w:tcW w:type="dxa" w:w="3184"/>
          </w:tcPr>
          <w:p>
            <w:r>
              <w:rPr>
                <w:sz w:val="16"/>
              </w:rPr>
              <w:t>Séquences inédites, contrôle homologie, protocole gelé</w:t>
            </w:r>
          </w:p>
        </w:tc>
        <w:tc>
          <w:tcPr>
            <w:tcW w:type="dxa" w:w="3184"/>
          </w:tcPr>
          <w:p>
            <w:r>
              <w:rPr>
                <w:sz w:val="16"/>
              </w:rPr>
              <w:t>Validation indépendante NON réalisée</w:t>
            </w:r>
          </w:p>
        </w:tc>
      </w:tr>
    </w:tbl>
    <w:p>
      <w:pPr>
        <w:pStyle w:val="Heading2"/>
      </w:pPr>
      <w:r>
        <w:t>E.3 Validation prospective (non réalisée)</w:t>
      </w:r>
    </w:p>
    <w:p>
      <w:r>
        <w:t>Avant l’accès à une cohorte nouvelle, préenregistrer le protocole et figer le checkpoint (SHA-256), le calibrateur (SHA-256), le seuil, la politique de longueur, la définition expérimentale de « soluble » et les métriques. Dédupliquer et auditer les homologies par rapport à toutes les partitions déjà exploitées, en documentant identité, couverture et cas ambigus. Exporter les identifiants, longueurs, groupes, labels, scores calibrés et provenance ; évaluer une seule fois sans réoptimiser après observation. Rapporter AUC ROC, PR-AUC, Brier, ECE, rappel, précision et matrice de confusion avec les effectifs, pour l’ensemble et par tranche ≤ 512 AA, 513–1 022 AA, &gt; 1 022 AA. Pour 513–1 022 AA, recalibrer sur des données distinctes si nécessaire. Cette validation indépendante et le pilote biologique comparatif constituent des perspectives NON réalisées.</w:t>
      </w:r>
    </w:p>
    <w:p>
      <w:r>
        <w:t>La recherche PDB/UniProt et les recommandations de tags et d’hôtes restent une aide à la conception fondée sur des règles métier : aucune efficacité expérimentale de ces recommandations n’est prédite ou validée par le classifieur.</w:t>
      </w:r>
    </w:p>
    <w:p>
      <w:pPr>
        <w:pStyle w:val="Smallnote"/>
      </w:pPr>
      <w:r>
        <w:t>Version documentaire du 29 octobre 2026. Les budgets sont des hypothèses prospectives ; les évaluations rétrospectives sur Tune ne constituent pas une validation indépendante.</w:t>
      </w:r>
    </w:p>
    <w:p>
      <w:r>
        <w:br w:type="page"/>
      </w:r>
    </w:p>
    <w:p>
      <w:pPr>
        <w:pStyle w:val="Eyebrow"/>
      </w:pPr>
      <w:r>
        <w:t>7. ANNEXES</w:t>
      </w:r>
    </w:p>
    <w:p>
      <w:pPr>
        <w:pStyle w:val="Heading1"/>
      </w:pPr>
      <w:r>
        <w:t>Annexe F — Évaluation rétrospective et preuves de traçabilité</w:t>
      </w:r>
    </w:p>
    <w:p>
      <w:pPr>
        <w:pStyle w:val="Heading2"/>
      </w:pPr>
      <w:r>
        <w:t>F.1 Résultats documentés sur Tune (développement)</w:t>
      </w:r>
    </w:p>
    <w:p>
      <w:pPr/>
      <w:r>
        <w:t>Le tableau ci-dessous provient de resultats/evaluation_v1/metriques_par_partition.csv ; il correspond à la sortie du script d’évaluation exécuté en lecture seule sur un CSV reconstruit. Tous les résultats concernent le jeu DeepSol Tune déjà utilisé pendant le développement. La valeur 0,832857 n’est donc pas une mesure finale sur données inédites. Pour les longueurs supérieures à 512 AA, ces chiffres décrivent le protocole historique de troncature à 512 AA, pas une validation du mode expérimental à 1 022 AA.</w:t>
      </w:r>
    </w:p>
    <w:tbl>
      <w:tblPr>
        <w:tblStyle w:val="TableGrid"/>
        <w:tblW w:type="auto" w:w="0"/>
        <w:jc w:val="center"/>
        <w:tblLayout w:type="autofit"/>
        <w:tblLook w:firstColumn="1" w:firstRow="1" w:lastColumn="0" w:lastRow="0" w:noHBand="0" w:noVBand="1" w:val="04A0"/>
      </w:tblPr>
      <w:tblGrid>
        <w:gridCol w:w="1911"/>
        <w:gridCol w:w="1911"/>
        <w:gridCol w:w="1911"/>
        <w:gridCol w:w="1911"/>
        <w:gridCol w:w="1911"/>
      </w:tblGrid>
      <w:tr>
        <w:trPr>
          <w:tblHeader w:val="true"/>
        </w:trPr>
        <w:tc>
          <w:tcPr>
            <w:tcW w:type="dxa" w:w="1911"/>
            <w:shd w:fill="173E4E"/>
            <w:vAlign w:val="center"/>
          </w:tcPr>
          <w:p>
            <w:pPr>
              <w:spacing w:after="0" w:before="0" w:line="230" w:lineRule="auto"/>
            </w:pPr>
            <w:r>
              <w:rPr>
                <w:b/>
                <w:color w:val="FFFFFF"/>
                <w:sz w:val="11"/>
              </w:rPr>
              <w:t>Population / entrée 512 AA</w:t>
            </w:r>
          </w:p>
        </w:tc>
        <w:tc>
          <w:tcPr>
            <w:tcW w:type="dxa" w:w="1911"/>
            <w:shd w:fill="173E4E"/>
            <w:vAlign w:val="center"/>
          </w:tcPr>
          <w:p>
            <w:pPr>
              <w:spacing w:after="0" w:before="0" w:line="230" w:lineRule="auto"/>
            </w:pPr>
            <w:r>
              <w:rPr>
                <w:b/>
                <w:color w:val="FFFFFF"/>
                <w:sz w:val="11"/>
              </w:rPr>
              <w:t>N</w:t>
            </w:r>
          </w:p>
        </w:tc>
        <w:tc>
          <w:tcPr>
            <w:tcW w:type="dxa" w:w="1911"/>
            <w:shd w:fill="173E4E"/>
            <w:vAlign w:val="center"/>
          </w:tcPr>
          <w:p>
            <w:pPr>
              <w:spacing w:after="0" w:before="0" w:line="230" w:lineRule="auto"/>
            </w:pPr>
            <w:r>
              <w:rPr>
                <w:b/>
                <w:color w:val="FFFFFF"/>
                <w:sz w:val="11"/>
              </w:rPr>
              <w:t>AUC ROC</w:t>
            </w:r>
          </w:p>
        </w:tc>
        <w:tc>
          <w:tcPr>
            <w:tcW w:type="dxa" w:w="1911"/>
            <w:shd w:fill="173E4E"/>
            <w:vAlign w:val="center"/>
          </w:tcPr>
          <w:p>
            <w:pPr>
              <w:spacing w:after="0" w:before="0" w:line="230" w:lineRule="auto"/>
            </w:pPr>
            <w:r>
              <w:rPr>
                <w:b/>
                <w:color w:val="FFFFFF"/>
                <w:sz w:val="11"/>
              </w:rPr>
              <w:t>PR-AUC (AP)</w:t>
            </w:r>
          </w:p>
        </w:tc>
        <w:tc>
          <w:tcPr>
            <w:tcW w:type="dxa" w:w="1911"/>
            <w:shd w:fill="173E4E"/>
            <w:vAlign w:val="center"/>
          </w:tcPr>
          <w:p>
            <w:pPr>
              <w:spacing w:after="0" w:before="0" w:line="230" w:lineRule="auto"/>
            </w:pPr>
            <w:r>
              <w:rPr>
                <w:b/>
                <w:color w:val="FFFFFF"/>
                <w:sz w:val="11"/>
              </w:rPr>
              <w:t>Brier*</w:t>
            </w:r>
          </w:p>
        </w:tc>
      </w:tr>
      <w:tr>
        <w:tc>
          <w:tcPr>
            <w:tcW w:type="dxa" w:w="1911"/>
            <w:vAlign w:val="center"/>
          </w:tcPr>
          <w:p>
            <w:pPr>
              <w:spacing w:after="0" w:before="0" w:line="230" w:lineRule="auto"/>
            </w:pPr>
            <w:r>
              <w:rPr>
                <w:sz w:val="11"/>
              </w:rPr>
              <w:t>Tune — ensemble</w:t>
            </w:r>
          </w:p>
        </w:tc>
        <w:tc>
          <w:tcPr>
            <w:tcW w:type="dxa" w:w="1911"/>
            <w:vAlign w:val="center"/>
          </w:tcPr>
          <w:p>
            <w:pPr>
              <w:spacing w:after="0" w:before="0" w:line="230" w:lineRule="auto"/>
            </w:pPr>
            <w:r>
              <w:rPr>
                <w:sz w:val="11"/>
              </w:rPr>
              <w:t>4 052</w:t>
            </w:r>
          </w:p>
        </w:tc>
        <w:tc>
          <w:tcPr>
            <w:tcW w:type="dxa" w:w="1911"/>
            <w:vAlign w:val="center"/>
          </w:tcPr>
          <w:p>
            <w:pPr>
              <w:spacing w:after="0" w:before="0" w:line="230" w:lineRule="auto"/>
            </w:pPr>
            <w:r>
              <w:rPr>
                <w:sz w:val="11"/>
              </w:rPr>
              <w:t>0,832857</w:t>
            </w:r>
          </w:p>
        </w:tc>
        <w:tc>
          <w:tcPr>
            <w:tcW w:type="dxa" w:w="1911"/>
            <w:vAlign w:val="center"/>
          </w:tcPr>
          <w:p>
            <w:pPr>
              <w:spacing w:after="0" w:before="0" w:line="230" w:lineRule="auto"/>
            </w:pPr>
            <w:r>
              <w:rPr>
                <w:sz w:val="11"/>
              </w:rPr>
              <w:t>0,786022</w:t>
            </w:r>
          </w:p>
        </w:tc>
        <w:tc>
          <w:tcPr>
            <w:tcW w:type="dxa" w:w="1911"/>
            <w:vAlign w:val="center"/>
          </w:tcPr>
          <w:p>
            <w:pPr>
              <w:spacing w:after="0" w:before="0" w:line="230" w:lineRule="auto"/>
            </w:pPr>
            <w:r>
              <w:rPr>
                <w:sz w:val="11"/>
              </w:rPr>
              <w:t>0,161064</w:t>
            </w:r>
          </w:p>
        </w:tc>
      </w:tr>
      <w:tr>
        <w:tc>
          <w:tcPr>
            <w:tcW w:type="dxa" w:w="1911"/>
            <w:vAlign w:val="center"/>
          </w:tcPr>
          <w:p>
            <w:pPr>
              <w:spacing w:after="0" w:before="0" w:line="230" w:lineRule="auto"/>
            </w:pPr>
            <w:r>
              <w:rPr>
                <w:sz w:val="11"/>
              </w:rPr>
              <w:t>Longueur ≤ 512 AA</w:t>
            </w:r>
          </w:p>
        </w:tc>
        <w:tc>
          <w:tcPr>
            <w:tcW w:type="dxa" w:w="1911"/>
            <w:vAlign w:val="center"/>
          </w:tcPr>
          <w:p>
            <w:pPr>
              <w:spacing w:after="0" w:before="0" w:line="230" w:lineRule="auto"/>
            </w:pPr>
            <w:r>
              <w:rPr>
                <w:sz w:val="11"/>
              </w:rPr>
              <w:t>3 672</w:t>
            </w:r>
          </w:p>
        </w:tc>
        <w:tc>
          <w:tcPr>
            <w:tcW w:type="dxa" w:w="1911"/>
            <w:vAlign w:val="center"/>
          </w:tcPr>
          <w:p>
            <w:pPr>
              <w:spacing w:after="0" w:before="0" w:line="230" w:lineRule="auto"/>
            </w:pPr>
            <w:r>
              <w:rPr>
                <w:sz w:val="11"/>
              </w:rPr>
              <w:t>0,834522</w:t>
            </w:r>
          </w:p>
        </w:tc>
        <w:tc>
          <w:tcPr>
            <w:tcW w:type="dxa" w:w="1911"/>
            <w:vAlign w:val="center"/>
          </w:tcPr>
          <w:p>
            <w:pPr>
              <w:spacing w:after="0" w:before="0" w:line="230" w:lineRule="auto"/>
            </w:pPr>
            <w:r>
              <w:rPr>
                <w:sz w:val="11"/>
              </w:rPr>
              <w:t>0,789178</w:t>
            </w:r>
          </w:p>
        </w:tc>
        <w:tc>
          <w:tcPr>
            <w:tcW w:type="dxa" w:w="1911"/>
            <w:vAlign w:val="center"/>
          </w:tcPr>
          <w:p>
            <w:pPr>
              <w:spacing w:after="0" w:before="0" w:line="230" w:lineRule="auto"/>
            </w:pPr>
            <w:r>
              <w:rPr>
                <w:sz w:val="11"/>
              </w:rPr>
              <w:t>0,161005</w:t>
            </w:r>
          </w:p>
        </w:tc>
      </w:tr>
      <w:tr>
        <w:tc>
          <w:tcPr>
            <w:tcW w:type="dxa" w:w="1911"/>
            <w:vAlign w:val="center"/>
          </w:tcPr>
          <w:p>
            <w:pPr>
              <w:spacing w:after="0" w:before="0" w:line="230" w:lineRule="auto"/>
            </w:pPr>
            <w:r>
              <w:rPr>
                <w:sz w:val="11"/>
              </w:rPr>
              <w:t>Longueur 513–1 022 AA</w:t>
            </w:r>
          </w:p>
        </w:tc>
        <w:tc>
          <w:tcPr>
            <w:tcW w:type="dxa" w:w="1911"/>
            <w:vAlign w:val="center"/>
          </w:tcPr>
          <w:p>
            <w:pPr>
              <w:spacing w:after="0" w:before="0" w:line="230" w:lineRule="auto"/>
            </w:pPr>
            <w:r>
              <w:rPr>
                <w:sz w:val="11"/>
              </w:rPr>
              <w:t>360</w:t>
            </w:r>
          </w:p>
        </w:tc>
        <w:tc>
          <w:tcPr>
            <w:tcW w:type="dxa" w:w="1911"/>
            <w:vAlign w:val="center"/>
          </w:tcPr>
          <w:p>
            <w:pPr>
              <w:spacing w:after="0" w:before="0" w:line="230" w:lineRule="auto"/>
            </w:pPr>
            <w:r>
              <w:rPr>
                <w:sz w:val="11"/>
              </w:rPr>
              <w:t>0,813852</w:t>
            </w:r>
          </w:p>
        </w:tc>
        <w:tc>
          <w:tcPr>
            <w:tcW w:type="dxa" w:w="1911"/>
            <w:vAlign w:val="center"/>
          </w:tcPr>
          <w:p>
            <w:pPr>
              <w:spacing w:after="0" w:before="0" w:line="230" w:lineRule="auto"/>
            </w:pPr>
            <w:r>
              <w:rPr>
                <w:sz w:val="11"/>
              </w:rPr>
              <w:t>0,750544</w:t>
            </w:r>
          </w:p>
        </w:tc>
        <w:tc>
          <w:tcPr>
            <w:tcW w:type="dxa" w:w="1911"/>
            <w:vAlign w:val="center"/>
          </w:tcPr>
          <w:p>
            <w:pPr>
              <w:spacing w:after="0" w:before="0" w:line="230" w:lineRule="auto"/>
            </w:pPr>
            <w:r>
              <w:rPr>
                <w:sz w:val="11"/>
              </w:rPr>
              <w:t>0,161934</w:t>
            </w:r>
          </w:p>
        </w:tc>
      </w:tr>
      <w:tr>
        <w:tc>
          <w:tcPr>
            <w:tcW w:type="dxa" w:w="1911"/>
            <w:vAlign w:val="center"/>
          </w:tcPr>
          <w:p>
            <w:pPr>
              <w:spacing w:after="0" w:before="0" w:line="230" w:lineRule="auto"/>
            </w:pPr>
            <w:r>
              <w:rPr>
                <w:sz w:val="11"/>
              </w:rPr>
              <w:t>Longueur &gt; 1 022 AA</w:t>
            </w:r>
          </w:p>
        </w:tc>
        <w:tc>
          <w:tcPr>
            <w:tcW w:type="dxa" w:w="1911"/>
            <w:vAlign w:val="center"/>
          </w:tcPr>
          <w:p>
            <w:pPr>
              <w:spacing w:after="0" w:before="0" w:line="230" w:lineRule="auto"/>
            </w:pPr>
            <w:r>
              <w:rPr>
                <w:sz w:val="11"/>
              </w:rPr>
              <w:t>20</w:t>
            </w:r>
          </w:p>
        </w:tc>
        <w:tc>
          <w:tcPr>
            <w:tcW w:type="dxa" w:w="1911"/>
            <w:vAlign w:val="center"/>
          </w:tcPr>
          <w:p>
            <w:pPr>
              <w:spacing w:after="0" w:before="0" w:line="230" w:lineRule="auto"/>
            </w:pPr>
            <w:r>
              <w:rPr>
                <w:sz w:val="11"/>
              </w:rPr>
              <w:t>0,854167</w:t>
            </w:r>
          </w:p>
        </w:tc>
        <w:tc>
          <w:tcPr>
            <w:tcW w:type="dxa" w:w="1911"/>
            <w:vAlign w:val="center"/>
          </w:tcPr>
          <w:p>
            <w:pPr>
              <w:spacing w:after="0" w:before="0" w:line="230" w:lineRule="auto"/>
            </w:pPr>
            <w:r>
              <w:rPr>
                <w:sz w:val="11"/>
              </w:rPr>
              <w:t>0,814782</w:t>
            </w:r>
          </w:p>
        </w:tc>
        <w:tc>
          <w:tcPr>
            <w:tcW w:type="dxa" w:w="1911"/>
            <w:vAlign w:val="center"/>
          </w:tcPr>
          <w:p>
            <w:pPr>
              <w:spacing w:after="0" w:before="0" w:line="230" w:lineRule="auto"/>
            </w:pPr>
            <w:r>
              <w:rPr>
                <w:sz w:val="11"/>
              </w:rPr>
              <w:t>0,156193</w:t>
            </w:r>
          </w:p>
        </w:tc>
      </w:tr>
    </w:tbl>
    <w:p>
      <w:pPr>
        <w:pStyle w:val="Smallnote"/>
      </w:pPr>
      <w:r>
        <w:t>* Brier et ECE sont calculés sur un export rétrospectif de probabilités Platt reconstituées à partir des probabilités historiques de la campagne (via une transformation logit inverse) : ils ne doivent pas être présentés comme une calibration externe vérifiée à partir de nouveaux logits. Sur l’ensemble de Tune, ECE (10 classes) = 0,028819 ; rappel = 0,812461 ; précision = 0,613128 au seuil historique 0,296491.</w:t>
      </w:r>
    </w:p>
    <w:p>
      <w:pPr>
        <w:pStyle w:val="Heading2"/>
      </w:pPr>
      <w:r>
        <w:t>F.2 Matrice de confusion rétrospective et coûts simulés</w:t>
      </w:r>
    </w:p>
    <w:tbl>
      <w:tblPr>
        <w:tblStyle w:val="TableGrid"/>
        <w:tblW w:type="auto" w:w="0"/>
        <w:jc w:val="center"/>
        <w:tblLayout w:type="autofit"/>
        <w:tblLook w:firstColumn="1" w:firstRow="1" w:lastColumn="0" w:lastRow="0" w:noHBand="0" w:noVBand="1" w:val="04A0"/>
      </w:tblPr>
      <w:tblGrid>
        <w:gridCol w:w="1592"/>
        <w:gridCol w:w="1592"/>
        <w:gridCol w:w="1592"/>
        <w:gridCol w:w="1592"/>
        <w:gridCol w:w="1592"/>
        <w:gridCol w:w="1592"/>
      </w:tblGrid>
      <w:tr>
        <w:trPr>
          <w:tblHeader w:val="true"/>
        </w:trPr>
        <w:tc>
          <w:tcPr>
            <w:tcW w:type="dxa" w:w="1592"/>
            <w:shd w:fill="173E4E"/>
            <w:vAlign w:val="center"/>
          </w:tcPr>
          <w:p>
            <w:pPr>
              <w:spacing w:after="0" w:before="0" w:line="230" w:lineRule="auto"/>
            </w:pPr>
            <w:r>
              <w:rPr>
                <w:b/>
                <w:color w:val="FFFFFF"/>
                <w:sz w:val="11"/>
              </w:rPr>
              <w:t>Sous-ensemble</w:t>
            </w:r>
          </w:p>
        </w:tc>
        <w:tc>
          <w:tcPr>
            <w:tcW w:type="dxa" w:w="1592"/>
            <w:shd w:fill="173E4E"/>
            <w:vAlign w:val="center"/>
          </w:tcPr>
          <w:p>
            <w:pPr>
              <w:spacing w:after="0" w:before="0" w:line="230" w:lineRule="auto"/>
            </w:pPr>
            <w:r>
              <w:rPr>
                <w:b/>
                <w:color w:val="FFFFFF"/>
                <w:sz w:val="11"/>
              </w:rPr>
              <w:t>TN</w:t>
            </w:r>
          </w:p>
        </w:tc>
        <w:tc>
          <w:tcPr>
            <w:tcW w:type="dxa" w:w="1592"/>
            <w:shd w:fill="173E4E"/>
            <w:vAlign w:val="center"/>
          </w:tcPr>
          <w:p>
            <w:pPr>
              <w:spacing w:after="0" w:before="0" w:line="230" w:lineRule="auto"/>
            </w:pPr>
            <w:r>
              <w:rPr>
                <w:b/>
                <w:color w:val="FFFFFF"/>
                <w:sz w:val="11"/>
              </w:rPr>
              <w:t>FP</w:t>
            </w:r>
          </w:p>
        </w:tc>
        <w:tc>
          <w:tcPr>
            <w:tcW w:type="dxa" w:w="1592"/>
            <w:shd w:fill="173E4E"/>
            <w:vAlign w:val="center"/>
          </w:tcPr>
          <w:p>
            <w:pPr>
              <w:spacing w:after="0" w:before="0" w:line="230" w:lineRule="auto"/>
            </w:pPr>
            <w:r>
              <w:rPr>
                <w:b/>
                <w:color w:val="FFFFFF"/>
                <w:sz w:val="11"/>
              </w:rPr>
              <w:t>FN</w:t>
            </w:r>
          </w:p>
        </w:tc>
        <w:tc>
          <w:tcPr>
            <w:tcW w:type="dxa" w:w="1592"/>
            <w:shd w:fill="173E4E"/>
            <w:vAlign w:val="center"/>
          </w:tcPr>
          <w:p>
            <w:pPr>
              <w:spacing w:after="0" w:before="0" w:line="230" w:lineRule="auto"/>
            </w:pPr>
            <w:r>
              <w:rPr>
                <w:b/>
                <w:color w:val="FFFFFF"/>
                <w:sz w:val="11"/>
              </w:rPr>
              <w:t>TP</w:t>
            </w:r>
          </w:p>
        </w:tc>
        <w:tc>
          <w:tcPr>
            <w:tcW w:type="dxa" w:w="1592"/>
            <w:shd w:fill="173E4E"/>
            <w:vAlign w:val="center"/>
          </w:tcPr>
          <w:p>
            <w:pPr>
              <w:spacing w:after="0" w:before="0" w:line="230" w:lineRule="auto"/>
            </w:pPr>
            <w:r>
              <w:rPr>
                <w:b/>
                <w:color w:val="FFFFFF"/>
                <w:sz w:val="11"/>
              </w:rPr>
              <w:t>Coût simulé (€)</w:t>
            </w:r>
          </w:p>
        </w:tc>
      </w:tr>
      <w:tr>
        <w:tc>
          <w:tcPr>
            <w:tcW w:type="dxa" w:w="1592"/>
            <w:vAlign w:val="center"/>
          </w:tcPr>
          <w:p>
            <w:pPr>
              <w:spacing w:after="0" w:before="0" w:line="230" w:lineRule="auto"/>
            </w:pPr>
            <w:r>
              <w:rPr>
                <w:sz w:val="11"/>
              </w:rPr>
              <w:t>Tune, n = 4 052</w:t>
            </w:r>
          </w:p>
        </w:tc>
        <w:tc>
          <w:tcPr>
            <w:tcW w:type="dxa" w:w="1592"/>
            <w:vAlign w:val="center"/>
          </w:tcPr>
          <w:p>
            <w:pPr>
              <w:spacing w:after="0" w:before="0" w:line="230" w:lineRule="auto"/>
            </w:pPr>
            <w:r>
              <w:rPr>
                <w:sz w:val="11"/>
              </w:rPr>
              <w:t>1 600</w:t>
            </w:r>
          </w:p>
        </w:tc>
        <w:tc>
          <w:tcPr>
            <w:tcW w:type="dxa" w:w="1592"/>
            <w:vAlign w:val="center"/>
          </w:tcPr>
          <w:p>
            <w:pPr>
              <w:spacing w:after="0" w:before="0" w:line="230" w:lineRule="auto"/>
            </w:pPr>
            <w:r>
              <w:rPr>
                <w:sz w:val="11"/>
              </w:rPr>
              <w:t>831</w:t>
            </w:r>
          </w:p>
        </w:tc>
        <w:tc>
          <w:tcPr>
            <w:tcW w:type="dxa" w:w="1592"/>
            <w:vAlign w:val="center"/>
          </w:tcPr>
          <w:p>
            <w:pPr>
              <w:spacing w:after="0" w:before="0" w:line="230" w:lineRule="auto"/>
            </w:pPr>
            <w:r>
              <w:rPr>
                <w:sz w:val="11"/>
              </w:rPr>
              <w:t>304</w:t>
            </w:r>
          </w:p>
        </w:tc>
        <w:tc>
          <w:tcPr>
            <w:tcW w:type="dxa" w:w="1592"/>
            <w:vAlign w:val="center"/>
          </w:tcPr>
          <w:p>
            <w:pPr>
              <w:spacing w:after="0" w:before="0" w:line="230" w:lineRule="auto"/>
            </w:pPr>
            <w:r>
              <w:rPr>
                <w:sz w:val="11"/>
              </w:rPr>
              <w:t>1 317</w:t>
            </w:r>
          </w:p>
        </w:tc>
        <w:tc>
          <w:tcPr>
            <w:tcW w:type="dxa" w:w="1592"/>
            <w:vAlign w:val="center"/>
          </w:tcPr>
          <w:p>
            <w:pPr>
              <w:spacing w:after="0" w:before="0" w:line="230" w:lineRule="auto"/>
            </w:pPr>
            <w:r>
              <w:rPr>
                <w:sz w:val="11"/>
              </w:rPr>
              <w:t>863 400</w:t>
            </w:r>
          </w:p>
        </w:tc>
      </w:tr>
      <w:tr>
        <w:tc>
          <w:tcPr>
            <w:tcW w:type="dxa" w:w="1592"/>
            <w:vAlign w:val="center"/>
          </w:tcPr>
          <w:p>
            <w:pPr>
              <w:spacing w:after="0" w:before="0" w:line="230" w:lineRule="auto"/>
            </w:pPr>
            <w:r>
              <w:rPr>
                <w:sz w:val="11"/>
              </w:rPr>
              <w:t>Threshold — choix seuil, n = 2 026</w:t>
            </w:r>
          </w:p>
        </w:tc>
        <w:tc>
          <w:tcPr>
            <w:tcW w:type="dxa" w:w="1592"/>
            <w:vAlign w:val="center"/>
          </w:tcPr>
          <w:p>
            <w:pPr>
              <w:spacing w:after="0" w:before="0" w:line="230" w:lineRule="auto"/>
            </w:pPr>
            <w:r>
              <w:rPr>
                <w:sz w:val="11"/>
              </w:rPr>
              <w:t>808</w:t>
            </w:r>
          </w:p>
        </w:tc>
        <w:tc>
          <w:tcPr>
            <w:tcW w:type="dxa" w:w="1592"/>
            <w:vAlign w:val="center"/>
          </w:tcPr>
          <w:p>
            <w:pPr>
              <w:spacing w:after="0" w:before="0" w:line="230" w:lineRule="auto"/>
            </w:pPr>
            <w:r>
              <w:rPr>
                <w:sz w:val="11"/>
              </w:rPr>
              <w:t>418</w:t>
            </w:r>
          </w:p>
        </w:tc>
        <w:tc>
          <w:tcPr>
            <w:tcW w:type="dxa" w:w="1592"/>
            <w:vAlign w:val="center"/>
          </w:tcPr>
          <w:p>
            <w:pPr>
              <w:spacing w:after="0" w:before="0" w:line="230" w:lineRule="auto"/>
            </w:pPr>
            <w:r>
              <w:rPr>
                <w:sz w:val="11"/>
              </w:rPr>
              <w:t>114</w:t>
            </w:r>
          </w:p>
        </w:tc>
        <w:tc>
          <w:tcPr>
            <w:tcW w:type="dxa" w:w="1592"/>
            <w:vAlign w:val="center"/>
          </w:tcPr>
          <w:p>
            <w:pPr>
              <w:spacing w:after="0" w:before="0" w:line="230" w:lineRule="auto"/>
            </w:pPr>
            <w:r>
              <w:rPr>
                <w:sz w:val="11"/>
              </w:rPr>
              <w:t>686</w:t>
            </w:r>
          </w:p>
        </w:tc>
        <w:tc>
          <w:tcPr>
            <w:tcW w:type="dxa" w:w="1592"/>
            <w:vAlign w:val="center"/>
          </w:tcPr>
          <w:p>
            <w:pPr>
              <w:spacing w:after="0" w:before="0" w:line="230" w:lineRule="auto"/>
            </w:pPr>
            <w:r>
              <w:rPr>
                <w:sz w:val="11"/>
              </w:rPr>
              <w:t>387 600</w:t>
            </w:r>
          </w:p>
        </w:tc>
      </w:tr>
    </w:tbl>
    <w:p>
      <w:pPr>
        <w:pStyle w:val="Smallnote"/>
      </w:pPr>
      <w:r>
        <w:t>Coût simulé = 1 200 € × faux négatifs + 600 € × faux positifs. Ces deux lignes ne sont pas interchangeables : sur Tune, le coût est un calcul rétrospectif après sélection ; sur Threshold, il s’agit du coût utilisé pour fixer le seuil. Ce ne sont ni des coûts de laboratoire observés, ni des économies constatées, ni des métriques indépendantes.</w:t>
      </w:r>
    </w:p>
    <w:p>
      <w:pPr>
        <w:pStyle w:val="Heading2"/>
      </w:pPr>
      <w:r>
        <w:t>F.3 Versions, fichiers consultables et limites</w:t>
      </w:r>
    </w:p>
    <w:tbl>
      <w:tblPr>
        <w:tblStyle w:val="TableGrid"/>
        <w:tblW w:type="auto" w:w="0"/>
        <w:jc w:val="center"/>
        <w:tblLayout w:type="autofit"/>
        <w:tblLook w:firstColumn="1" w:firstRow="1" w:lastColumn="0" w:lastRow="0" w:noHBand="0" w:noVBand="1" w:val="04A0"/>
      </w:tblPr>
      <w:tblGrid>
        <w:gridCol w:w="4776"/>
        <w:gridCol w:w="4776"/>
      </w:tblGrid>
      <w:tr>
        <w:trPr>
          <w:tblHeader w:val="true"/>
        </w:trPr>
        <w:tc>
          <w:tcPr>
            <w:tcW w:type="dxa" w:w="4776"/>
            <w:shd w:fill="173E4E"/>
            <w:vAlign w:val="center"/>
          </w:tcPr>
          <w:p>
            <w:pPr>
              <w:spacing w:after="0" w:before="0" w:line="230" w:lineRule="auto"/>
            </w:pPr>
            <w:r>
              <w:rPr>
                <w:b/>
                <w:color w:val="FFFFFF"/>
                <w:sz w:val="11"/>
              </w:rPr>
              <w:t>Élément</w:t>
            </w:r>
          </w:p>
        </w:tc>
        <w:tc>
          <w:tcPr>
            <w:tcW w:type="dxa" w:w="4776"/>
            <w:shd w:fill="173E4E"/>
            <w:vAlign w:val="center"/>
          </w:tcPr>
          <w:p>
            <w:pPr>
              <w:spacing w:after="0" w:before="0" w:line="230" w:lineRule="auto"/>
            </w:pPr>
            <w:r>
              <w:rPr>
                <w:b/>
                <w:color w:val="FFFFFF"/>
                <w:sz w:val="11"/>
              </w:rPr>
              <w:t>Preuve publiée / rôle</w:t>
            </w:r>
          </w:p>
        </w:tc>
      </w:tr>
      <w:tr>
        <w:tc>
          <w:tcPr>
            <w:tcW w:type="dxa" w:w="4776"/>
            <w:vAlign w:val="center"/>
          </w:tcPr>
          <w:p>
            <w:pPr>
              <w:spacing w:after="0" w:before="0" w:line="230" w:lineRule="auto"/>
            </w:pPr>
            <w:r>
              <w:rPr>
                <w:sz w:val="11"/>
              </w:rPr>
              <w:t>Architecture</w:t>
            </w:r>
          </w:p>
        </w:tc>
        <w:tc>
          <w:tcPr>
            <w:tcW w:type="dxa" w:w="4776"/>
            <w:vAlign w:val="center"/>
          </w:tcPr>
          <w:p>
            <w:pPr>
              <w:spacing w:after="0" w:before="0" w:line="230" w:lineRule="auto"/>
            </w:pPr>
            <w:r>
              <w:rPr>
                <w:sz w:val="11"/>
              </w:rPr>
              <w:t>ESM-2 150M fine-tuné (2 dernières couches) + Bio13 ; version esm2_t30_150M_UR50D_finetune_last2_bio13</w:t>
            </w:r>
          </w:p>
        </w:tc>
      </w:tr>
      <w:tr>
        <w:tc>
          <w:tcPr>
            <w:tcW w:type="dxa" w:w="4776"/>
            <w:vAlign w:val="center"/>
          </w:tcPr>
          <w:p>
            <w:pPr>
              <w:spacing w:after="0" w:before="0" w:line="230" w:lineRule="auto"/>
            </w:pPr>
            <w:r>
              <w:rPr>
                <w:sz w:val="11"/>
              </w:rPr>
              <w:t>Entrée rétrospective</w:t>
            </w:r>
          </w:p>
        </w:tc>
        <w:tc>
          <w:tcPr>
            <w:tcW w:type="dxa" w:w="4776"/>
            <w:vAlign w:val="center"/>
          </w:tcPr>
          <w:p>
            <w:pPr>
              <w:spacing w:after="0" w:before="0" w:line="230" w:lineRule="auto"/>
            </w:pPr>
            <w:r>
              <w:rPr>
                <w:sz w:val="11"/>
              </w:rPr>
              <w:t>resultats/evaluation_v1/predictions_tune_retrospectives.csv — 4 052 lignes, partition Tune</w:t>
            </w:r>
          </w:p>
        </w:tc>
      </w:tr>
      <w:tr>
        <w:tc>
          <w:tcPr>
            <w:tcW w:type="dxa" w:w="4776"/>
            <w:vAlign w:val="center"/>
          </w:tcPr>
          <w:p>
            <w:pPr>
              <w:spacing w:after="0" w:before="0" w:line="230" w:lineRule="auto"/>
            </w:pPr>
            <w:r>
              <w:rPr>
                <w:sz w:val="11"/>
              </w:rPr>
              <w:t>Résultats détaillés</w:t>
            </w:r>
          </w:p>
        </w:tc>
        <w:tc>
          <w:tcPr>
            <w:tcW w:type="dxa" w:w="4776"/>
            <w:vAlign w:val="center"/>
          </w:tcPr>
          <w:p>
            <w:pPr>
              <w:spacing w:after="0" w:before="0" w:line="230" w:lineRule="auto"/>
            </w:pPr>
            <w:r>
              <w:rPr>
                <w:sz w:val="11"/>
              </w:rPr>
              <w:t>resultats/evaluation_v1/metriques_par_partition.csv et predictions_auditees.csv</w:t>
            </w:r>
          </w:p>
        </w:tc>
      </w:tr>
      <w:tr>
        <w:tc>
          <w:tcPr>
            <w:tcW w:type="dxa" w:w="4776"/>
            <w:vAlign w:val="center"/>
          </w:tcPr>
          <w:p>
            <w:pPr>
              <w:spacing w:after="0" w:before="0" w:line="230" w:lineRule="auto"/>
            </w:pPr>
            <w:r>
              <w:rPr>
                <w:sz w:val="11"/>
              </w:rPr>
              <w:t>Manifeste de version</w:t>
            </w:r>
          </w:p>
        </w:tc>
        <w:tc>
          <w:tcPr>
            <w:tcW w:type="dxa" w:w="4776"/>
            <w:vAlign w:val="center"/>
          </w:tcPr>
          <w:p>
            <w:pPr>
              <w:spacing w:after="0" w:before="0" w:line="230" w:lineRule="auto"/>
            </w:pPr>
            <w:r>
              <w:rPr>
                <w:sz w:val="11"/>
              </w:rPr>
              <w:t>resultats/evaluation_v1/evaluation_manifest.json — version, partition, seuil, SHA-256 et métriques</w:t>
            </w:r>
          </w:p>
        </w:tc>
      </w:tr>
      <w:tr>
        <w:tc>
          <w:tcPr>
            <w:tcW w:type="dxa" w:w="4776"/>
            <w:vAlign w:val="center"/>
          </w:tcPr>
          <w:p>
            <w:pPr>
              <w:spacing w:after="0" w:before="0" w:line="230" w:lineRule="auto"/>
            </w:pPr>
            <w:r>
              <w:rPr>
                <w:sz w:val="11"/>
              </w:rPr>
              <w:t>Finalisation du seuil</w:t>
            </w:r>
          </w:p>
        </w:tc>
        <w:tc>
          <w:tcPr>
            <w:tcW w:type="dxa" w:w="4776"/>
            <w:vAlign w:val="center"/>
          </w:tcPr>
          <w:p>
            <w:pPr>
              <w:spacing w:after="0" w:before="0" w:line="230" w:lineRule="auto"/>
            </w:pPr>
            <w:r>
              <w:rPr>
                <w:sz w:val="11"/>
              </w:rPr>
              <w:t>resultats/evaluation_v1/bilan_calibration_seuil.json — Platt sur 2 026 / seuil sur 2 026</w:t>
            </w:r>
          </w:p>
        </w:tc>
      </w:tr>
      <w:tr>
        <w:tc>
          <w:tcPr>
            <w:tcW w:type="dxa" w:w="4776"/>
            <w:vAlign w:val="center"/>
          </w:tcPr>
          <w:p>
            <w:pPr>
              <w:spacing w:after="0" w:before="0" w:line="230" w:lineRule="auto"/>
            </w:pPr>
            <w:r>
              <w:rPr>
                <w:sz w:val="11"/>
              </w:rPr>
              <w:t>Reproduction analytique</w:t>
            </w:r>
          </w:p>
        </w:tc>
        <w:tc>
          <w:tcPr>
            <w:tcW w:type="dxa" w:w="4776"/>
            <w:vAlign w:val="center"/>
          </w:tcPr>
          <w:p>
            <w:pPr>
              <w:spacing w:after="0" w:before="0" w:line="230" w:lineRule="auto"/>
            </w:pPr>
            <w:r>
              <w:rPr>
                <w:sz w:val="11"/>
              </w:rPr>
              <w:t>scripts/evaluer_predictions_figees.py — recalcule depuis le CSV fourni, sans GPU ni inférence</w:t>
            </w:r>
          </w:p>
        </w:tc>
      </w:tr>
      <w:tr>
        <w:tc>
          <w:tcPr>
            <w:tcW w:type="dxa" w:w="4776"/>
            <w:vAlign w:val="center"/>
          </w:tcPr>
          <w:p>
            <w:pPr>
              <w:spacing w:after="0" w:before="0" w:line="230" w:lineRule="auto"/>
            </w:pPr>
            <w:r>
              <w:rPr>
                <w:sz w:val="11"/>
              </w:rPr>
              <w:t>Protocole et limites</w:t>
            </w:r>
          </w:p>
        </w:tc>
        <w:tc>
          <w:tcPr>
            <w:tcW w:type="dxa" w:w="4776"/>
            <w:vAlign w:val="center"/>
          </w:tcPr>
          <w:p>
            <w:pPr>
              <w:spacing w:after="0" w:before="0" w:line="230" w:lineRule="auto"/>
            </w:pPr>
            <w:r>
              <w:rPr>
                <w:sz w:val="11"/>
              </w:rPr>
              <w:t>docs/NOTE_EVALUATION.md ; docs/PROTOCOLE_EVALUATION.md ; aucune cohorte externe évaluée</w:t>
            </w:r>
          </w:p>
        </w:tc>
      </w:tr>
    </w:tbl>
    <w:p>
      <w:pPr/>
      <w:r>
        <w:t>Le manifeste contient les empreintes SHA-256 du checkpoint et du calibrateur, concordantes avec la finalisation. Le script recalcule des métriques à partir de prédictions enregistrées ; il ne prouve ni l’équivalence exacte avec les logits issus du checkpoint, ni l’indépendance des protéines. La validation externe, la calibration du mode 1 022 AA et le gain économique restent à établir.</w:t>
      </w:r>
    </w:p>
    <w:p>
      <w:pPr>
        <w:pStyle w:val="Smallnote"/>
      </w:pPr>
      <w:r>
        <w:t>Source : github.com/fatimaadda2878/protein-solubility-api · 29 octobre 2026.</w:t>
      </w:r>
    </w:p>
    <w:sectPr w:rsidR="00FC693F" w:rsidRPr="0006063C" w:rsidSect="00034616">
      <w:headerReference w:type="default" r:id="rId9"/>
      <w:footerReference w:type="default" r:id="rId10"/>
      <w:pgSz w:w="11906" w:h="16838"/>
      <w:pgMar w:top="1151" w:right="1162" w:bottom="992" w:left="1191" w:header="408"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717C"/>
        <w:sz w:val="16"/>
      </w:rPr>
      <w:t xml:space="preserve">Fatima ADDA-REZIG  •  29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47A80"/>
        <w:sz w:val="16"/>
      </w:rPr>
      <w:t>RAPPORT DE CONDUITE DE PROJET  /  DATA &amp; ML     •     RAPPORT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F34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ptos Display" w:hAnsi="Aptos Display"/>
      <w:b/>
      <w:bCs/>
      <w:color w:val="17334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7A8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3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7334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40"/>
    </w:pPr>
    <w:rPr>
      <w:rFonts w:ascii="Aptos" w:hAnsi="Aptos"/>
      <w:b/>
      <w:color w:val="147A80"/>
      <w:sz w:val="18"/>
    </w:rPr>
  </w:style>
  <w:style w:type="paragraph" w:customStyle="1" w:styleId="Smallnote">
    <w:name w:val="Small note"/>
    <w:pPr>
      <w:spacing w:after="100"/>
    </w:pPr>
    <w:rPr>
      <w:rFonts w:ascii="Aptos" w:hAnsi="Aptos"/>
      <w:color w:val="52717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conduite de projet Data &amp; ML – Protein Solubility</dc:title>
  <dc:subject>Solubilité protéique, ESM-2 150M fine-tuné, données, calibration, budgets, évaluation rétrospective</dc:subject>
  <dc:creator>Fatima ADDA-REZIG</dc:creator>
  <cp:keywords>data science, biotechnologie, solubilité protéique, ESM-2, reproductibilité</cp:keywords>
  <dc:description>generated by python-docx</dc:description>
  <cp:lastModifiedBy/>
  <cp:revision>1</cp:revision>
  <dcterms:created xsi:type="dcterms:W3CDTF">2013-12-23T23:15:00Z</dcterms:created>
  <dcterms:modified xsi:type="dcterms:W3CDTF">2013-12-23T23:15:00Z</dcterms:modified>
  <cp:category/>
</cp:coreProperties>
</file>