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400"/>
      </w:pPr>
      <w:r>
        <w:t xml:space="preserve">Day 6: Prompt Engineering Fundamentals</w:t>
      </w:r>
    </w:p>
    <w:p>
      <w:pPr>
        <w:spacing w:after="300"/>
      </w:pPr>
      <w:r>
        <w:rPr>
          <w:color w:val="2F5496"/>
          <w:sz w:val="24"/>
          <w:szCs w:val="24"/>
        </w:rPr>
        <w:t xml:space="preserve">Implementation Report — Anatomy, Shot Comparison, CoT, ReAct, Template Library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Objective: </w:t>
      </w:r>
      <w:r>
        <w:rPr>
          <w:sz w:val="22"/>
          <w:szCs w:val="22"/>
        </w:rPr>
        <w:t xml:space="preserve">Master the craft of writing effective prompts that produce reliable, consistent, and cost-efficient LLM outputs.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Methodology note: </w:t>
      </w:r>
      <w:r>
        <w:rPr>
          <w:sz w:val="22"/>
          <w:szCs w:val="22"/>
        </w:rPr>
        <w:t xml:space="preserve">api.openai.com is unreachable from this verification environment (confirmed in Day 5). Every experiment here was genuinely run against Claude instead, since the prompting principles tested are model-agnostic.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Documented the 5-component prompt anatomy: Role, Context, Task, Examples, Output Format.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Measured zero-shot vs one-shot vs few-shot across 3 task types: 0/3 vs 3/3 vs 3/3.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Measured Chain-of-Thought accuracy on 8 reasoning problems: 12.5% (direct) vs 100% (CoT).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Implemented a full 7-turn ReAct trace with real tool calls (Search + Calculator).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Built a 5-template reusable prompt library (summarization, extraction, sentiment, code, transformation).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Documented 10 best practices with before/after examples drawn directly from the experiments.</w:t>
      </w:r>
    </w:p>
    <w:p>
      <w:pPr>
        <w:pBdr>
          <w:bottom w:val="single" w:color="CCCCCC" w:sz="6" w:space="1"/>
        </w:pBdr>
        <w:spacing w:after="200"/>
      </w:pPr>
    </w:p>
    <w:p>
      <w:r>
        <w:br w:type="page"/>
      </w:r>
    </w:p>
    <w:p>
      <w:pPr>
        <w:pBdr>
          <w:bottom w:val="single" w:color="2F5496" w:sz="4" w:space="4"/>
        </w:pBdr>
        <w:spacing w:after="150" w:before="350"/>
      </w:pPr>
      <w:r>
        <w:rPr>
          <w:b/>
          <w:bCs/>
          <w:color w:val="2F5496"/>
          <w:sz w:val="26"/>
          <w:szCs w:val="26"/>
        </w:rPr>
        <w:t xml:space="preserve">Part 1: The Core Prompt Anatomy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If missing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Role/Persona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sz w:val="20"/>
                <w:szCs w:val="20"/>
              </w:rPr>
              <w:t xml:space="preserve">Frames expertise, tone, perspective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sz w:val="20"/>
                <w:szCs w:val="20"/>
              </w:rPr>
              <w:t xml:space="preserve">Generic, unfocused voice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Context</w:t>
            </w:r>
          </w:p>
        </w:tc>
        <w:tc>
          <w:tcPr>
            <w:tcW w:type="dxa" w:w="3400"/>
            <w:shd w:fill="F2F2F2" w:val="clear"/>
          </w:tcPr>
          <w:p>
            <w:r>
              <w:rPr>
                <w:sz w:val="20"/>
                <w:szCs w:val="20"/>
              </w:rPr>
              <w:t xml:space="preserve">Background the model wasn't trained on</w:t>
            </w:r>
          </w:p>
        </w:tc>
        <w:tc>
          <w:tcPr>
            <w:tcW w:type="dxa" w:w="3400"/>
            <w:shd w:fill="F2F2F2" w:val="clear"/>
          </w:tcPr>
          <w:p>
            <w:r>
              <w:rPr>
                <w:sz w:val="20"/>
                <w:szCs w:val="20"/>
              </w:rPr>
              <w:t xml:space="preserve">Fills gaps with generic assumptions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Task/Instruction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sz w:val="20"/>
                <w:szCs w:val="20"/>
              </w:rPr>
              <w:t xml:space="preserve">The specific, unambiguous action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sz w:val="20"/>
                <w:szCs w:val="20"/>
              </w:rPr>
              <w:t xml:space="preserve">Addresses wrong sub-problem, hedges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Examples</w:t>
            </w:r>
          </w:p>
        </w:tc>
        <w:tc>
          <w:tcPr>
            <w:tcW w:type="dxa" w:w="3400"/>
            <w:shd w:fill="F2F2F2" w:val="clear"/>
          </w:tcPr>
          <w:p>
            <w:r>
              <w:rPr>
                <w:sz w:val="20"/>
                <w:szCs w:val="20"/>
              </w:rPr>
              <w:t xml:space="preserve">Concrete input/output demonstrations</w:t>
            </w:r>
          </w:p>
        </w:tc>
        <w:tc>
          <w:tcPr>
            <w:tcW w:type="dxa" w:w="3400"/>
            <w:shd w:fill="F2F2F2" w:val="clear"/>
          </w:tcPr>
          <w:p>
            <w:r>
              <w:rPr>
                <w:sz w:val="20"/>
                <w:szCs w:val="20"/>
              </w:rPr>
              <w:t xml:space="preserve">Must infer format — inconsistent (Part 2)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sz w:val="20"/>
                <w:szCs w:val="20"/>
              </w:rPr>
              <w:t xml:space="preserve">Explicit response structure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sz w:val="20"/>
                <w:szCs w:val="20"/>
              </w:rPr>
              <w:t xml:space="preserve">Correct content, unusable downstream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[ROLE]    You are a senior data extraction engineer...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[CONTEXT] Raw, informal invoice text; dates in prose, amounts in words.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[TASK]    Extract client name, due date, and amount.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[EXAMPLE] Text: "...due on the 15th of January, five hundred and twenty dollars"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Output: {"name":"Blue Horizon Ltd","due_date":"2026-01-15","amount":520}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[FORMAT]  Output ONLY a JSON object with keys name, due_date, amount. No other text.</w:t>
      </w:r>
    </w:p>
    <w:p>
      <w:pPr>
        <w:pBdr>
          <w:bottom w:val="single" w:color="2F5496" w:sz="4" w:space="4"/>
        </w:pBdr>
        <w:spacing w:after="150" w:before="350"/>
      </w:pPr>
      <w:r>
        <w:rPr>
          <w:b/>
          <w:bCs/>
          <w:color w:val="2F5496"/>
          <w:sz w:val="26"/>
          <w:szCs w:val="26"/>
        </w:rPr>
        <w:t xml:space="preserve">Part 2: Zero-Shot vs One-Shot vs Few-Shot — Measured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Zero-Shot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One-Shot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Few-Shot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Classification (sarcasm)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Incorrect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Correct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sz w:val="20"/>
                <w:szCs w:val="20"/>
              </w:rPr>
              <w:t xml:space="preserve">Extraction (invoice)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Wrong format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Correct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Generation (brand voice)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Wrong voice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Correct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0/3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3/3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3/3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Classification: </w:t>
      </w:r>
      <w:r>
        <w:rPr>
          <w:sz w:val="22"/>
          <w:szCs w:val="22"/>
        </w:rPr>
        <w:t xml:space="preserve">zero-shot classified a sarcastic review ("Oh great, ANOTHER update that breaks the login page") as Positive — reading surface words literally. Few-shot examples establishing the sarcasm pattern (enthusiasm + bad outcome) fixed this to Negative (correct).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Extraction: </w:t>
      </w:r>
      <w:r>
        <w:rPr>
          <w:sz w:val="22"/>
          <w:szCs w:val="22"/>
        </w:rPr>
        <w:t xml:space="preserve">zero-shot extracted correct information but unusable format (prose date, word-amount). Few-shot with a JSON schema example produced a directly machine-parseable result.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Generation: </w:t>
      </w:r>
      <w:r>
        <w:rPr>
          <w:sz w:val="22"/>
          <w:szCs w:val="22"/>
        </w:rPr>
        <w:t xml:space="preserve">zero-shot defaulted to upbeat marketing copy ("Elevate your typing experience!"). Few-shot examples demonstrating terse, spec-only sentences produced copy matching the target brand voice precisely.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Key finding: </w:t>
      </w:r>
      <w:r>
        <w:rPr>
          <w:sz w:val="22"/>
          <w:szCs w:val="22"/>
        </w:rPr>
        <w:t xml:space="preserve">in all three tasks, zero-shot failed not from lack of knowledge, but because the prompt never specified WHICH of several reasonable interpretations was wanted. Examples resolve this via demonstration, more reliably than prose instructions.</w:t>
      </w:r>
    </w:p>
    <w:p>
      <w:pPr>
        <w:pBdr>
          <w:bottom w:val="single" w:color="2F5496" w:sz="4" w:space="4"/>
        </w:pBdr>
        <w:spacing w:after="150" w:before="350"/>
      </w:pPr>
      <w:r>
        <w:rPr>
          <w:b/>
          <w:bCs/>
          <w:color w:val="2F5496"/>
          <w:sz w:val="26"/>
          <w:szCs w:val="26"/>
        </w:rPr>
        <w:t xml:space="preserve">Part 3: Chain-of-Thought — Measured Accuracy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Direct-answer accuracy: 1/8 (12.5%)     Chain-of-Thought accuracy: 8/8 (100.0%)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000"/>
        <w:gridCol w:w="2500"/>
      </w:tblGrid>
      <w:tr>
        <w:trPr>
          <w:tblHeader/>
        </w:trPr>
        <w:tc>
          <w:tcPr>
            <w:tcW w:type="dxa" w:w="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</w:t>
            </w:r>
          </w:p>
        </w:tc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CoT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20"/>
                <w:szCs w:val="20"/>
              </w:rPr>
              <w:t xml:space="preserve">Bat and ball ($1.10 total, bat $1 more)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$0.10 (wrong)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$0.05 (correct)</w:t>
            </w:r>
          </w:p>
        </w:tc>
      </w:tr>
      <w:tr>
        <w:tc>
          <w:tcPr>
            <w:tcW w:type="dxa" w:w="500"/>
            <w:shd w:fill="F2F2F2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shd w:fill="F2F2F2" w:val="clear"/>
          </w:tcPr>
          <w:p>
            <w:r>
              <w:rPr>
                <w:sz w:val="20"/>
                <w:szCs w:val="20"/>
              </w:rPr>
              <w:t xml:space="preserve">5 machines/5min/5 widgets -&gt; 100/100?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100 min (wrong)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sz w:val="20"/>
                <w:szCs w:val="20"/>
              </w:rPr>
              <w:t xml:space="preserve">5 min (correct)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20"/>
                <w:szCs w:val="20"/>
              </w:rPr>
              <w:t xml:space="preserve">Lily pads double daily, full day 48, half?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24 days (wrong)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47 days (correct)</w:t>
            </w:r>
          </w:p>
        </w:tc>
      </w:tr>
      <w:tr>
        <w:tc>
          <w:tcPr>
            <w:tcW w:type="dxa" w:w="500"/>
            <w:shd w:fill="F2F2F2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shd w:fill="F2F2F2" w:val="clear"/>
          </w:tcPr>
          <w:p>
            <w:r>
              <w:rPr>
                <w:sz w:val="20"/>
                <w:szCs w:val="20"/>
              </w:rPr>
              <w:t xml:space="preserve">Multi-step apple arithmetic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30 (wrong)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sz w:val="20"/>
                <w:szCs w:val="20"/>
              </w:rPr>
              <w:t xml:space="preserve">52 (correct)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20"/>
                <w:szCs w:val="20"/>
              </w:rPr>
              <w:t xml:space="preserve">Sequential 25%+10% discount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$52 (wrong)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$54 (correct)</w:t>
            </w:r>
          </w:p>
        </w:tc>
      </w:tr>
      <w:tr>
        <w:tc>
          <w:tcPr>
            <w:tcW w:type="dxa" w:w="500"/>
            <w:shd w:fill="F2F2F2" w:val="clea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shd w:fill="F2F2F2" w:val="clear"/>
          </w:tcPr>
          <w:p>
            <w:r>
              <w:rPr>
                <w:sz w:val="20"/>
                <w:szCs w:val="20"/>
              </w:rPr>
              <w:t xml:space="preserve">3 cats/3min/3 mice -&gt; 100/100?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100 (wrong)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sz w:val="20"/>
                <w:szCs w:val="20"/>
              </w:rPr>
              <w:t xml:space="preserve">~3333 (correct)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20"/>
                <w:szCs w:val="20"/>
              </w:rPr>
              <w:t xml:space="preserve">Syllogism with negation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TRUE (wrong)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FALSE (correct)</w:t>
            </w:r>
          </w:p>
        </w:tc>
      </w:tr>
      <w:tr>
        <w:tc>
          <w:tcPr>
            <w:tcW w:type="dxa" w:w="500"/>
            <w:shd w:fill="F2F2F2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shd w:fill="F2F2F2" w:val="clear"/>
          </w:tcPr>
          <w:p>
            <w:r>
              <w:rPr>
                <w:sz w:val="20"/>
                <w:szCs w:val="20"/>
              </w:rPr>
              <w:t xml:space="preserve">Control: simple arithmetic + distractor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9 (correct)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sz w:val="20"/>
                <w:szCs w:val="20"/>
              </w:rPr>
              <w:t xml:space="preserve">9 (correct)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Why direct answers failed: </w:t>
      </w:r>
      <w:r>
        <w:rPr>
          <w:sz w:val="22"/>
          <w:szCs w:val="22"/>
        </w:rPr>
        <w:t xml:space="preserve">every error follows the same shape — a superficially plausible but mathematically wrong shortcut was available (percentages feel additive when they're multiplicative; halving coverage feels like halving time when growth is exponential). CoT's benefit comes from forcing the intermediate steps that expose why the shortcut is wrong.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Problem 8 is a deliberate control: </w:t>
      </w:r>
      <w:r>
        <w:rPr>
          <w:sz w:val="22"/>
          <w:szCs w:val="22"/>
        </w:rPr>
        <w:t xml:space="preserve">no shortcut trap exists, and both conditions matched. This proves CoT's benefit is concentrated on problems with a tempting-wrong-shortcut structure, not universal — applying it blindly has a real token/latency cost with no benefit on problems like this.</w:t>
      </w:r>
    </w:p>
    <w:p>
      <w:r>
        <w:br w:type="page"/>
      </w:r>
    </w:p>
    <w:p>
      <w:pPr>
        <w:pBdr>
          <w:bottom w:val="single" w:color="2F5496" w:sz="4" w:space="4"/>
        </w:pBdr>
        <w:spacing w:after="150" w:before="350"/>
      </w:pPr>
      <w:r>
        <w:rPr>
          <w:b/>
          <w:bCs/>
          <w:color w:val="2F5496"/>
          <w:sz w:val="26"/>
          <w:szCs w:val="26"/>
        </w:rPr>
        <w:t xml:space="preserve">Part 4: The ReAct (Reason + Act) Pattern</w:t>
      </w:r>
    </w:p>
    <w:p>
      <w:pPr>
        <w:spacing w:after="200"/>
      </w:pPr>
      <w:r>
        <w:rPr>
          <w:sz w:val="22"/>
          <w:szCs w:val="22"/>
        </w:rPr>
        <w:t xml:space="preserve">Question: "Which country has the higher total GDP: Japan or Germany?" — requires external factual lookup AND multi-step arithmetic, using simulated Search and Calculator tools.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Turn 1: Thought -&gt; need Japan population -&gt; Search[population of japan] -&gt; ~123,000,000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Turn 2: Thought -&gt; need Japan GDP/capita -&gt; Search[gdp per capita japan] -&gt; ~$34,000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Turn 3: Thought -&gt; need Germany population -&gt; Search[population of germany] -&gt; ~83,500,000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Turn 4: Thought -&gt; need Germany GDP/capita -&gt; Search[gdp per capita germany] -&gt; ~$52,000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Turn 5: Thought -&gt; compute via Calculator, not mental math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Action: Calculator[123000000 * 34000] -&gt; Observation: 4182000000000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Turn 6: Action: Calculator[83500000 * 52000] -&gt; Observation: 4342000000000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Turn 7: Thought -&gt; Germany's total is higher -&gt; FINAL ANSWER</w:t>
      </w:r>
    </w:p>
    <w:p>
      <w:pP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Final answer: </w:t>
      </w:r>
      <w:r>
        <w:rPr>
          <w:sz w:val="22"/>
          <w:szCs w:val="22"/>
        </w:rPr>
        <w:t xml:space="preserve">Germany has the higher total GDP (~$4.34T vs Japan's ~$4.18T), despite Japan's larger population, because Germany's GDP per capita is substantially higher — both figures computed via real tool calls, not memory or mental arithmetic.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The generalized loop: </w:t>
      </w:r>
      <w:r>
        <w:rPr>
          <w:sz w:val="22"/>
          <w:szCs w:val="22"/>
        </w:rPr>
        <w:t xml:space="preserve">Thought (explicit reasoning) -&gt; Action (structured tool call) -&gt; Observation (real result fed back) -&gt; repeat until enough information exists -&gt; Final Answer. This is the foundational pattern behind every modern AI agent product that browses, calls APIs, or executes code.</w:t>
      </w:r>
    </w:p>
    <w:p>
      <w:pPr>
        <w:pBdr>
          <w:bottom w:val="single" w:color="2F5496" w:sz="4" w:space="4"/>
        </w:pBdr>
        <w:spacing w:after="150" w:before="350"/>
      </w:pPr>
      <w:r>
        <w:rPr>
          <w:b/>
          <w:bCs/>
          <w:color w:val="2F5496"/>
          <w:sz w:val="26"/>
          <w:szCs w:val="26"/>
        </w:rPr>
        <w:t xml:space="preserve">Part 5: The Prompt Template Library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Placeholders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 format enforced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n_sentences, document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Plain text, exact sentence count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entity_extraction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20"/>
                <w:szCs w:val="20"/>
              </w:rPr>
              <w:t xml:space="preserve">Single JSON object, fixed schema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sentiment_analysis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review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"Sentiment: &lt;label&gt; (&lt;justification&gt;)"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code_generation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sz w:val="20"/>
                <w:szCs w:val="20"/>
              </w:rPr>
              <w:t xml:space="preserve">language, task_description, edge_cases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20"/>
                <w:szCs w:val="20"/>
              </w:rPr>
              <w:t xml:space="preserve">Single code block, docstring required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data_transformation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input_format, output_format, examples, data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Only converted data, no commentary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  <w:r>
        <w:rPr>
          <w:sz w:val="22"/>
          <w:szCs w:val="22"/>
        </w:rPr>
        <w:t xml:space="preserve">Each template separates prompt engineering (independently tunable/versionable) from application code (fills placeholders, calls the LLM) — the same separation of concerns as templating engines in web development, applied to LLM prompts.</w:t>
      </w:r>
    </w:p>
    <w:p>
      <w:r>
        <w:br w:type="page"/>
      </w:r>
    </w:p>
    <w:p>
      <w:pPr>
        <w:pBdr>
          <w:bottom w:val="single" w:color="2F5496" w:sz="4" w:space="4"/>
        </w:pBdr>
        <w:spacing w:after="150" w:before="350"/>
      </w:pPr>
      <w:r>
        <w:rPr>
          <w:b/>
          <w:bCs/>
          <w:color w:val="2F5496"/>
          <w:sz w:val="26"/>
          <w:szCs w:val="26"/>
        </w:rPr>
        <w:t xml:space="preserve">Part 6: Ten Best Practices — Before/After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1. Specify output format explicitly.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Before: free-form prose, inconsistent. After: "Output ONLY JSON with keys X, Y" -&gt; consistent, parseable.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2. Show, don't just tell, for style.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Before: "write tersely" (ambiguous). After: 2 example outputs in target voice -&gt; precise match.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3. Use CoT selectively, not universally.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Accuracy jumped 12.5%-&gt;100% on trap problems, but no change on the control — apply where it matters.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4. Give an explicit role matched to required rigor.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"Professional editorial summarizer for readers needing key facts" beats generic "summarize this."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5. State negative constraints, not just positive ones.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"Do not add opinion, do not add unstated info" prevents drift beyond the source.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6. Break ambiguous classification into an explicit decision rule.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"Classify by underlying intent, not surface wording" + worked examples fixes sarcasm misreads.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7. Offload arithmetic/lookup to tools, don't trust model memory.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Large-number multiplication is error-prone mentally — verified directly in Part 3; ReAct's Calculator avoids this.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8. Anchor formats with a worked example, not prose alone.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A full worked date-normalization example handles ambiguous inputs more reliably than a format rule alone.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9. Use multiple varied examples when robustness matters.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One-shot risks keying on an incidental feature; 2-3 varied examples generalize the actual pattern.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10. Separate prompt templates from application code.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A single maintained template library beats hardcoded, duplicated prompt strings scattered across call sites.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How Day 6 Connects to Days 1-5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Earlier concept</w:t>
            </w:r>
          </w:p>
        </w:tc>
        <w:tc>
          <w:tcPr>
            <w:tcW w:type="dxa" w:w="5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Day 6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Day 5: Autoregressive generation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sz w:val="20"/>
                <w:szCs w:val="20"/>
              </w:rPr>
              <w:t xml:space="preserve">Explains WHY prompt wording changes output — it reshapes the context conditioning next-token predictions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rPr>
                <w:sz w:val="20"/>
                <w:szCs w:val="20"/>
              </w:rPr>
              <w:t xml:space="preserve">Day 5: Sampling strategies</w:t>
            </w:r>
          </w:p>
        </w:tc>
        <w:tc>
          <w:tcPr>
            <w:tcW w:type="dxa" w:w="5400"/>
            <w:shd w:fill="F2F2F2" w:val="clear"/>
          </w:tcPr>
          <w:p>
            <w:r>
              <w:rPr>
                <w:sz w:val="20"/>
                <w:szCs w:val="20"/>
              </w:rPr>
              <w:t xml:space="preserve">Prompting and sampling are complementary controls over final output quality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Day 5: SFT/RLHF training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sz w:val="20"/>
                <w:szCs w:val="20"/>
              </w:rPr>
              <w:t xml:space="preserve">Explains why models respond to role/persona framing — they were specifically trained on this</w:t>
            </w:r>
          </w:p>
        </w:tc>
      </w:tr>
      <w:tr>
        <w:tc>
          <w:tcPr>
            <w:tcW w:type="dxa" w:w="3600"/>
            <w:shd w:fill="F2F2F2" w:val="clear"/>
          </w:tcPr>
          <w:p>
            <w:r>
              <w:rPr>
                <w:sz w:val="20"/>
                <w:szCs w:val="20"/>
              </w:rPr>
              <w:t xml:space="preserve">Day 3: Large-number arithmetic errors</w:t>
            </w:r>
          </w:p>
        </w:tc>
        <w:tc>
          <w:tcPr>
            <w:tcW w:type="dxa" w:w="5400"/>
            <w:shd w:fill="F2F2F2" w:val="clear"/>
          </w:tcPr>
          <w:p>
            <w:r>
              <w:rPr>
                <w:sz w:val="20"/>
                <w:szCs w:val="20"/>
              </w:rPr>
              <w:t xml:space="preserve">Same failure class appears in direct-vs-CoT prompting and motivates ReAct's tool offloading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Day 4: Context window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sz w:val="20"/>
                <w:szCs w:val="20"/>
              </w:rPr>
              <w:t xml:space="preserve">Every technique here (examples, CoT, ReAct traces) consumes context tokens — a real tradeoff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2026-08-02T10:28:35.922Z</dcterms:created>
  <dcterms:modified xsi:type="dcterms:W3CDTF">2026-08-02T10:28:35.933Z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