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41fyqzogoz6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English-Urdu Translation: Model Comparison Report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h5b8jvqzb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evaluates four different deep learning architectures for machine translation from </w:t>
      </w:r>
      <w:r w:rsidDel="00000000" w:rsidR="00000000" w:rsidRPr="00000000">
        <w:rPr>
          <w:b w:val="1"/>
          <w:rtl w:val="0"/>
        </w:rPr>
        <w:t xml:space="preserve">English to Urdu</w:t>
      </w:r>
      <w:r w:rsidDel="00000000" w:rsidR="00000000" w:rsidRPr="00000000">
        <w:rPr>
          <w:rtl w:val="0"/>
        </w:rPr>
        <w:t xml:space="preserve">, analyzing their performance using the </w:t>
      </w:r>
      <w:r w:rsidDel="00000000" w:rsidR="00000000" w:rsidRPr="00000000">
        <w:rPr>
          <w:b w:val="1"/>
          <w:rtl w:val="0"/>
        </w:rPr>
        <w:t xml:space="preserve">BLEU score</w:t>
      </w:r>
      <w:r w:rsidDel="00000000" w:rsidR="00000000" w:rsidRPr="00000000">
        <w:rPr>
          <w:rtl w:val="0"/>
        </w:rPr>
        <w:t xml:space="preserve"> metric. The models tested include: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BiRNN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y8ltlk8j8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Model Hyperparameters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160"/>
        <w:gridCol w:w="2400"/>
        <w:gridCol w:w="2625"/>
        <w:gridCol w:w="2310"/>
        <w:tblGridChange w:id="0">
          <w:tblGrid>
            <w:gridCol w:w="1620"/>
            <w:gridCol w:w="2160"/>
            <w:gridCol w:w="2400"/>
            <w:gridCol w:w="262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BiRNN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Embedding 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Hidden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BiLSTM encoder, 1 LSTM 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LSTM encoder, 1 LSTM 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Encoder, 1 Decoder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Attention Mechanism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Multi-head Attention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Bidirectionality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h00zt4a5j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Models Overview &amp; BLEU Score Results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0zuclndg1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RNN (Recurrent Neural Network)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Processes one word at a time, relies only on past context.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 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0.0382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 for Low Performance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Lacks context retention for long sentences.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Struggles with grammar and fluency.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Best for understanding limitations of sequence-only models.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95675" cy="482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tuth6li2o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BiRNN (Bidirectional RNN)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Reads input from both directions.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 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0.2830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both past and future context.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sentence structure and fluency.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Still limited by RNN’s sequential nature.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38550" cy="475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5rzorkccm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LSTM (Long Short-Term Memory)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Incorporates gates to preserve long-term context.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 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0.2256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long sequences better than vanilla RNN.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Robust to vanishing gradients.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Slightly lower BLEU than BiRNN in this case due to dataset sensitivity.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52800" cy="4810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bv8rz3vof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Transformer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Uses self-attention and parallel processing.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 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0.5475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Wins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Attends to all words at once (global context).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Multi-head attention improves semantic matching.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 fluent and coherent Urdu sentences.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State-of-the-art architecture for sequence-to-sequence tasks.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81450" cy="483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8y74jk7yx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BLEU Score Comparison Chart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753225" cy="4295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Avg. BLEU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0.0382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BiRNN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0.2830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0.2256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Transformer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0.5475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4ifvt5gyo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 Sample Success Cases (Transformer)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Urdu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BLEU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he can no longer 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مزید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انتظار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نہیں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سکتا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0.8187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are you still 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آپ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بھی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شادی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ہیں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do you 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کیا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تمہیں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ہے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0.7148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0u32u3tqs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Conclusion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Transformer model significantly outperformed</w:t>
      </w:r>
      <w:r w:rsidDel="00000000" w:rsidR="00000000" w:rsidRPr="00000000">
        <w:rPr>
          <w:rtl w:val="0"/>
        </w:rPr>
        <w:t xml:space="preserve"> traditional RNN-based models in English-Urdu translation. It provides: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Better fluency and grammar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Stronger contextual accuracy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BLEU scores across test data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