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Bases de datos 2022-2023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Álvaro Camacho Martín DNI: 48083824R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Fátima Cristina de la Morena Rejón DNI: 71961234F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base de datos dada tiene las siguientes entidades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atributos tiene el nombre(varchar),el año de nacimiento(int),nacionalidad(varchar) y DNI(varchar),siendo DNI su PK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personal debe ser Actor o Director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Director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Películas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atributos tiene duración(int),idioma(varchar),genero(varchar),año(int) y titulo(varchar),estos dos últimos atributos son la PK para esta entidad.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Criticas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atributos tiene critico(varchar),Id(int),puntuación(int) y texto(varchar),su PK es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Caratula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atributos tiene el tipo(varchar) ,tamaño(float) yId(int), su PK es el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atributos tiene tipo(varchar) y url(varchar),la url será su PK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alojadas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 atributo como fecha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 una relación entre web y crítica.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 uno a muchos.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Alojadas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 una relación entre web y carátula.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uno a muchos.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Tiene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una relación entre película y crítica.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 uno a muchos.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Tiene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 una relación entre película y carátula.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 uno a muchos.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Actúa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 una relación entre actor y película.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 muchos a muchos.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Dirige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 una relación entre director y película.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 muchos a muchos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