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Présentation FundX Capital</w:t>
      </w:r>
    </w:p>
    <w:p>
      <w:r>
        <w:t>FundX Capital investit dans des projets d'IA. GraphIA, porté par Univ. Atlas Rabat, bénéficie de ce soutien.</w:t>
      </w:r>
    </w:p>
    <w:p>
      <w:r>
        <w:t>Apache Spark est au cœur du pipeline de traitement de GraphIA.</w:t>
      </w:r>
    </w:p>
    <w:p>
      <w:r>
        <w:t>licence: synthetic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