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FATIMA ALTAGRACIA GENAO MENDEZ</w:t>
      </w:r>
    </w:p>
    <w:p>
      <w:pPr>
        <w:spacing w:after="400"/>
        <w:jc w:val="center"/>
      </w:pPr>
      <w:r>
        <w:rPr>
          <w:b/>
          <w:bCs/>
          <w:sz w:val="22"/>
          <w:szCs w:val="22"/>
        </w:rPr>
        <w:t xml:space="preserve">Technical Progress Report: AI-Based Fraud Detection and Transaction Security Module — Phase 1 Prototype</w:t>
      </w:r>
    </w:p>
    <w:p>
      <w:pPr>
        <w:pStyle w:val="Heading1"/>
        <w:spacing w:after="200" w:before="300"/>
      </w:pPr>
      <w:r>
        <w:rPr>
          <w:b/>
          <w:bCs/>
        </w:rPr>
        <w:t xml:space="preserve">1. Purpose of This Document</w:t>
      </w:r>
    </w:p>
    <w:p>
      <w:pPr>
        <w:spacing w:after="200" w:line="276"/>
        <w:jc w:val="both"/>
      </w:pPr>
      <w:r>
        <w:t xml:space="preserve">This report documents a working, proof-of-concept prototype built by the petitioner in connection with her proposed endeavor, as described in the Model or Business Plan submitted with this Request for Evidence response. It is offered as evidence of concrete progress toward the endeavor, responsive to the RFE's request for documentation of 'progress towards achieving the proposed endeavor.' The full source code, synthetic test data, and a technical README are included as an accompanying exhibit (source-code package / repository).</w:t>
      </w:r>
    </w:p>
    <w:p>
      <w:pPr>
        <w:pStyle w:val="Heading1"/>
        <w:spacing w:after="200" w:before="300"/>
      </w:pPr>
      <w:r>
        <w:rPr>
          <w:b/>
          <w:bCs/>
        </w:rPr>
        <w:t xml:space="preserve">2. Summary of the Endeavor's Technical Design</w:t>
      </w:r>
    </w:p>
    <w:p>
      <w:pPr>
        <w:spacing w:after="200" w:line="276"/>
        <w:jc w:val="both"/>
      </w:pPr>
      <w:r>
        <w:t xml:space="preserve">As set out in the Model or Business Plan, the petitioner's proposed endeavor is the development of a fraud detection and transaction security module intended for integration into the systems of community banks and credit unions. The design combines three complementary analytical approaches so that the module can address both known and previously-unseen fraud patterns, as well as money-laundering-style account activity. The prototype described in this report implements a first working version of all three approaches.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DDDDDD" w:val="clear"/>
          </w:tcPr>
          <w:p>
            <w:r>
              <w:rPr>
                <w:b/>
                <w:bCs/>
                <w:sz w:val="20"/>
                <w:szCs w:val="20"/>
              </w:rPr>
              <w:t xml:space="preserve">Component</w:t>
            </w:r>
          </w:p>
        </w:tc>
        <w:tc>
          <w:tcPr>
            <w:tcW w:type="pct" w:w="22%"/>
            <w:shd w:fill="DDDDDD" w:val="clear"/>
          </w:tcPr>
          <w:p>
            <w:r>
              <w:rPr>
                <w:b/>
                <w:bCs/>
                <w:sz w:val="20"/>
                <w:szCs w:val="20"/>
              </w:rPr>
              <w:t xml:space="preserve">Technique</w:t>
            </w:r>
          </w:p>
        </w:tc>
        <w:tc>
          <w:tcPr>
            <w:tcW w:type="pct" w:w="34%"/>
            <w:shd w:fill="DDDDDD" w:val="clear"/>
          </w:tcPr>
          <w:p>
            <w:r>
              <w:rPr>
                <w:b/>
                <w:bCs/>
                <w:sz w:val="20"/>
                <w:szCs w:val="20"/>
              </w:rPr>
              <w:t xml:space="preserve">Purpose</w:t>
            </w:r>
          </w:p>
        </w:tc>
        <w:tc>
          <w:tcPr>
            <w:tcW w:type="pct" w:w="22%"/>
            <w:shd w:fill="DDDDDD" w:val="clear"/>
          </w:tcPr>
          <w:p>
            <w:r>
              <w:rPr>
                <w:b/>
                <w:bCs/>
                <w:sz w:val="20"/>
                <w:szCs w:val="20"/>
              </w:rPr>
              <w:t xml:space="preserve">Business Plan Phase</w:t>
            </w:r>
          </w:p>
        </w:tc>
      </w:tr>
      <w:tr>
        <w:tc>
          <w:tcPr>
            <w:tcW w:type="pct" w:w="25%"/>
          </w:tcPr>
          <w:p>
            <w:r>
              <w:rPr>
                <w:b w:val="false"/>
                <w:bCs w:val="false"/>
                <w:sz w:val="20"/>
                <w:szCs w:val="20"/>
              </w:rPr>
              <w:t xml:space="preserve">1. Supervised classification</w:t>
            </w:r>
          </w:p>
        </w:tc>
        <w:tc>
          <w:tcPr>
            <w:tcW w:type="pct" w:w="25%"/>
          </w:tcPr>
          <w:p>
            <w:r>
              <w:rPr>
                <w:b w:val="false"/>
                <w:bCs w:val="false"/>
                <w:sz w:val="20"/>
                <w:szCs w:val="20"/>
              </w:rPr>
              <w:t xml:space="preserve">Random Forest classifier (scikit-learn)</w:t>
            </w:r>
          </w:p>
        </w:tc>
        <w:tc>
          <w:tcPr>
            <w:tcW w:type="pct" w:w="25%"/>
          </w:tcPr>
          <w:p>
            <w:r>
              <w:rPr>
                <w:b w:val="false"/>
                <w:bCs w:val="false"/>
                <w:sz w:val="20"/>
                <w:szCs w:val="20"/>
              </w:rPr>
              <w:t xml:space="preserve">Flags transactions matching fraud patterns already seen in labeled historical-style data.</w:t>
            </w:r>
          </w:p>
        </w:tc>
        <w:tc>
          <w:tcPr>
            <w:tcW w:type="pct" w:w="25%"/>
          </w:tcPr>
          <w:p>
            <w:r>
              <w:rPr>
                <w:b w:val="false"/>
                <w:bCs w:val="false"/>
                <w:sz w:val="20"/>
                <w:szCs w:val="20"/>
              </w:rPr>
              <w:t xml:space="preserve">Phase 1 — Core Module Development</w:t>
            </w:r>
          </w:p>
        </w:tc>
      </w:tr>
      <w:tr>
        <w:tc>
          <w:tcPr>
            <w:tcW w:type="pct" w:w="25%"/>
          </w:tcPr>
          <w:p>
            <w:r>
              <w:rPr>
                <w:b w:val="false"/>
                <w:bCs w:val="false"/>
                <w:sz w:val="20"/>
                <w:szCs w:val="20"/>
              </w:rPr>
              <w:t xml:space="preserve">2. Unsupervised anomaly detection</w:t>
            </w:r>
          </w:p>
        </w:tc>
        <w:tc>
          <w:tcPr>
            <w:tcW w:type="pct" w:w="25%"/>
          </w:tcPr>
          <w:p>
            <w:r>
              <w:rPr>
                <w:b w:val="false"/>
                <w:bCs w:val="false"/>
                <w:sz w:val="20"/>
                <w:szCs w:val="20"/>
              </w:rPr>
              <w:t xml:space="preserve">Isolation Forest (scikit-learn)</w:t>
            </w:r>
          </w:p>
        </w:tc>
        <w:tc>
          <w:tcPr>
            <w:tcW w:type="pct" w:w="25%"/>
          </w:tcPr>
          <w:p>
            <w:r>
              <w:rPr>
                <w:b w:val="false"/>
                <w:bCs w:val="false"/>
                <w:sz w:val="20"/>
                <w:szCs w:val="20"/>
              </w:rPr>
              <w:t xml:space="preserve">Flags previously unseen suspicious behavior without relying on fraud labels.</w:t>
            </w:r>
          </w:p>
        </w:tc>
        <w:tc>
          <w:tcPr>
            <w:tcW w:type="pct" w:w="25%"/>
          </w:tcPr>
          <w:p>
            <w:r>
              <w:rPr>
                <w:b w:val="false"/>
                <w:bCs w:val="false"/>
                <w:sz w:val="20"/>
                <w:szCs w:val="20"/>
              </w:rPr>
              <w:t xml:space="preserve">Phase 1 — Core Module Development</w:t>
            </w:r>
          </w:p>
        </w:tc>
      </w:tr>
      <w:tr>
        <w:tc>
          <w:tcPr>
            <w:tcW w:type="pct" w:w="25%"/>
          </w:tcPr>
          <w:p>
            <w:r>
              <w:rPr>
                <w:b w:val="false"/>
                <w:bCs w:val="false"/>
                <w:sz w:val="20"/>
                <w:szCs w:val="20"/>
              </w:rPr>
              <w:t xml:space="preserve">3. Network / graph analysis</w:t>
            </w:r>
          </w:p>
        </w:tc>
        <w:tc>
          <w:tcPr>
            <w:tcW w:type="pct" w:w="25%"/>
          </w:tcPr>
          <w:p>
            <w:r>
              <w:rPr>
                <w:b w:val="false"/>
                <w:bCs w:val="false"/>
                <w:sz w:val="20"/>
                <w:szCs w:val="20"/>
              </w:rPr>
              <w:t xml:space="preserve">Directed graph + modularity-based community detection (NetworkX)</w:t>
            </w:r>
          </w:p>
        </w:tc>
        <w:tc>
          <w:tcPr>
            <w:tcW w:type="pct" w:w="25%"/>
          </w:tcPr>
          <w:p>
            <w:r>
              <w:rPr>
                <w:b w:val="false"/>
                <w:bCs w:val="false"/>
                <w:sz w:val="20"/>
                <w:szCs w:val="20"/>
              </w:rPr>
              <w:t xml:space="preserve">Traces account-to-account fund flows to surface layering/structuring patterns for AML review.</w:t>
            </w:r>
          </w:p>
        </w:tc>
        <w:tc>
          <w:tcPr>
            <w:tcW w:type="pct" w:w="25%"/>
          </w:tcPr>
          <w:p>
            <w:r>
              <w:rPr>
                <w:b w:val="false"/>
                <w:bCs w:val="false"/>
                <w:sz w:val="20"/>
                <w:szCs w:val="20"/>
              </w:rPr>
              <w:t xml:space="preserve">Phase 1 — Core Module Development</w:t>
            </w:r>
          </w:p>
        </w:tc>
      </w:tr>
    </w:tbl>
    <w:p>
      <w:pPr>
        <w:pStyle w:val="Heading1"/>
        <w:spacing w:after="200" w:before="300"/>
      </w:pPr>
      <w:r>
        <w:rPr>
          <w:b/>
          <w:bCs/>
        </w:rPr>
        <w:t xml:space="preserve">3. Prototype Implementation</w:t>
      </w:r>
    </w:p>
    <w:p>
      <w:pPr>
        <w:pStyle w:val="Heading2"/>
        <w:spacing w:after="160" w:before="240"/>
      </w:pPr>
      <w:r>
        <w:rPr>
          <w:b/>
          <w:bCs/>
        </w:rPr>
        <w:t xml:space="preserve">3.1 Data</w:t>
      </w:r>
    </w:p>
    <w:p>
      <w:pPr>
        <w:spacing w:after="200" w:line="276"/>
        <w:jc w:val="both"/>
      </w:pPr>
      <w:r>
        <w:t xml:space="preserve">For this proof-of-concept stage, the petitioner generated a synthetic dataset of 500 accounts and approximately 20,000 transactions, reproducing the general statistical shape of real transaction activity (typical purchase amounts, account activity levels, channel mix, and time-of-day distribution), with two fraud patterns intentionally injected for testing purposes: (a) unusually large transactions occurring at unusual hours through card-not-present channels, and (b) a tight cluster of accounts exchanging rapid, small peer-to-peer transfers consistent with a layering/structuring pattern.</w:t>
      </w:r>
    </w:p>
    <w:p>
      <w:pPr>
        <w:spacing w:after="200" w:line="276"/>
        <w:jc w:val="both"/>
      </w:pPr>
      <w:r>
        <w:t xml:space="preserve">The use of synthetic rather than real institutional data at this stage is standard and expected practice in prototype-stage fraud-detection development. Real transaction data is confidential and can only be used within a production environment governed by a financial institution's own data-security and privacy controls — access to such data is precisely the kind of institutional collaboration contemplated for the pilot-integration stage (Phase 2) described in the Business Plan, not for early proof-of-concept work.</w:t>
      </w:r>
    </w:p>
    <w:p>
      <w:pPr>
        <w:pStyle w:val="Heading2"/>
        <w:spacing w:after="160" w:before="240"/>
      </w:pPr>
      <w:r>
        <w:rPr>
          <w:b/>
          <w:bCs/>
        </w:rPr>
        <w:t xml:space="preserve">3.2 Feature Engineering</w:t>
      </w:r>
    </w:p>
    <w:p>
      <w:pPr>
        <w:spacing w:after="200" w:line="276"/>
        <w:jc w:val="both"/>
      </w:pPr>
      <w:r>
        <w:t xml:space="preserve">Each transaction is represented by a small set of explainable features: the transaction amount; the amount relative to the sending account's typical monthly activity; the hour of day; whether the hour falls in a late-night window; the transaction channel; and whether the transaction is a peer-to-peer transfer. This feature set was deliberately kept simple and interpretable for the prototype stage; a production version would expand it with institution-specific fields once integrated with a partner institution's own transaction data.</w:t>
      </w:r>
    </w:p>
    <w:p>
      <w:pPr>
        <w:pStyle w:val="Heading2"/>
        <w:spacing w:after="160" w:before="240"/>
      </w:pPr>
      <w:r>
        <w:rPr>
          <w:b/>
          <w:bCs/>
        </w:rPr>
        <w:t xml:space="preserve">3.3 Results on Synthetic Test Data</w:t>
      </w:r>
    </w:p>
    <w:p>
      <w:pPr>
        <w:spacing w:after="200" w:line="276"/>
        <w:jc w:val="both"/>
      </w:pPr>
      <w:r>
        <w:t xml:space="preserve">The prototype was executed against the synthetic dataset described above. The results below are illustrative of the prototype's behavior on synthetic data only, and are not a claim of production-level accuracy; they demonstrate that each of the three approaches functions as designed and produces results consistent with what each technique is intended to detect.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DDDDD" w:val="clear"/>
          </w:tcPr>
          <w:p>
            <w:r>
              <w:rPr>
                <w:b/>
                <w:bCs/>
                <w:sz w:val="20"/>
                <w:szCs w:val="20"/>
              </w:rPr>
              <w:t xml:space="preserve">Component</w:t>
            </w:r>
          </w:p>
        </w:tc>
        <w:tc>
          <w:tcPr>
            <w:tcW w:type="pct" w:w="70%"/>
            <w:shd w:fill="DDDDDD" w:val="clear"/>
          </w:tcPr>
          <w:p>
            <w:r>
              <w:rPr>
                <w:b/>
                <w:bCs/>
                <w:sz w:val="20"/>
                <w:szCs w:val="20"/>
              </w:rPr>
              <w:t xml:space="preserve">Result on synthetic test data</w:t>
            </w:r>
          </w:p>
        </w:tc>
      </w:tr>
      <w:tr>
        <w:tc>
          <w:tcPr>
            <w:tcW w:type="pct" w:w="25%"/>
          </w:tcPr>
          <w:p>
            <w:r>
              <w:rPr>
                <w:b w:val="false"/>
                <w:bCs w:val="false"/>
                <w:sz w:val="20"/>
                <w:szCs w:val="20"/>
              </w:rPr>
              <w:t xml:space="preserve">Supervised classification</w:t>
            </w:r>
          </w:p>
        </w:tc>
        <w:tc>
          <w:tcPr>
            <w:tcW w:type="pct" w:w="25%"/>
          </w:tcPr>
          <w:p>
            <w:r>
              <w:rPr>
                <w:b w:val="false"/>
                <w:bCs w:val="false"/>
                <w:sz w:val="20"/>
                <w:szCs w:val="20"/>
              </w:rPr>
              <w:t xml:space="preserve">ROC-AUC 0.9886; recall on fraud class 0.89; precision on fraud class 0.49</w:t>
            </w:r>
          </w:p>
        </w:tc>
      </w:tr>
      <w:tr>
        <w:tc>
          <w:tcPr>
            <w:tcW w:type="pct" w:w="25%"/>
          </w:tcPr>
          <w:p>
            <w:r>
              <w:rPr>
                <w:b w:val="false"/>
                <w:bCs w:val="false"/>
                <w:sz w:val="20"/>
                <w:szCs w:val="20"/>
              </w:rPr>
              <w:t xml:space="preserve">Anomaly detection</w:t>
            </w:r>
          </w:p>
        </w:tc>
        <w:tc>
          <w:tcPr>
            <w:tcW w:type="pct" w:w="25%"/>
          </w:tcPr>
          <w:p>
            <w:r>
              <w:rPr>
                <w:b w:val="false"/>
                <w:bCs w:val="false"/>
                <w:sz w:val="20"/>
                <w:szCs w:val="20"/>
              </w:rPr>
              <w:t xml:space="preserve">2.00% of transactions flagged as anomalous; 42.79% of flagged transactions overlapped with the synthetic fraud ground truth (the remainder represent other statistically unusual — but not necessarily fraudulent — activity, which is expected and useful for analyst review)</w:t>
            </w:r>
          </w:p>
        </w:tc>
      </w:tr>
      <w:tr>
        <w:tc>
          <w:tcPr>
            <w:tcW w:type="pct" w:w="25%"/>
          </w:tcPr>
          <w:p>
            <w:r>
              <w:rPr>
                <w:b w:val="false"/>
                <w:bCs w:val="false"/>
                <w:sz w:val="20"/>
                <w:szCs w:val="20"/>
              </w:rPr>
              <w:t xml:space="preserve">Graph / network analysis</w:t>
            </w:r>
          </w:p>
        </w:tc>
        <w:tc>
          <w:tcPr>
            <w:tcW w:type="pct" w:w="25%"/>
          </w:tcPr>
          <w:p>
            <w:r>
              <w:rPr>
                <w:b w:val="false"/>
                <w:bCs w:val="false"/>
                <w:sz w:val="20"/>
                <w:szCs w:val="20"/>
              </w:rPr>
              <w:t xml:space="preserve">21 account communities detected via modularity-based clustering; 3 of these were small (5–7 accounts) and densely interconnected (internal density 0.38–0.81), consistent with a layering/structuring pattern</w:t>
            </w:r>
          </w:p>
        </w:tc>
      </w:tr>
    </w:tbl>
    <w:p>
      <w:pPr>
        <w:spacing w:after="200"/>
      </w:pPr>
    </w:p>
    <w:p>
      <w:pPr>
        <w:spacing w:after="200" w:line="276"/>
        <w:jc w:val="both"/>
      </w:pPr>
      <w:r>
        <w:t xml:space="preserve">The complete console output of this run is included in the accompanying source-code package as run_output.txt, together with the code that produced it, so that the results can be independently reproduced.</w:t>
      </w:r>
    </w:p>
    <w:p>
      <w:pPr>
        <w:pStyle w:val="Heading1"/>
        <w:spacing w:after="200" w:before="300"/>
      </w:pPr>
      <w:r>
        <w:rPr>
          <w:b/>
          <w:bCs/>
        </w:rPr>
        <w:t xml:space="preserve">4. Relationship to the Business Plan's Development Timeline</w:t>
      </w:r>
    </w:p>
    <w:p>
      <w:pPr>
        <w:spacing w:after="200" w:line="276"/>
        <w:jc w:val="both"/>
      </w:pPr>
      <w:r>
        <w:t xml:space="preserve">This prototype corresponds to work described under Phase 1 (Months 1–8: Core Module Development) of the Business Plan. It demonstrates that the technical approach described there is not merely conceptual: the petitioner has already implemented and validated, at proof-of-concept scale, all three of the analytical components the production module will rely on. The subsequent phases described in the Business Plan — pilot integration with a partner institution under an appropriate data-security agreement (Phase 2), regulatory compliance alignment (Phase 3), and expansion to multiple licensed institutional clients (Phase 4 and beyond) — remain the next steps and are not addressed by this prototype.</w:t>
      </w:r>
    </w:p>
    <w:p>
      <w:pPr>
        <w:pStyle w:val="Heading1"/>
        <w:spacing w:after="200" w:before="300"/>
      </w:pPr>
      <w:r>
        <w:rPr>
          <w:b/>
          <w:bCs/>
        </w:rPr>
        <w:t xml:space="preserve">5. Next Steps</w:t>
      </w:r>
    </w:p>
    <w:p>
      <w:pPr>
        <w:pStyle w:val="ListParagraph"/>
        <w:numPr>
          <w:ilvl w:val="0"/>
          <w:numId w:val="1"/>
        </w:numPr>
        <w:spacing w:after="120"/>
      </w:pPr>
      <w:r>
        <w:t xml:space="preserve">Refine the feature set and model tuning using additional synthetic scenarios.</w:t>
      </w:r>
    </w:p>
    <w:p>
      <w:pPr>
        <w:pStyle w:val="ListParagraph"/>
        <w:numPr>
          <w:ilvl w:val="0"/>
          <w:numId w:val="1"/>
        </w:numPr>
        <w:spacing w:after="120"/>
      </w:pPr>
      <w:r>
        <w:t xml:space="preserve">Package the prototype into a modular architecture suitable for integration with a partner institution's transaction systems.</w:t>
      </w:r>
    </w:p>
    <w:p>
      <w:pPr>
        <w:pStyle w:val="ListParagraph"/>
        <w:numPr>
          <w:ilvl w:val="0"/>
          <w:numId w:val="1"/>
        </w:numPr>
        <w:spacing w:after="120"/>
      </w:pPr>
      <w:r>
        <w:t xml:space="preserve">Identify and engage a pilot institution for Phase 2 integration, under an appropriate data-security and confidentiality agreement.</w:t>
      </w:r>
    </w:p>
    <w:p>
      <w:pPr>
        <w:pStyle w:val="ListParagraph"/>
        <w:numPr>
          <w:ilvl w:val="0"/>
          <w:numId w:val="1"/>
        </w:numPr>
        <w:spacing w:after="120"/>
      </w:pPr>
      <w:r>
        <w:t xml:space="preserve">Begin the regulatory-compliance review described in Phase 3 of the Business Plan.</w:t>
      </w:r>
    </w:p>
    <w:p>
      <w:pPr>
        <w:spacing w:before="400"/>
      </w:pPr>
    </w:p>
    <w:p>
      <w:pPr>
        <w:pBdr>
          <w:top w:val="single" w:color="999999" w:sz="6"/>
        </w:pBdr>
        <w:spacing w:before="200"/>
      </w:pPr>
      <w:r>
        <w:rPr>
          <w:i/>
          <w:iCs/>
          <w:color w:val="777777"/>
          <w:sz w:val="18"/>
          <w:szCs w:val="18"/>
        </w:rPr>
        <w:t xml:space="preserve">This report is designed to be read together with the source-code repository (Exhibit 18) and with the Model or Business Plan submitted in the Prong I response.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2026-10-07T21:59:15.742Z</dcterms:created>
  <dcterms:modified xsi:type="dcterms:W3CDTF">2026-10-07T21:59:15.764Z</dcterms:modified>
</cp:coreProperties>
</file>

<file path=docProps/custom.xml><?xml version="1.0" encoding="utf-8"?>
<Properties xmlns="http://schemas.openxmlformats.org/officeDocument/2006/custom-properties" xmlns:vt="http://schemas.openxmlformats.org/officeDocument/2006/docPropsVTypes"/>
</file>