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20F49D" w14:textId="77777777" w:rsidR="00A747A6" w:rsidRPr="00634475" w:rsidRDefault="00A747A6" w:rsidP="00A747A6">
      <w:pPr>
        <w:spacing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/>
          <w:kern w:val="36"/>
          <w:sz w:val="20"/>
          <w:szCs w:val="20"/>
          <w14:ligatures w14:val="none"/>
        </w:rPr>
      </w:pPr>
      <w:r w:rsidRPr="00634475">
        <w:rPr>
          <w:rFonts w:asciiTheme="majorBidi" w:eastAsia="Times New Roman" w:hAnsiTheme="majorBidi" w:cstheme="majorBidi"/>
          <w:b/>
          <w:bCs/>
          <w:color w:val="000000"/>
          <w:kern w:val="36"/>
          <w:sz w:val="20"/>
          <w:szCs w:val="20"/>
          <w14:ligatures w14:val="none"/>
        </w:rPr>
        <w:t>ClinAI-Audit Knowledge Base (KSA Healthcare &amp; AI Regulations)</w:t>
      </w:r>
    </w:p>
    <w:p w14:paraId="7354E540" w14:textId="6C2847E8" w:rsidR="00A747A6" w:rsidRPr="008166F0" w:rsidRDefault="008E606F" w:rsidP="00A747A6">
      <w:pPr>
        <w:spacing w:after="100" w:afterAutospacing="1" w:line="240" w:lineRule="auto"/>
        <w:outlineLvl w:val="1"/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0"/>
          <w:szCs w:val="20"/>
          <w:lang w:val="en-GB"/>
          <w14:ligatures w14:val="none"/>
        </w:rPr>
        <w:t>1.</w:t>
      </w:r>
      <w:r w:rsidR="00A747A6" w:rsidRPr="008166F0"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  <w:t xml:space="preserve"> Personal Data Protection Law (PDPL) - Health Data &amp; Confidentiality</w:t>
      </w:r>
    </w:p>
    <w:p w14:paraId="1AEBCDA0" w14:textId="77777777" w:rsidR="00A747A6" w:rsidRPr="008166F0" w:rsidRDefault="00A747A6" w:rsidP="00A747A6">
      <w:pPr>
        <w:spacing w:after="100" w:afterAutospacing="1" w:line="240" w:lineRule="auto"/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</w:pPr>
      <w:r w:rsidRPr="008166F0"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  <w:t>Source: Saudi Data and Artificial Intelligence Authority (SDAIA)</w:t>
      </w:r>
    </w:p>
    <w:p w14:paraId="633C32E3" w14:textId="77777777" w:rsidR="00A747A6" w:rsidRPr="008166F0" w:rsidRDefault="00A747A6" w:rsidP="00A747A6">
      <w:pPr>
        <w:numPr>
          <w:ilvl w:val="0"/>
          <w:numId w:val="1"/>
        </w:numPr>
        <w:spacing w:after="100" w:afterAutospacing="1" w:line="240" w:lineRule="auto"/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</w:pPr>
      <w:r w:rsidRPr="00555EA5">
        <w:rPr>
          <w:rFonts w:asciiTheme="majorBidi" w:hAnsiTheme="majorBidi" w:cstheme="majorBidi"/>
          <w:b/>
          <w:bCs/>
          <w:color w:val="000000"/>
          <w:kern w:val="0"/>
          <w:sz w:val="20"/>
          <w:szCs w:val="20"/>
          <w14:ligatures w14:val="none"/>
        </w:rPr>
        <w:t>Article 4 (Data Minimization):</w:t>
      </w:r>
      <w:r w:rsidRPr="008166F0"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  <w:t> Personal health data processing shall be limited to the minimum amount necessary to achieve the specific clinical or educational purpose.</w:t>
      </w:r>
    </w:p>
    <w:p w14:paraId="17791E69" w14:textId="77777777" w:rsidR="00A747A6" w:rsidRPr="008166F0" w:rsidRDefault="00A747A6" w:rsidP="00A747A6">
      <w:pPr>
        <w:numPr>
          <w:ilvl w:val="0"/>
          <w:numId w:val="1"/>
        </w:numPr>
        <w:spacing w:after="100" w:afterAutospacing="1" w:line="240" w:lineRule="auto"/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</w:pPr>
      <w:r w:rsidRPr="00555EA5">
        <w:rPr>
          <w:rFonts w:asciiTheme="majorBidi" w:hAnsiTheme="majorBidi" w:cstheme="majorBidi"/>
          <w:b/>
          <w:bCs/>
          <w:color w:val="000000"/>
          <w:kern w:val="0"/>
          <w:sz w:val="20"/>
          <w:szCs w:val="20"/>
          <w14:ligatures w14:val="none"/>
        </w:rPr>
        <w:t>Article 7 (Anonymization &amp; De-identification):</w:t>
      </w:r>
      <w:r w:rsidRPr="008166F0"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  <w:t> Prior to processing health records in AI models or simulators, all direct identifiers (such as patient names, National IDs, phone numbers, and exact medical record numbers) must be irreversibly anonymized.</w:t>
      </w:r>
    </w:p>
    <w:p w14:paraId="1C9063DC" w14:textId="77777777" w:rsidR="00A747A6" w:rsidRPr="008166F0" w:rsidRDefault="00A747A6" w:rsidP="00A747A6">
      <w:pPr>
        <w:numPr>
          <w:ilvl w:val="0"/>
          <w:numId w:val="1"/>
        </w:numPr>
        <w:spacing w:after="100" w:afterAutospacing="1" w:line="240" w:lineRule="auto"/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</w:pPr>
      <w:r w:rsidRPr="009C7E3C">
        <w:rPr>
          <w:rFonts w:asciiTheme="majorBidi" w:hAnsiTheme="majorBidi" w:cstheme="majorBidi"/>
          <w:b/>
          <w:bCs/>
          <w:color w:val="000000"/>
          <w:kern w:val="0"/>
          <w:sz w:val="20"/>
          <w:szCs w:val="20"/>
          <w14:ligatures w14:val="none"/>
        </w:rPr>
        <w:t>Article 12 (Confidentiality &amp; Access Control):</w:t>
      </w:r>
      <w:r w:rsidRPr="008166F0"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  <w:t> Health data is categorized as Sensitive Data. Unlawful disclosure, unauthorized access, or sharing of sensitive medical records via unauthorized third-party LLMs/AI platforms is strictly prohibited.</w:t>
      </w:r>
    </w:p>
    <w:p w14:paraId="6A53ADDC" w14:textId="77777777" w:rsidR="00A747A6" w:rsidRPr="008166F0" w:rsidRDefault="00A747A6" w:rsidP="00A747A6">
      <w:pPr>
        <w:numPr>
          <w:ilvl w:val="0"/>
          <w:numId w:val="1"/>
        </w:numPr>
        <w:spacing w:after="100" w:afterAutospacing="1" w:line="240" w:lineRule="auto"/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</w:pPr>
      <w:r w:rsidRPr="001F4FB9">
        <w:rPr>
          <w:rFonts w:asciiTheme="majorBidi" w:hAnsiTheme="majorBidi" w:cstheme="majorBidi"/>
          <w:b/>
          <w:bCs/>
          <w:color w:val="000000"/>
          <w:kern w:val="0"/>
          <w:sz w:val="20"/>
          <w:szCs w:val="20"/>
          <w14:ligatures w14:val="none"/>
        </w:rPr>
        <w:t>Article 24 (Data Security):</w:t>
      </w:r>
      <w:r w:rsidRPr="008166F0"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  <w:t> Appropriate technical and organizational measures must be enforced to protect clinical data against unauthorized disclosure, alteration, or accidental breach.</w:t>
      </w:r>
    </w:p>
    <w:p w14:paraId="2741C0F1" w14:textId="4BFC26CD" w:rsidR="00A747A6" w:rsidRPr="008166F0" w:rsidRDefault="001F4FB9" w:rsidP="00A747A6">
      <w:pPr>
        <w:spacing w:after="100" w:afterAutospacing="1" w:line="240" w:lineRule="auto"/>
        <w:outlineLvl w:val="1"/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  <w:t xml:space="preserve">2. </w:t>
      </w:r>
      <w:r w:rsidR="00A747A6" w:rsidRPr="008166F0"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  <w:t>Ministry of Health (MOH) Nursing Practice &amp; Patient Safety Guidelines</w:t>
      </w:r>
    </w:p>
    <w:p w14:paraId="2093A63C" w14:textId="77777777" w:rsidR="00A747A6" w:rsidRPr="008166F0" w:rsidRDefault="00A747A6" w:rsidP="00A747A6">
      <w:pPr>
        <w:spacing w:after="100" w:afterAutospacing="1" w:line="240" w:lineRule="auto"/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</w:pPr>
      <w:r w:rsidRPr="008166F0"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  <w:t>Source: Ministry of Health &amp; Saudi Commission for Health Specialties (SCFHS)</w:t>
      </w:r>
    </w:p>
    <w:p w14:paraId="5B5D069D" w14:textId="77777777" w:rsidR="00A747A6" w:rsidRPr="008166F0" w:rsidRDefault="00A747A6" w:rsidP="00A747A6">
      <w:pPr>
        <w:numPr>
          <w:ilvl w:val="0"/>
          <w:numId w:val="2"/>
        </w:numPr>
        <w:spacing w:after="100" w:afterAutospacing="1" w:line="240" w:lineRule="auto"/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</w:pPr>
      <w:r w:rsidRPr="00824190">
        <w:rPr>
          <w:rFonts w:asciiTheme="majorBidi" w:hAnsiTheme="majorBidi" w:cstheme="majorBidi"/>
          <w:b/>
          <w:bCs/>
          <w:color w:val="000000"/>
          <w:kern w:val="0"/>
          <w:sz w:val="20"/>
          <w:szCs w:val="20"/>
          <w14:ligatures w14:val="none"/>
        </w:rPr>
        <w:t>Rule 1 (The 5 Rights of Medication Administration):</w:t>
      </w:r>
      <w:r w:rsidRPr="008166F0"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  <w:t> Every nurse must independently verify the Right Patient, Right Drug, Right Dose, Right Route, and Right Time before administering any drug. External algorithmic suggestions do not waive this requirement.</w:t>
      </w:r>
    </w:p>
    <w:p w14:paraId="1AD3A56E" w14:textId="77777777" w:rsidR="00A747A6" w:rsidRPr="008166F0" w:rsidRDefault="00A747A6" w:rsidP="00A747A6">
      <w:pPr>
        <w:numPr>
          <w:ilvl w:val="0"/>
          <w:numId w:val="2"/>
        </w:numPr>
        <w:spacing w:after="100" w:afterAutospacing="1" w:line="240" w:lineRule="auto"/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</w:pPr>
      <w:r w:rsidRPr="00824190">
        <w:rPr>
          <w:rFonts w:asciiTheme="majorBidi" w:hAnsiTheme="majorBidi" w:cstheme="majorBidi"/>
          <w:b/>
          <w:bCs/>
          <w:color w:val="000000"/>
          <w:kern w:val="0"/>
          <w:sz w:val="20"/>
          <w:szCs w:val="20"/>
          <w14:ligatures w14:val="none"/>
        </w:rPr>
        <w:t>Rule 2 (Double-Check Protocol for High-Alert Medications): </w:t>
      </w:r>
      <w:r w:rsidRPr="008166F0"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  <w:t>High-alert medications (e.g., Insulin, Concentrated Electrolytes, Anticoagulants, Chemotherapy) require mandatory independent double-checking by a human nurse. AI-generated dosing must never be executed without human clinical validation.</w:t>
      </w:r>
    </w:p>
    <w:p w14:paraId="447E321F" w14:textId="77777777" w:rsidR="00A747A6" w:rsidRPr="008166F0" w:rsidRDefault="00A747A6" w:rsidP="00A747A6">
      <w:pPr>
        <w:numPr>
          <w:ilvl w:val="0"/>
          <w:numId w:val="2"/>
        </w:numPr>
        <w:spacing w:after="100" w:afterAutospacing="1" w:line="240" w:lineRule="auto"/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</w:pPr>
      <w:r w:rsidRPr="00824190">
        <w:rPr>
          <w:rFonts w:asciiTheme="majorBidi" w:hAnsiTheme="majorBidi" w:cstheme="majorBidi"/>
          <w:b/>
          <w:bCs/>
          <w:color w:val="000000"/>
          <w:kern w:val="0"/>
          <w:sz w:val="20"/>
          <w:szCs w:val="20"/>
          <w14:ligatures w14:val="none"/>
        </w:rPr>
        <w:t>Rule 3 (Clinical Reasoning Over Automated Output):</w:t>
      </w:r>
      <w:r w:rsidRPr="008166F0"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  <w:t> Clinical judgment and real-time patient assessment supersede any automated recommendation. If an AI tool suggests a medication that contradicts the patient's allergy history or organ impairment metrics (e.g., Renal/Hepatic failure), the nurse is legally and ethically obligated to override and report the suggestion.</w:t>
      </w:r>
    </w:p>
    <w:p w14:paraId="38559BD7" w14:textId="77777777" w:rsidR="00A747A6" w:rsidRPr="008166F0" w:rsidRDefault="00A747A6" w:rsidP="00A747A6">
      <w:pPr>
        <w:numPr>
          <w:ilvl w:val="0"/>
          <w:numId w:val="2"/>
        </w:numPr>
        <w:spacing w:after="100" w:afterAutospacing="1" w:line="240" w:lineRule="auto"/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</w:pPr>
      <w:r w:rsidRPr="00824190">
        <w:rPr>
          <w:rFonts w:asciiTheme="majorBidi" w:hAnsiTheme="majorBidi" w:cstheme="majorBidi"/>
          <w:b/>
          <w:bCs/>
          <w:color w:val="000000"/>
          <w:kern w:val="0"/>
          <w:sz w:val="20"/>
          <w:szCs w:val="20"/>
          <w14:ligatures w14:val="none"/>
        </w:rPr>
        <w:t>Rule 4 (Documentation &amp; Clinical Rationale): </w:t>
      </w:r>
      <w:r w:rsidRPr="008166F0"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  <w:t>Any modification, refusal, or acceptance of a clinical recommendation must be accompanied by a clear, documented clinical rationale in the patient's record.</w:t>
      </w:r>
    </w:p>
    <w:p w14:paraId="47485302" w14:textId="2ECA53AB" w:rsidR="00A747A6" w:rsidRPr="008166F0" w:rsidRDefault="003B4076" w:rsidP="00A747A6">
      <w:pPr>
        <w:spacing w:after="100" w:afterAutospacing="1" w:line="240" w:lineRule="auto"/>
        <w:outlineLvl w:val="1"/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  <w:t xml:space="preserve">3. </w:t>
      </w:r>
      <w:r w:rsidR="00A747A6" w:rsidRPr="008166F0">
        <w:rPr>
          <w:rFonts w:asciiTheme="majorBidi" w:eastAsia="Times New Roman" w:hAnsiTheme="majorBidi" w:cstheme="majorBidi"/>
          <w:color w:val="000000"/>
          <w:kern w:val="0"/>
          <w:sz w:val="20"/>
          <w:szCs w:val="20"/>
          <w14:ligatures w14:val="none"/>
        </w:rPr>
        <w:t>SDAIA AI Ethics Principles - Human-in-the-Loop &amp; Accountability</w:t>
      </w:r>
    </w:p>
    <w:p w14:paraId="3CA54DA4" w14:textId="77777777" w:rsidR="00A747A6" w:rsidRPr="008166F0" w:rsidRDefault="00A747A6" w:rsidP="00A747A6">
      <w:pPr>
        <w:spacing w:after="100" w:afterAutospacing="1" w:line="240" w:lineRule="auto"/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</w:pPr>
      <w:r w:rsidRPr="008166F0"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  <w:t>Source: Saudi Data and Artificial Intelligence Authority (SDAIA) - National AI Ethics Principles</w:t>
      </w:r>
    </w:p>
    <w:p w14:paraId="2CA06538" w14:textId="77777777" w:rsidR="00A747A6" w:rsidRPr="008166F0" w:rsidRDefault="00A747A6" w:rsidP="00A747A6">
      <w:pPr>
        <w:numPr>
          <w:ilvl w:val="0"/>
          <w:numId w:val="3"/>
        </w:numPr>
        <w:spacing w:after="100" w:afterAutospacing="1" w:line="240" w:lineRule="auto"/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</w:pPr>
      <w:r w:rsidRPr="003B4076">
        <w:rPr>
          <w:rFonts w:asciiTheme="majorBidi" w:hAnsiTheme="majorBidi" w:cstheme="majorBidi"/>
          <w:b/>
          <w:bCs/>
          <w:color w:val="000000"/>
          <w:kern w:val="0"/>
          <w:sz w:val="20"/>
          <w:szCs w:val="20"/>
          <w14:ligatures w14:val="none"/>
        </w:rPr>
        <w:t>Principle 1 (Human Oversight - Human-in-the-Loop):</w:t>
      </w:r>
      <w:r w:rsidRPr="008166F0"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  <w:t> AI systems operating in high-risk sectors (such as healthcare) must remain under active human supervision. AI outputs are purely advisory and cannot make autonomous clinical execution decisions without licensed human approval.</w:t>
      </w:r>
    </w:p>
    <w:p w14:paraId="2057EA9D" w14:textId="77777777" w:rsidR="00A747A6" w:rsidRPr="008166F0" w:rsidRDefault="00A747A6" w:rsidP="00A747A6">
      <w:pPr>
        <w:numPr>
          <w:ilvl w:val="0"/>
          <w:numId w:val="3"/>
        </w:numPr>
        <w:spacing w:after="100" w:afterAutospacing="1" w:line="240" w:lineRule="auto"/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</w:pPr>
      <w:r w:rsidRPr="003B4076">
        <w:rPr>
          <w:rFonts w:asciiTheme="majorBidi" w:hAnsiTheme="majorBidi" w:cstheme="majorBidi"/>
          <w:b/>
          <w:bCs/>
          <w:color w:val="000000"/>
          <w:kern w:val="0"/>
          <w:sz w:val="20"/>
          <w:szCs w:val="20"/>
          <w14:ligatures w14:val="none"/>
        </w:rPr>
        <w:t>Principle 2 (Accountability &amp; Responsibility): </w:t>
      </w:r>
      <w:r w:rsidRPr="008166F0"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  <w:t>Ultimate legal and clinical responsibility for patient outcomes remains with the human healthcare practitioner, not the AI vendor or algorithmic model.</w:t>
      </w:r>
    </w:p>
    <w:p w14:paraId="67D057A2" w14:textId="77777777" w:rsidR="00A747A6" w:rsidRPr="008166F0" w:rsidRDefault="00A747A6" w:rsidP="00A747A6">
      <w:pPr>
        <w:numPr>
          <w:ilvl w:val="0"/>
          <w:numId w:val="3"/>
        </w:numPr>
        <w:spacing w:after="100" w:afterAutospacing="1" w:line="240" w:lineRule="auto"/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</w:pPr>
      <w:r w:rsidRPr="003B4076">
        <w:rPr>
          <w:rFonts w:asciiTheme="majorBidi" w:hAnsiTheme="majorBidi" w:cstheme="majorBidi"/>
          <w:b/>
          <w:bCs/>
          <w:color w:val="000000"/>
          <w:kern w:val="0"/>
          <w:sz w:val="20"/>
          <w:szCs w:val="20"/>
          <w14:ligatures w14:val="none"/>
        </w:rPr>
        <w:t>Principle 3 (Fairness &amp; Bias Mitigation): </w:t>
      </w:r>
      <w:r w:rsidRPr="008166F0"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  <w:t>AI models must be continuously audited for algorithmic biases, demographic discrepancies, or systematic errors that could compromise health equity or safety.</w:t>
      </w:r>
    </w:p>
    <w:p w14:paraId="5AE64214" w14:textId="77777777" w:rsidR="003B1A0A" w:rsidRDefault="00A747A6" w:rsidP="00A747A6">
      <w:pPr>
        <w:numPr>
          <w:ilvl w:val="0"/>
          <w:numId w:val="3"/>
        </w:numPr>
        <w:spacing w:after="100" w:afterAutospacing="1" w:line="240" w:lineRule="auto"/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</w:pPr>
      <w:r w:rsidRPr="003B4076">
        <w:rPr>
          <w:rFonts w:asciiTheme="majorBidi" w:hAnsiTheme="majorBidi" w:cstheme="majorBidi"/>
          <w:b/>
          <w:bCs/>
          <w:color w:val="000000"/>
          <w:kern w:val="0"/>
          <w:sz w:val="20"/>
          <w:szCs w:val="20"/>
          <w14:ligatures w14:val="none"/>
        </w:rPr>
        <w:t>Principle 4 (Transparency &amp; Explainability):</w:t>
      </w:r>
      <w:r w:rsidRPr="008166F0"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  <w:t> AI recommendations must provide understandable explanations and source citations to allow clinicians to audit and evaluate the underlying reasoning behind the suggestion</w:t>
      </w:r>
    </w:p>
    <w:p w14:paraId="3EBED072" w14:textId="780547AB" w:rsidR="00A747A6" w:rsidRPr="003B1A0A" w:rsidRDefault="00A747A6" w:rsidP="003B1A0A">
      <w:pPr>
        <w:spacing w:after="100" w:afterAutospacing="1" w:line="240" w:lineRule="auto"/>
        <w:ind w:left="720"/>
        <w:rPr>
          <w:rFonts w:asciiTheme="majorBidi" w:hAnsiTheme="majorBidi" w:cstheme="majorBidi"/>
          <w:color w:val="000000"/>
          <w:kern w:val="0"/>
          <w:sz w:val="20"/>
          <w:szCs w:val="20"/>
          <w14:ligatures w14:val="none"/>
        </w:rPr>
      </w:pPr>
    </w:p>
    <w:p w14:paraId="3281029D" w14:textId="1A4E1F73" w:rsidR="003B1A0A" w:rsidRPr="0010234F" w:rsidRDefault="0010234F" w:rsidP="003B1A0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10234F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References </w:t>
      </w:r>
    </w:p>
    <w:p w14:paraId="06F31E87" w14:textId="77777777" w:rsidR="00E25388" w:rsidRDefault="00E25388">
      <w:pPr>
        <w:pStyle w:val="NormalWeb"/>
        <w:spacing w:before="0" w:beforeAutospacing="0"/>
        <w:rPr>
          <w:rFonts w:ascii="Arial" w:hAnsi="Arial" w:cs="Arial"/>
        </w:rPr>
      </w:pPr>
      <w:r w:rsidRPr="00E25388">
        <w:rPr>
          <w:rFonts w:asciiTheme="minorBidi" w:hAnsiTheme="minorBidi"/>
          <w:color w:val="000000"/>
          <w:sz w:val="20"/>
          <w:szCs w:val="20"/>
        </w:rPr>
        <w:t xml:space="preserve"> </w:t>
      </w: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rPr>
          <w:rFonts w:ascii="Arial" w:hAnsi="Arial" w:cs="Arial"/>
          <w:b/>
          <w:bCs/>
        </w:rPr>
        <w:t>Personal Data Protection Law (PDPL) - SDAIA</w:t>
      </w:r>
    </w:p>
    <w:p w14:paraId="37E6D1BF" w14:textId="77777777" w:rsidR="00E25388" w:rsidRDefault="00E25388" w:rsidP="00E25388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Document: Personal Data Protection Law (Royal Decree No. M/19)</w:t>
      </w:r>
    </w:p>
    <w:p w14:paraId="1E469059" w14:textId="01969FA2" w:rsidR="00E25388" w:rsidRPr="00E25388" w:rsidRDefault="00E25388" w:rsidP="00E25388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URL:</w:t>
      </w:r>
      <w:r>
        <w:rPr>
          <w:rStyle w:val="apple-converted-space"/>
          <w:rFonts w:ascii="Arial" w:hAnsi="Arial" w:cs="Arial"/>
        </w:rPr>
        <w:t> </w:t>
      </w:r>
      <w:r>
        <w:rPr>
          <w:rStyle w:val="HTMLCode"/>
          <w:rFonts w:ascii="Arial" w:hAnsi="Arial" w:cs="Arial"/>
        </w:rPr>
        <w:t>(</w:t>
      </w:r>
      <w:hyperlink r:id="rId5" w:history="1">
        <w:r w:rsidRPr="0092684F">
          <w:rPr>
            <w:rStyle w:val="Hyperlink"/>
            <w:rFonts w:ascii="Arial" w:hAnsi="Arial" w:cs="Arial"/>
            <w:sz w:val="20"/>
            <w:szCs w:val="20"/>
          </w:rPr>
          <w:t>https://sdaia.gov.sa</w:t>
        </w:r>
      </w:hyperlink>
      <w:r>
        <w:rPr>
          <w:rStyle w:val="HTMLCode"/>
          <w:rFonts w:ascii="Arial" w:hAnsi="Arial" w:cs="Arial"/>
        </w:rPr>
        <w:t>)</w:t>
      </w:r>
    </w:p>
    <w:p w14:paraId="5D054C58" w14:textId="77777777" w:rsidR="00E25388" w:rsidRDefault="00E25388">
      <w:pPr>
        <w:pStyle w:val="NormalWeb"/>
        <w:spacing w:before="0" w:beforeAutospacing="0"/>
        <w:rPr>
          <w:rFonts w:ascii="Arial" w:hAnsi="Arial" w:cs="Arial"/>
        </w:rPr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rPr>
          <w:rFonts w:ascii="Arial" w:hAnsi="Arial" w:cs="Arial"/>
          <w:b/>
          <w:bCs/>
        </w:rPr>
        <w:t>National AI Ethics Principles - SDAIA</w:t>
      </w:r>
    </w:p>
    <w:p w14:paraId="2F4EB2B2" w14:textId="77777777" w:rsidR="00E25388" w:rsidRDefault="00E25388" w:rsidP="00E25388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Document: National Artificial Intelligence Ethics Principles Guidelines</w:t>
      </w:r>
    </w:p>
    <w:p w14:paraId="455ADA8D" w14:textId="01056766" w:rsidR="00E25388" w:rsidRPr="00E25388" w:rsidRDefault="00E25388" w:rsidP="00E25388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URL:</w:t>
      </w:r>
      <w:r>
        <w:rPr>
          <w:rStyle w:val="apple-converted-space"/>
          <w:rFonts w:ascii="Arial" w:hAnsi="Arial" w:cs="Arial"/>
        </w:rPr>
        <w:t> </w:t>
      </w:r>
      <w:r>
        <w:rPr>
          <w:rStyle w:val="HTMLCode"/>
          <w:rFonts w:ascii="Arial" w:hAnsi="Arial" w:cs="Arial"/>
        </w:rPr>
        <w:t>](</w:t>
      </w:r>
      <w:hyperlink r:id="rId6" w:history="1">
        <w:r w:rsidRPr="0092684F">
          <w:rPr>
            <w:rStyle w:val="Hyperlink"/>
            <w:rFonts w:ascii="Arial" w:hAnsi="Arial" w:cs="Arial"/>
            <w:sz w:val="20"/>
            <w:szCs w:val="20"/>
          </w:rPr>
          <w:t>https://sdaia.gov.sa</w:t>
        </w:r>
      </w:hyperlink>
      <w:r>
        <w:rPr>
          <w:rStyle w:val="HTMLCode"/>
          <w:rFonts w:ascii="Arial" w:hAnsi="Arial" w:cs="Arial"/>
        </w:rPr>
        <w:t>)</w:t>
      </w:r>
    </w:p>
    <w:p w14:paraId="62BEB498" w14:textId="77777777" w:rsidR="00E25388" w:rsidRDefault="00E25388">
      <w:pPr>
        <w:pStyle w:val="NormalWeb"/>
        <w:spacing w:before="0" w:beforeAutospacing="0"/>
        <w:rPr>
          <w:rFonts w:ascii="Arial" w:hAnsi="Arial" w:cs="Arial"/>
        </w:rPr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rPr>
          <w:rFonts w:ascii="Arial" w:hAnsi="Arial" w:cs="Arial"/>
          <w:b/>
          <w:bCs/>
        </w:rPr>
        <w:t>Nursing Practice &amp; Patient Safety - Ministry of Health (MOH)</w:t>
      </w:r>
    </w:p>
    <w:p w14:paraId="49231398" w14:textId="77777777" w:rsidR="00E25388" w:rsidRDefault="00E25388" w:rsidP="00E25388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Document: Saudi Healthcare System Executive Regulations &amp; Patient Safety Protocols</w:t>
      </w:r>
    </w:p>
    <w:p w14:paraId="399C5C34" w14:textId="1CFE2EB3" w:rsidR="00E25388" w:rsidRPr="00E25388" w:rsidRDefault="00E25388" w:rsidP="00E25388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URL:</w:t>
      </w:r>
      <w:r>
        <w:rPr>
          <w:rStyle w:val="apple-converted-space"/>
          <w:rFonts w:ascii="Arial" w:hAnsi="Arial" w:cs="Arial"/>
        </w:rPr>
        <w:t> </w:t>
      </w:r>
      <w:r>
        <w:rPr>
          <w:rStyle w:val="HTMLCode"/>
          <w:rFonts w:ascii="Arial" w:hAnsi="Arial" w:cs="Arial"/>
        </w:rPr>
        <w:t>(</w:t>
      </w:r>
      <w:hyperlink r:id="rId7" w:history="1">
        <w:r w:rsidRPr="0092684F">
          <w:rPr>
            <w:rStyle w:val="Hyperlink"/>
            <w:rFonts w:ascii="Arial" w:hAnsi="Arial" w:cs="Arial"/>
            <w:sz w:val="20"/>
            <w:szCs w:val="20"/>
          </w:rPr>
          <w:t>https://www.moh.gov.sa</w:t>
        </w:r>
      </w:hyperlink>
      <w:r>
        <w:rPr>
          <w:rStyle w:val="HTMLCode"/>
          <w:rFonts w:ascii="Arial" w:hAnsi="Arial" w:cs="Arial"/>
        </w:rPr>
        <w:t>)</w:t>
      </w:r>
    </w:p>
    <w:p w14:paraId="3F9CD771" w14:textId="77777777" w:rsidR="00E25388" w:rsidRDefault="00E25388">
      <w:pPr>
        <w:pStyle w:val="NormalWeb"/>
        <w:spacing w:before="0" w:beforeAutospacing="0"/>
        <w:rPr>
          <w:rFonts w:ascii="Arial" w:hAnsi="Arial" w:cs="Arial"/>
        </w:rPr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rPr>
          <w:rFonts w:ascii="Arial" w:hAnsi="Arial" w:cs="Arial"/>
          <w:b/>
          <w:bCs/>
        </w:rPr>
        <w:t>Machine Learning Architectural Framework - ITU</w:t>
      </w:r>
    </w:p>
    <w:p w14:paraId="7F01D43A" w14:textId="77777777" w:rsidR="00E25388" w:rsidRDefault="00E25388" w:rsidP="00E25388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Document: Recommendation ITU-T Y.3172 Specification</w:t>
      </w:r>
    </w:p>
    <w:p w14:paraId="0437AE88" w14:textId="35C243AC" w:rsidR="00E25388" w:rsidRPr="00E25388" w:rsidRDefault="00E25388" w:rsidP="00E25388">
      <w:pPr>
        <w:pStyle w:val="NormalWeb"/>
        <w:numPr>
          <w:ilvl w:val="0"/>
          <w:numId w:val="8"/>
        </w:numPr>
        <w:spacing w:before="0" w:beforeAutospacing="0"/>
        <w:rPr>
          <w:rStyle w:val="HTMLCode"/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URL:</w:t>
      </w:r>
      <w:r>
        <w:rPr>
          <w:rStyle w:val="apple-converted-space"/>
          <w:rFonts w:ascii="Arial" w:hAnsi="Arial" w:cs="Arial"/>
        </w:rPr>
        <w:t> </w:t>
      </w:r>
      <w:r>
        <w:rPr>
          <w:rStyle w:val="HTMLCode"/>
          <w:rFonts w:ascii="Arial" w:hAnsi="Arial" w:cs="Arial" w:hint="cs"/>
          <w:rtl/>
        </w:rPr>
        <w:t>)</w:t>
      </w:r>
      <w:hyperlink r:id="rId8" w:history="1">
        <w:r w:rsidRPr="0092684F">
          <w:rPr>
            <w:rStyle w:val="Hyperlink"/>
            <w:rFonts w:ascii="Arial" w:hAnsi="Arial" w:cs="Arial"/>
            <w:sz w:val="20"/>
            <w:szCs w:val="20"/>
          </w:rPr>
          <w:t>https://www.itu.int/rec/T-REC-Y.3172/en</w:t>
        </w:r>
      </w:hyperlink>
      <w:r>
        <w:rPr>
          <w:rStyle w:val="HTMLCode"/>
          <w:rFonts w:ascii="Arial" w:hAnsi="Arial" w:cs="Arial"/>
        </w:rPr>
        <w:t>)</w:t>
      </w:r>
    </w:p>
    <w:p w14:paraId="14B1FC9C" w14:textId="77777777" w:rsidR="00E25388" w:rsidRDefault="00E25388" w:rsidP="00E25388">
      <w:pPr>
        <w:pStyle w:val="NormalWeb"/>
        <w:spacing w:before="0" w:beforeAutospacing="0"/>
        <w:ind w:left="720"/>
        <w:rPr>
          <w:rFonts w:ascii="Arial" w:hAnsi="Arial" w:cs="Arial"/>
        </w:rPr>
      </w:pPr>
    </w:p>
    <w:p w14:paraId="0E5D28E3" w14:textId="672F5BD0" w:rsidR="00170C0A" w:rsidRPr="00E25388" w:rsidRDefault="00170C0A" w:rsidP="00E25388">
      <w:pPr>
        <w:rPr>
          <w:rFonts w:eastAsia="Times New Roman"/>
          <w:b/>
          <w:bCs/>
          <w:color w:val="000000"/>
        </w:rPr>
      </w:pPr>
    </w:p>
    <w:p w14:paraId="63E5BD73" w14:textId="77777777" w:rsidR="00C44C2F" w:rsidRDefault="00C44C2F" w:rsidP="00DF4F67">
      <w:pPr>
        <w:rPr>
          <w:rStyle w:val="HTMLCode"/>
          <w:rFonts w:asciiTheme="majorBidi" w:hAnsiTheme="majorBidi" w:cstheme="majorBidi"/>
          <w:color w:val="000000"/>
          <w:rtl/>
        </w:rPr>
      </w:pPr>
    </w:p>
    <w:p w14:paraId="6AB05F85" w14:textId="77777777" w:rsidR="00C518B3" w:rsidRPr="00C518B3" w:rsidRDefault="00C518B3" w:rsidP="00DF4F67">
      <w:pPr>
        <w:rPr>
          <w:rStyle w:val="HTMLCode"/>
          <w:rFonts w:asciiTheme="majorBidi" w:hAnsiTheme="majorBidi" w:cstheme="majorBidi"/>
          <w:color w:val="000000"/>
          <w:rtl/>
        </w:rPr>
      </w:pPr>
    </w:p>
    <w:p w14:paraId="1350CCBE" w14:textId="77777777" w:rsidR="00244B0D" w:rsidRPr="00C518B3" w:rsidRDefault="00244B0D" w:rsidP="00DF4F67">
      <w:pPr>
        <w:rPr>
          <w:rFonts w:asciiTheme="majorBidi" w:eastAsia="Times New Roman" w:hAnsiTheme="majorBidi" w:cstheme="majorBidi"/>
          <w:color w:val="000000"/>
          <w:rtl/>
        </w:rPr>
      </w:pPr>
    </w:p>
    <w:sectPr w:rsidR="00244B0D" w:rsidRPr="00C518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095D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401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D79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868B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857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C3F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F50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171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909281">
    <w:abstractNumId w:val="2"/>
  </w:num>
  <w:num w:numId="2" w16cid:durableId="297106876">
    <w:abstractNumId w:val="4"/>
  </w:num>
  <w:num w:numId="3" w16cid:durableId="1379864028">
    <w:abstractNumId w:val="6"/>
  </w:num>
  <w:num w:numId="4" w16cid:durableId="131217860">
    <w:abstractNumId w:val="3"/>
  </w:num>
  <w:num w:numId="5" w16cid:durableId="896235941">
    <w:abstractNumId w:val="1"/>
  </w:num>
  <w:num w:numId="6" w16cid:durableId="2021737096">
    <w:abstractNumId w:val="7"/>
  </w:num>
  <w:num w:numId="7" w16cid:durableId="2065523553">
    <w:abstractNumId w:val="0"/>
  </w:num>
  <w:num w:numId="8" w16cid:durableId="172321544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7A6"/>
    <w:rsid w:val="00030848"/>
    <w:rsid w:val="0006352C"/>
    <w:rsid w:val="00064A97"/>
    <w:rsid w:val="000E5965"/>
    <w:rsid w:val="0010234F"/>
    <w:rsid w:val="00140552"/>
    <w:rsid w:val="00170C0A"/>
    <w:rsid w:val="001957DD"/>
    <w:rsid w:val="001F4FB9"/>
    <w:rsid w:val="00244B0D"/>
    <w:rsid w:val="00280C4B"/>
    <w:rsid w:val="003158C1"/>
    <w:rsid w:val="00335581"/>
    <w:rsid w:val="003B1A0A"/>
    <w:rsid w:val="003B4076"/>
    <w:rsid w:val="004B03BA"/>
    <w:rsid w:val="00546C1D"/>
    <w:rsid w:val="00555EA5"/>
    <w:rsid w:val="005E5418"/>
    <w:rsid w:val="00634475"/>
    <w:rsid w:val="00664C87"/>
    <w:rsid w:val="00790C8A"/>
    <w:rsid w:val="008166F0"/>
    <w:rsid w:val="00824190"/>
    <w:rsid w:val="008672EB"/>
    <w:rsid w:val="008E606F"/>
    <w:rsid w:val="00944D7E"/>
    <w:rsid w:val="00964AAE"/>
    <w:rsid w:val="009650D6"/>
    <w:rsid w:val="009C7E3C"/>
    <w:rsid w:val="00A747A6"/>
    <w:rsid w:val="00AD5027"/>
    <w:rsid w:val="00BE4177"/>
    <w:rsid w:val="00C44C2F"/>
    <w:rsid w:val="00C518B3"/>
    <w:rsid w:val="00CC6F69"/>
    <w:rsid w:val="00DF4F67"/>
    <w:rsid w:val="00E25388"/>
    <w:rsid w:val="00E3270A"/>
    <w:rsid w:val="00E365FE"/>
    <w:rsid w:val="00F0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ACF4DD"/>
  <w15:chartTrackingRefBased/>
  <w15:docId w15:val="{3E47EEC1-AF37-AD45-AD84-029469DCF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7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47A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747A6"/>
  </w:style>
  <w:style w:type="character" w:styleId="HTMLCode">
    <w:name w:val="HTML Code"/>
    <w:basedOn w:val="DefaultParagraphFont"/>
    <w:uiPriority w:val="99"/>
    <w:semiHidden/>
    <w:unhideWhenUsed/>
    <w:rsid w:val="0010234F"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E54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4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53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tu.int/rec/T-REC-Y.3172/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h.gov.s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daia.gov.sa" TargetMode="External"/><Relationship Id="rId5" Type="http://schemas.openxmlformats.org/officeDocument/2006/relationships/hyperlink" Target="https://sdaia.gov.s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Fatimah Saleh Alruwayshid</dc:creator>
  <cp:keywords/>
  <dc:description/>
  <cp:lastModifiedBy>Fatimah Saleh Alruwayshid</cp:lastModifiedBy>
  <cp:revision>2</cp:revision>
  <dcterms:created xsi:type="dcterms:W3CDTF">2026-08-06T07:31:00Z</dcterms:created>
  <dcterms:modified xsi:type="dcterms:W3CDTF">2026-08-06T07:31:00Z</dcterms:modified>
</cp:coreProperties>
</file>