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19 — FĀIDAH FĪ TADMĪR ADH-DHĀLIM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8"/>
        </w:rPr>
        <w:t>Fāidatun fī tadmiridh dhālim.</w:t>
      </w:r>
    </w:p>
    <w:p>
      <w:r>
        <w:rPr>
          <w:i/>
          <w:sz w:val="18"/>
        </w:rPr>
        <w:t>Assalāmu 'alaikum wa rahmatullāhi wa barakātuh, ikhwatī fillāh, irta'aitu an adha'a baina aidīkumul amīnah hādzihil fāidata fī qahridh dhālīmi wa tadmirih, wa hiya min ba'dhi tashārīfi [Hasbunallāhu wa ni'mal wakīl] an-nādirah wal qawiyyah, fa-as'alukum billāhi ta'ālā an lā tadhlimū bihā ahadan, wa lā taf'alūhā illā liman dhalama wa ta'addā wa tajabbara wastakbara, wa qad akhfaitu fīhā sirrahā, fa-man fatahallāhu 'an bashīratihi wajadahā kas-summiz zu'āfi fī dahdhidh dhālīmi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dhalimi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'aladh dhālim, Allāhummaqtha' anfāsahū wa syattit syamlahū wa farriq jam'ahū waqlib tadbīrahū wa baddil ahwālahū wa qarrib ājālahū wa zalzil aqdāmahū wahriq 'idhāmahū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8"/>
        </w:rPr>
        <w:t>Tammad du'ā', wal 'azīmah: [Lā ilāha illallāhul Hasībul Wakīl]</w:t>
      </w:r>
    </w:p>
    <w:p>
      <w:r>
        <w:rPr>
          <w:i/>
          <w:sz w:val="18"/>
        </w:rPr>
        <w:t>Wa ba'da tamāmil 'azīmati wad du'ā'i ta'khudhul qith'ata min 'alan nāri, tadha'uhā fī qārūratin zujājin au ma'danin fīhā mā'un bāridun, wa tasuddu 'alaihā fī makānin mudhlimin, fa-tarā sirrallāhi fidh dhālīm, fa-in 'āda 'an dhulmihī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8"/>
        </w:rPr>
        <w:t>Faedah dalam menghancurkan orang zalim.</w:t>
        <w:br/>
        <w:br/>
      </w:r>
      <w:r>
        <w:rPr>
          <w:color w:val="0D47A1"/>
          <w:sz w:val="18"/>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8"/>
        </w:rPr>
        <w:t>Selesai doa. Adapun azimahnya: [Tidak ada tuhan selain Allah Yang Maha Mencukupi lagi Maha Melindungi].</w:t>
        <w:br/>
        <w:br/>
      </w:r>
      <w:r>
        <w:rPr>
          <w:color w:val="0D47A1"/>
          <w:sz w:val="18"/>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jc w:val="center"/>
      </w:pPr>
      <w:r>
        <w:drawing>
          <wp:inline xmlns:a="http://schemas.openxmlformats.org/drawingml/2006/main" xmlns:pic="http://schemas.openxmlformats.org/drawingml/2006/picture">
            <wp:extent cx="5029200" cy="3886200"/>
            <wp:docPr id="1" name="Picture 1"/>
            <wp:cNvGraphicFramePr>
              <a:graphicFrameLocks noChangeAspect="1"/>
            </wp:cNvGraphicFramePr>
            <a:graphic>
              <a:graphicData uri="http://schemas.openxmlformats.org/drawingml/2006/picture">
                <pic:pic>
                  <pic:nvPicPr>
                    <pic:cNvPr id="0" name="hal_19.png"/>
                    <pic:cNvPicPr/>
                  </pic:nvPicPr>
                  <pic:blipFill>
                    <a:blip r:embed="rId11"/>
                    <a:stretch>
                      <a:fillRect/>
                    </a:stretch>
                  </pic:blipFill>
                  <pic:spPr>
                    <a:xfrm>
                      <a:off x="0" y="0"/>
                      <a:ext cx="5029200" cy="3886200"/>
                    </a:xfrm>
                    <a:prstGeom prst="rect"/>
                  </pic:spPr>
                </pic:pic>
              </a:graphicData>
            </a:graphic>
          </wp:inline>
        </w:drawing>
      </w:r>
    </w:p>
    <w:p>
      <w:pPr>
        <w:jc w:val="center"/>
      </w:pPr>
      <w:r>
        <w:rPr>
          <w:i/>
          <w:sz w:val="15"/>
        </w:rPr>
        <w:t>[Gambar: HALAMAN 19 — FĀIDAH FĪ TADMĪR ADH-DHĀLIM — فَائِدَةٌ فِي تَدْمِيرِ الظَّالِمِ — Scan 300 DPI — hal_19.png]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Hal19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