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HALAMAN 20 — AL-WAFQU AL-MUTSALLATS 3×3 — الْوَفْقُ الْمُثَلَّثُ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c>
          <w:tcPr>
            <w:tcW w:type="dxa" w:w="3346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8"/>
              </w:rPr>
              <w:t>٥٢</w:t>
            </w:r>
          </w:p>
        </w:tc>
        <w:tc>
          <w:tcPr>
            <w:tcW w:type="dxa" w:w="3346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8"/>
              </w:rPr>
              <w:t>١٢٣٠</w:t>
            </w:r>
          </w:p>
        </w:tc>
        <w:tc>
          <w:tcPr>
            <w:tcW w:type="dxa" w:w="3346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8"/>
              </w:rPr>
              <w:t>٦١٤</w:t>
            </w:r>
          </w:p>
        </w:tc>
      </w:tr>
      <w:tr>
        <w:tc>
          <w:tcPr>
            <w:tcW w:type="dxa" w:w="3346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8"/>
              </w:rPr>
              <w:t>١١٦٠</w:t>
            </w:r>
          </w:p>
        </w:tc>
        <w:tc>
          <w:tcPr>
            <w:tcW w:type="dxa" w:w="3346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8"/>
              </w:rPr>
              <w:t>[القلب الخالي — يوضع فيه عدد حروف الدفع بعد الجمع والدائرة]</w:t>
            </w:r>
          </w:p>
        </w:tc>
        <w:tc>
          <w:tcPr>
            <w:tcW w:type="dxa" w:w="3346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8"/>
              </w:rPr>
              <w:t>٧٣٦</w:t>
            </w:r>
          </w:p>
        </w:tc>
      </w:tr>
      <w:tr>
        <w:tc>
          <w:tcPr>
            <w:tcW w:type="dxa" w:w="3346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8"/>
              </w:rPr>
              <w:t>٦٨٤</w:t>
            </w:r>
          </w:p>
        </w:tc>
        <w:tc>
          <w:tcPr>
            <w:tcW w:type="dxa" w:w="3346"/>
            <w:shd w:val="clear" w:color="auto" w:fill="E8F5E9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8"/>
              </w:rPr>
              <w:t>٦٦٦</w:t>
            </w:r>
          </w:p>
        </w:tc>
        <w:tc>
          <w:tcPr>
            <w:tcW w:type="dxa" w:w="3346"/>
            <w:shd w:val="clear" w:color="auto" w:fill="FFF8E1"/>
          </w:tcPr>
          <w:p>
            <w:pPr>
              <w:jc w:val="center"/>
              <w:bidi w:val="1"/>
            </w:pPr>
            <w:r>
              <w:rPr>
                <w:rFonts w:ascii="Scheherazade New" w:hAnsi="Scheherazade New"/>
                <w:color w:val="1A237E"/>
                <w:sz w:val="28"/>
              </w:rPr>
              <w:t>٥٤٦</w:t>
            </w:r>
          </w:p>
        </w:tc>
      </w:tr>
    </w:tbl>
    <w:p>
      <w:pPr>
        <w:jc w:val="center"/>
      </w:pPr>
      <w:r>
        <w:rPr>
          <w:i/>
          <w:sz w:val="14"/>
        </w:rPr>
        <w:t>Visual LTR (sebagaimana tampak pada gambar): 614 | 1230 | 52 / 736 | [القلب الخالي] | 1160 / 546 | 666 | 684 — Penyimpanan RTL: 52|1230|614 / 1160|[القلب]|736 / 684|666|546 agar dir=rtl</w:t>
      </w:r>
    </w:p>
    <w:p>
      <w:pPr>
        <w:jc w:val="center"/>
      </w:pPr>
      <w:r>
        <w:rPr>
          <w:sz w:val="16"/>
        </w:rPr>
        <w:t>الأركان الأربعة: أَنْفَايِيل (keempat sudut melintang bingkai hijau) — القلب الخالي: يوضع فيه عدد حروف الدفع بعد الجمع والدائرة</w:t>
      </w:r>
    </w:p>
    <w:p>
      <w:pPr>
        <w:jc w:val="center"/>
      </w:pPr>
      <w:r>
        <w:rPr>
          <w:sz w:val="16"/>
        </w:rPr>
        <w:t>تحوطه بالبسملة من سطر المثلث الأسفل — كتابة موالية للمثلث من اليمين إلى الشمال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14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l_20_wafaq_3x3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14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5"/>
        </w:rPr>
        <w:t>[Gambar: HALAMAN 20 — AL-WAFQU AL-MUTSALLATS 3×3 — الْوَفْقُ الْمُثَلَّثُ — hal_20_wafaq_3x3.jpg]</w:t>
      </w:r>
    </w:p>
    <w:sectPr w:rsidR="00FC693F" w:rsidRPr="0006063C" w:rsidSect="00034616"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43D6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B5E2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E342E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