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HALAMAN 04 — SAMPUL DALAM — فَوَائِدُ وَمُجَرَّبَاتُ الشَّيْخِ الْبَشِيرِ</w:t>
      </w:r>
    </w:p>
    <w:p>
      <w:pPr>
        <w:pStyle w:val="Heading2"/>
      </w:pPr>
      <w:r>
        <w:t>arab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8"/>
        </w:rPr>
        <w:t>فَوَائِدُ وَمُجَرَّبَاتُ</w:t>
      </w:r>
    </w:p>
    <w:p>
      <w:pPr>
        <w:jc w:val="right"/>
        <w:bidi w:val="1"/>
        <w:shd w:val="clear" w:color="auto" w:fill="FFF8E1"/>
        <w:pBdr>
          <w:top w:val="single" w:sz="4" w:space="4" w:color="BDBDBD"/>
          <w:left w:val="single" w:sz="4" w:space="4" w:color="BDBDBD"/>
          <w:bottom w:val="single" w:sz="4" w:space="4" w:color="BDBDBD"/>
          <w:right w:val="single" w:sz="4" w:space="4" w:color="BDBDBD"/>
        </w:pBdr>
      </w:pPr>
      <w:r>
        <w:rPr>
          <w:rFonts w:ascii="Scheherazade New" w:hAnsi="Scheherazade New"/>
          <w:color w:val="1A237E"/>
          <w:sz w:val="28"/>
        </w:rPr>
        <w:t>الشَّيْخِ الْبَشِيرِ</w:t>
      </w:r>
    </w:p>
    <w:p>
      <w:pPr>
        <w:pStyle w:val="Heading2"/>
      </w:pPr>
      <w:r>
        <w:t>latin</w:t>
      </w:r>
    </w:p>
    <w:p>
      <w:r>
        <w:rPr>
          <w:i/>
          <w:color w:val="1A237E"/>
          <w:sz w:val="18"/>
        </w:rPr>
        <w:t>Fawā'idu wa-Mujarrabātu</w:t>
      </w:r>
    </w:p>
    <w:p>
      <w:r>
        <w:rPr>
          <w:i/>
          <w:color w:val="1A237E"/>
          <w:sz w:val="18"/>
        </w:rPr>
        <w:t>ash-Shaykhi al-Bashīri</w:t>
      </w:r>
    </w:p>
    <w:p>
      <w:pPr>
        <w:pStyle w:val="Heading2"/>
      </w:pPr>
      <w:r>
        <w:t>Terjemahan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Faedah-faedah dan mujarrabat-mujarrabat,</w:t>
      </w:r>
    </w:p>
    <w:p>
      <w:pPr>
        <w:shd w:val="clear" w:color="auto" w:fill="E8F5E9"/>
        <w:pBdr>
          <w:left w:val="single" w:sz="12" w:space="6" w:color="2E7D32"/>
        </w:pBdr>
      </w:pPr>
      <w:r>
        <w:rPr>
          <w:color w:val="0D47A1"/>
          <w:sz w:val="18"/>
        </w:rPr>
        <w:t>Syeikh Al-Basyir.</w:t>
      </w:r>
    </w:p>
    <w:p>
      <w:pPr>
        <w:pStyle w:val="Heading2"/>
      </w:pPr>
      <w:r>
        <w:t>Syarah dan Penjelasan</w:t>
      </w:r>
    </w:p>
    <w:p>
      <w:r>
        <w:rPr>
          <w:rFonts w:ascii="Calibri" w:hAnsi="Calibri"/>
          <w:i w:val="0"/>
          <w:sz w:val="17"/>
        </w:rPr>
        <w:t>Halaman pembatas: menandai masuknya bab utama kitab — kumpulan faedah dan amalan mujarrabat dari Syeikh Al-Basyir.</w:t>
      </w:r>
    </w:p>
    <w:p>
      <w:pPr>
        <w:pStyle w:val="Heading2"/>
      </w:pPr>
      <w:r>
        <w:t>Khususiyah dan Tatacara Praktik</w:t>
      </w:r>
    </w:p>
    <w:p>
      <w:r>
        <w:rPr>
          <w:rFonts w:ascii="Calibri" w:hAnsi="Calibri"/>
          <w:i w:val="0"/>
          <w:sz w:val="17"/>
        </w:rPr>
        <w:t>Halaman sampul dalam tidak ada amalan khusus — hanya penanda judul bab. Tidak ada wirid pada halaman ini.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  <w:r>
      <w:rPr>
        <w:color w:val="757575"/>
        <w:sz w:val="12"/>
      </w:rPr>
      <w:t xml:space="preserve"> — HALAMAN 04 — SAMPUL DALAM — فَوَائِدُ وَمُجَرَّبَاتُ الشَّيْخِ الْبَشِيرِ — isi kitab saja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i/>
        <w:color w:val="6D4C41"/>
        <w:sz w:val="13"/>
      </w:rPr>
      <w:t>Anwār ash-Shaykh al-Bashīr — HALAMAN 04 — SAMPUL DALAM — فَوَائِدُ وَمُجَرَّبَاتُ الشَّيْخِ الْبَشِيرِ — arab • latin • Terjemahan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1B5E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4E342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HALAMAN 04 — SAMPUL DALAM — فَوَائِدُ وَمُجَرَّبَاتُ الشَّيْخِ الْبَشِيرِ</dc:title>
  <dc:subject/>
  <dc:creator>arena/7021a54a-kitab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