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06 — MAYSARAH 1/3 — طَرِيقَةُ الْمُيَسَّرَةِ فِي جَلْبِ الْأَرْزَاقِ</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 وَنَضَعُ فِي ذَلِكَ مِثَالًا بِاسْمِ مُرَادٍ وَأُمِّهِ مَرْيَمَ:</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م ر ا د م ر ي م = 535 نَلْفِظُ الْعَدَدَ حَرْفِيًّا</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535 : خ م س و ث ل ا ث و ن و خ م س م ا ئ 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ثُمَّ نُزِيلُ التَّكْرَارَ مِنَ الْحُرُوفِ هَكَذَا:</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خ م س و ث ل ن ا هـ = 9 أَحْرُفٍ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وَكَذَلِكَ نَفْعَلُ بِاسْمِ الطَّالِبِ نُزِيلُ مِنْهُ الْمُكَرَّرَ وَحُرُوفَ الْمَدِّ هَكَذَا:</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م ر ا د م ر ي م ، تَصِيرُ كَالتَّالِي: م ر د ي = 4 حُرُوفٍ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9 - 4 = 5 فَثَبَتَ الْعَمَلُ فِي وَفْقٍ مُخَمَّسٍ، وَعَدَدُ بُيُوتِهِ 25 بَيْتًا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ثُمَّ بَعْدَ ذَلِكَ نُقَارِنُ حُرُوفَ لَفْظِ الْعَدَدِ مَعَ حُرُوفِ الطَّالِبِ وَنُزِيلُ الْمُكَرَّرَ مِنْهُمَا:</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خ م س و ث ل ن ا هـ م ر د ي ، فَتَصِيرُ الْحُرُوفُ هَكَذَا:</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وَهَذَا هُوَ الْأُسُّ الْحَرْفِيُّ الْمُعَدَّلُ، فَنَأْخُذُ مِنَ الْحُرُوفِ مَا كَانَ عَدَدُهُ أَقَلَّ مِنْ 13 تُوضَعُ فِي الْوَفْقِ، وَمَا كَانَ أَكْثَرَ مِنْ 13 فَهِيَ لِلرُّوحَانِيِّ، وَالْحُرُوفُ الْمُسْتَخْرَجَةُ هِيَ كَالتَّالِي:</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أَقَلُّ مِنْ 13: و ا هـ د ي</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أَكْثَرُ مِنْ 13: خ م س ث ل ن 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س م س ن ل ن ر</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ر س ن م ل س ن</w:t>
      </w:r>
    </w:p>
    <w:p>
      <w:pPr>
        <w:jc w:val="right"/>
        <w:bidi w:val="1"/>
        <w:shd w:val="clear" w:color="auto" w:fill="FFEBEE"/>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4"/>
        </w:rPr>
        <w:t>ن ر س س ل ن م</w:t>
      </w:r>
    </w:p>
    <w:p>
      <w:pPr>
        <w:pStyle w:val="Heading2"/>
      </w:pPr>
      <w:r>
        <w:t>latin</w:t>
      </w:r>
    </w:p>
    <w:p>
      <w:r>
        <w:rPr>
          <w:i/>
          <w:color w:val="1A237E"/>
          <w:sz w:val="18"/>
        </w:rPr>
        <w:t>Ṭarīqatu al-Muyassarati fī Jalbi al-Arzāqi</w:t>
      </w:r>
    </w:p>
    <w:p>
      <w:r>
        <w:rPr>
          <w:i/>
          <w:color w:val="1A237E"/>
          <w:sz w:val="18"/>
        </w:rPr>
        <w:t>Ikhwatī fī Allāhi</w:t>
      </w:r>
    </w:p>
    <w:p>
      <w:r>
        <w:rPr>
          <w:i/>
          <w:color w:val="1A237E"/>
          <w:sz w:val="18"/>
        </w:rPr>
        <w:t>Aḍaʿu bayna aydīkum hādhihi ad-durrata an-nāfiʿata fī jalbi al-arzāqi wa rawāji at-tijārati wa hiya Ṭarīqatu al-Muyassarati wa irta'aytu an aḍaʿahā lakum limā fīhā mina al-khayri wa al-barakati wa kadhālika li-iḥtiwā'ihā ʿalā qawāʿida ḥarfiyyatin tusāʿidukum ʿalā mā naḥnu bi-ṣadadihi bi-idhni Allāhi wa naḍaʿu fī dhālika mithālan bi-ismi Murādin wa ummihi Maryama</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r>
        <w:rPr>
          <w:i/>
          <w:color w:val="1A237E"/>
          <w:sz w:val="18"/>
        </w:rPr>
        <w:t>Thumma nuzīlu at-takrāra mina al-ḥurūfi hākadhā</w:t>
      </w:r>
    </w:p>
    <w:p>
      <w:pPr>
        <w:shd w:val="clear" w:color="auto" w:fill="FFEBEE"/>
      </w:pPr>
      <w:r>
        <w:rPr>
          <w:i/>
          <w:color w:val="B00020"/>
          <w:sz w:val="16"/>
        </w:rPr>
        <w:t>[Rajah Huruf — tidak diterjemahkan]</w:t>
      </w:r>
    </w:p>
    <w:p>
      <w:r>
        <w:rPr>
          <w:i/>
          <w:color w:val="1A237E"/>
          <w:sz w:val="18"/>
        </w:rPr>
        <w:t>Wa kadhālika nafʿalu bi-ismi aṭ-ṭālibi nuzīlu minhu al-mukarrara wa ḥurūfa al-maddi hākadhā</w:t>
      </w:r>
    </w:p>
    <w:p>
      <w:pPr>
        <w:shd w:val="clear" w:color="auto" w:fill="FFEBEE"/>
      </w:pPr>
      <w:r>
        <w:rPr>
          <w:i/>
          <w:color w:val="B00020"/>
          <w:sz w:val="16"/>
        </w:rPr>
        <w:t>[Rajah Huruf — tidak diterjemahkan]</w:t>
      </w:r>
    </w:p>
    <w:p>
      <w:r>
        <w:rPr>
          <w:i/>
          <w:color w:val="1A237E"/>
          <w:sz w:val="18"/>
        </w:rPr>
        <w:t>Thumma naṭraḥu al-aqalla mina al-akthari</w:t>
      </w:r>
    </w:p>
    <w:p>
      <w:r>
        <w:rPr>
          <w:i/>
          <w:color w:val="1A237E"/>
          <w:sz w:val="18"/>
        </w:rPr>
        <w:t>9 - 4 = 5 fa-thabata al-ʿamalu fī wafqin mukhammasi wa ʿadadu buyūtihi 25 baytan</w:t>
      </w:r>
    </w:p>
    <w:p>
      <w:r>
        <w:rPr>
          <w:i/>
          <w:color w:val="1A237E"/>
          <w:sz w:val="18"/>
        </w:rPr>
        <w:t>Thumma baʿda dhālika nuqārinu ḥurūfa lafẓi al-ʿadadi maʿa ḥurūfi aṭ-ṭālibi wa nuzīlu al-mukarrara minhumā</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r>
        <w:rPr>
          <w:i/>
          <w:color w:val="1A237E"/>
          <w:sz w:val="18"/>
        </w:rPr>
        <w:t>Wa hādhā huwa al-ussu al-ḥarfiyyu al-muʿaddalu fa-na'khudhu mina al-ḥurūfi mā kāna ʿadaduhu aqalla min 13 tūḍaʿu fī al-wafqi wa mā kāna akthara min 13 fa-hiya li-ar-rūḥāniyyi wa al-ḥurūfu al-mustakhrajatu hiya ka-at-tālī</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pStyle w:val="Heading2"/>
      </w:pPr>
      <w:r>
        <w:t>Terjemahan</w:t>
      </w:r>
    </w:p>
    <w:p>
      <w:pPr>
        <w:shd w:val="clear" w:color="auto" w:fill="E8F5E9"/>
        <w:pBdr>
          <w:left w:val="single" w:sz="12" w:space="6" w:color="2E7D32"/>
        </w:pBdr>
      </w:pPr>
      <w:r>
        <w:rPr>
          <w:i w:val="0"/>
          <w:color w:val="0D47A1"/>
          <w:sz w:val="18"/>
        </w:rPr>
        <w:t>Cara Maysarah untuk Menarik Rezeki.</w:t>
      </w:r>
    </w:p>
    <w:p>
      <w:pPr>
        <w:shd w:val="clear" w:color="auto" w:fill="E8F5E9"/>
        <w:pBdr>
          <w:left w:val="single" w:sz="12" w:space="6" w:color="2E7D32"/>
        </w:pBdr>
      </w:pPr>
      <w:r>
        <w:rPr>
          <w:i w:val="0"/>
          <w:color w:val="0D47A1"/>
          <w:sz w:val="18"/>
        </w:rPr>
        <w:t>Wahai saudara-saudaraku karena Allah,</w:t>
      </w:r>
    </w:p>
    <w:p>
      <w:pPr>
        <w:shd w:val="clear" w:color="auto" w:fill="E8F5E9"/>
        <w:pBdr>
          <w:left w:val="single" w:sz="12" w:space="6" w:color="2E7D32"/>
        </w:pBdr>
      </w:pPr>
      <w:r>
        <w:rPr>
          <w:i w:val="0"/>
          <w:color w:val="0D47A1"/>
          <w:sz w:val="18"/>
        </w:rPr>
        <w:t>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E8F5E9"/>
        <w:pBdr>
          <w:left w:val="single" w:sz="12" w:space="6" w:color="2E7D32"/>
        </w:pBdr>
      </w:pPr>
      <w:r>
        <w:rPr>
          <w:i w:val="0"/>
          <w:color w:val="0D47A1"/>
          <w:sz w:val="18"/>
        </w:rPr>
        <w:t>Kemudian kita hilangkan pengulangan dari huruf-huruf seperti ini:</w:t>
      </w:r>
    </w:p>
    <w:p>
      <w:pPr>
        <w:shd w:val="clear" w:color="auto" w:fill="FFEBEE"/>
      </w:pPr>
      <w:r>
        <w:rPr>
          <w:i/>
          <w:color w:val="B00020"/>
          <w:sz w:val="16"/>
        </w:rPr>
        <w:t>[Rajah Huruf — tidak diterjemahkan]</w:t>
      </w:r>
    </w:p>
    <w:p>
      <w:pPr>
        <w:shd w:val="clear" w:color="auto" w:fill="E8F5E9"/>
        <w:pBdr>
          <w:left w:val="single" w:sz="12" w:space="6" w:color="2E7D32"/>
        </w:pBdr>
      </w:pPr>
      <w:r>
        <w:rPr>
          <w:i w:val="0"/>
          <w:color w:val="0D47A1"/>
          <w:sz w:val="18"/>
        </w:rPr>
        <w:t>Begitu juga kita lakukan pada nama penanya, kita hilangkan yang berulang dan huruf mad seperti ini:</w:t>
      </w:r>
    </w:p>
    <w:p>
      <w:pPr>
        <w:shd w:val="clear" w:color="auto" w:fill="FFEBEE"/>
      </w:pPr>
      <w:r>
        <w:rPr>
          <w:i/>
          <w:color w:val="B00020"/>
          <w:sz w:val="16"/>
        </w:rPr>
        <w:t>[Rajah Huruf — tidak diterjemahkan]</w:t>
      </w:r>
    </w:p>
    <w:p>
      <w:pPr>
        <w:shd w:val="clear" w:color="auto" w:fill="E8F5E9"/>
        <w:pBdr>
          <w:left w:val="single" w:sz="12" w:space="6" w:color="2E7D32"/>
        </w:pBdr>
      </w:pPr>
      <w:r>
        <w:rPr>
          <w:i w:val="0"/>
          <w:color w:val="0D47A1"/>
          <w:sz w:val="18"/>
        </w:rPr>
        <w:t>Kemudian kita kurangkan yang lebih sedikit dari yang lebih banyak:</w:t>
      </w:r>
    </w:p>
    <w:p>
      <w:pPr>
        <w:shd w:val="clear" w:color="auto" w:fill="E8F5E9"/>
        <w:pBdr>
          <w:left w:val="single" w:sz="12" w:space="6" w:color="2E7D32"/>
        </w:pBdr>
      </w:pPr>
      <w:r>
        <w:rPr>
          <w:i w:val="0"/>
          <w:color w:val="0D47A1"/>
          <w:sz w:val="18"/>
        </w:rPr>
        <w:t>9 - 4 = 5 maka tetap pekerjaannya pada wafaq 5×5, jumlah petaknya 25 petak.</w:t>
      </w:r>
    </w:p>
    <w:p>
      <w:pPr>
        <w:shd w:val="clear" w:color="auto" w:fill="E8F5E9"/>
        <w:pBdr>
          <w:left w:val="single" w:sz="12" w:space="6" w:color="2E7D32"/>
        </w:pBdr>
      </w:pPr>
      <w:r>
        <w:rPr>
          <w:i w:val="0"/>
          <w:color w:val="0D47A1"/>
          <w:sz w:val="18"/>
        </w:rPr>
        <w:t>Kemudian setelah itu kita bandingkan huruf-huruf lafaz bilangan dengan huruf-huruf penanya dan kita hilangkan yang berulang dari keduanya:</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E8F5E9"/>
        <w:pBdr>
          <w:left w:val="single" w:sz="12" w:space="6" w:color="2E7D32"/>
        </w:pBdr>
      </w:pPr>
      <w:r>
        <w:rPr>
          <w:i w:val="0"/>
          <w:color w:val="0D47A1"/>
          <w:sz w:val="18"/>
        </w:rPr>
        <w:t>Dan ini adalah pokok huruf yang telah disesuaikan. Kita ambil dari huruf-huruf itu yang bilangannya kurang dari 13 diletakkan pada wafaq, dan yang lebih dari 13 untuk ruhaninya. Huruf-huruf yang dikeluarkan adalah sebagai berikut:</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FFEBEE"/>
      </w:pPr>
      <w:r>
        <w:rPr>
          <w:i/>
          <w:color w:val="B00020"/>
          <w:sz w:val="16"/>
        </w:rPr>
        <w:t>Wajib atas kita menyesuaikan dua huruf zhulmani dari ruhaninya [Rajah Huruf] tetapi penyesuaian dengan mizan yang kekal tanpa nisbah perbedaan, maka kita ganti huruf [Rajah Huruf] dengan huruf [Rajah Huruf] sehingga huruf-hurufnya menjadi [Rajah Huruf] kemudian kita pecah 3 kali seperti ini:</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shd w:val="clear" w:color="auto" w:fill="FFEBEE"/>
      </w:pPr>
      <w:r>
        <w:rPr>
          <w:i/>
          <w:color w:val="B00020"/>
          <w:sz w:val="16"/>
        </w:rPr>
        <w:t>[Rajah Huruf — tidak diterjemahkan]</w:t>
      </w:r>
    </w:p>
    <w:p>
      <w:pPr>
        <w:pStyle w:val="Heading2"/>
      </w:pPr>
      <w:r>
        <w:t>Syarah dan Penjelasan</w:t>
      </w:r>
    </w:p>
    <w:p>
      <w:r>
        <w:rPr>
          <w:rFonts w:ascii="Calibri" w:hAnsi="Calibri"/>
          <w:sz w:val="17"/>
        </w:rPr>
        <w:t>Halaman ini menjelaskan kaidah hisab huruf (mizan harfi) untuk wafaq Maysarah 5×5. Contoh Murad bin Maryam = 535 diucapkan huruf per huruf, dihilangkan yang berulang, dibandingkan dengan nama penanya, hingga didapat 13 sebagai pokok. Dua huruf zhulmani (خ, ث) disesuaikan menjadi س, ن dengan mizan aighqi agar tidak panas. Tiga baris terakhir adalah taksir (pemecahan) huruf ruhani.</w:t>
      </w:r>
    </w:p>
    <w:p>
      <w:pPr>
        <w:pStyle w:val="Heading2"/>
      </w:pPr>
      <w:r>
        <w:t>Khususiyah dan Tatacara Praktik</w:t>
      </w:r>
    </w:p>
    <w:p>
      <w:r>
        <w:rPr>
          <w:rFonts w:ascii="Calibri" w:hAnsi="Calibri"/>
          <w:sz w:val="17"/>
        </w:rPr>
        <w:t>Khasiat Maysarah: menarik rezeki dan melariskan dagang. Kaidah di halaman ini adalah dasar hisab — belum ada tata cara tulis wafaq (akan dirinci Hal07-08). Ikuti hitungan dengan wudhu dan niat halal.</w:t>
      </w:r>
    </w:p>
    <w:p>
      <w:pPr>
        <w:jc w:val="center"/>
      </w:pPr>
      <w:r>
        <w:drawing>
          <wp:inline xmlns:a="http://schemas.openxmlformats.org/drawingml/2006/main" xmlns:pic="http://schemas.openxmlformats.org/drawingml/2006/picture">
            <wp:extent cx="4480560" cy="3462251"/>
            <wp:docPr id="1" name="Picture 1"/>
            <wp:cNvGraphicFramePr>
              <a:graphicFrameLocks noChangeAspect="1"/>
            </wp:cNvGraphicFramePr>
            <a:graphic>
              <a:graphicData uri="http://schemas.openxmlformats.org/drawingml/2006/picture">
                <pic:pic>
                  <pic:nvPicPr>
                    <pic:cNvPr id="0" name="hal_06.png"/>
                    <pic:cNvPicPr/>
                  </pic:nvPicPr>
                  <pic:blipFill>
                    <a:blip r:embed="rId11"/>
                    <a:stretch>
                      <a:fillRect/>
                    </a:stretch>
                  </pic:blipFill>
                  <pic:spPr>
                    <a:xfrm>
                      <a:off x="0" y="0"/>
                      <a:ext cx="4480560" cy="3462251"/>
                    </a:xfrm>
                    <a:prstGeom prst="rect"/>
                  </pic:spPr>
                </pic:pic>
              </a:graphicData>
            </a:graphic>
          </wp:inline>
        </w:drawing>
      </w:r>
    </w:p>
    <w:p>
      <w:pPr>
        <w:jc w:val="center"/>
      </w:pPr>
      <w:r>
        <w:rPr>
          <w:i/>
          <w:sz w:val="14"/>
        </w:rPr>
        <w:t>[Gambar: Hal 06 Asli — rajah terpisah]</w:t>
      </w:r>
    </w:p>
    <w:sectPr w:rsidR="00FC693F" w:rsidRPr="0006063C" w:rsidSect="00034616">
      <w:headerReference w:type="default" r:id="rId9"/>
      <w:footerReference w:type="default" r:id="rId10"/>
      <w:pgSz w:w="11909" w:h="16834"/>
      <w:pgMar w:top="864" w:right="1008" w:bottom="864"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Hal 06 — rajah tidak diterjemahkan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Anwār ash-Shaykh al-Bashīr — HAL 06 MAYSARAH 1/3 — arab • latin • Terjemahan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4E342E"/>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 06 MAYSARAH</dc:title>
  <dc:subject/>
  <dc:creator>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