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Hal01-16</w:t>
      </w:r>
    </w:p>
    <w:p>
      <w:pPr>
        <w:pStyle w:val="ListBullet"/>
      </w:pPr>
      <w:r>
        <w:rPr>
          <w:sz w:val="16"/>
        </w:rPr>
        <w:t>Hal 01 Sampul — Anwārush-Syaikhil-Basyīr ……………………………… 3</w:t>
      </w:r>
    </w:p>
    <w:p>
      <w:pPr>
        <w:pStyle w:val="ListBullet"/>
      </w:pPr>
      <w:r>
        <w:rPr>
          <w:sz w:val="16"/>
        </w:rPr>
        <w:t>Hal 02 Ihda' …………………………………………………………… 4</w:t>
      </w:r>
    </w:p>
    <w:p>
      <w:pPr>
        <w:pStyle w:val="ListBullet"/>
      </w:pPr>
      <w:r>
        <w:rPr>
          <w:sz w:val="16"/>
        </w:rPr>
        <w:t>Hal 03 Ijazah 'Ammah ……………………………………………… 5</w:t>
      </w:r>
    </w:p>
    <w:p>
      <w:pPr>
        <w:pStyle w:val="ListBullet"/>
      </w:pPr>
      <w:r>
        <w:rPr>
          <w:sz w:val="16"/>
        </w:rPr>
        <w:t>Hal 04 Sampul Dalam ……………………………………………… 6</w:t>
      </w:r>
    </w:p>
    <w:p>
      <w:pPr>
        <w:pStyle w:val="ListBullet"/>
      </w:pPr>
      <w:r>
        <w:rPr>
          <w:sz w:val="16"/>
        </w:rPr>
        <w:t>Hal 05 Fihris 13 Faedah …………………………………………… 7</w:t>
      </w:r>
    </w:p>
    <w:p>
      <w:pPr>
        <w:pStyle w:val="ListBullet"/>
      </w:pPr>
      <w:r>
        <w:rPr>
          <w:sz w:val="16"/>
        </w:rPr>
        <w:t>Hal 06 Faedah Maysarah 1/3 ……………………………………… 8</w:t>
      </w:r>
    </w:p>
    <w:p>
      <w:pPr>
        <w:pStyle w:val="ListBullet"/>
      </w:pPr>
      <w:r>
        <w:rPr>
          <w:sz w:val="16"/>
        </w:rPr>
        <w:t>Hal 07 Faedah Maysarah 2/3 ……………………………………… 10</w:t>
      </w:r>
    </w:p>
    <w:p>
      <w:pPr>
        <w:pStyle w:val="ListBullet"/>
      </w:pPr>
      <w:r>
        <w:rPr>
          <w:sz w:val="16"/>
        </w:rPr>
        <w:t>Hal 08 Faedah Maysarah 3/3 + 2 Wafaq ………………………… 12</w:t>
      </w:r>
    </w:p>
    <w:p>
      <w:pPr>
        <w:pStyle w:val="ListBullet"/>
      </w:pPr>
      <w:r>
        <w:rPr>
          <w:sz w:val="16"/>
        </w:rPr>
        <w:t>Hal 09 Muhriqah 1/2 ……………………………………………… 14</w:t>
      </w:r>
    </w:p>
    <w:p>
      <w:pPr>
        <w:pStyle w:val="ListBullet"/>
      </w:pPr>
      <w:r>
        <w:rPr>
          <w:sz w:val="16"/>
        </w:rPr>
        <w:t>Hal 10 Muhriqah 2/2 + Jadwal …………………………………… 16</w:t>
      </w:r>
    </w:p>
    <w:p>
      <w:pPr>
        <w:pStyle w:val="ListBullet"/>
      </w:pPr>
      <w:r>
        <w:rPr>
          <w:sz w:val="16"/>
        </w:rPr>
        <w:t>Hal 11 Qathi'ah 1/2 ……………………………………………… 18</w:t>
      </w:r>
    </w:p>
    <w:p>
      <w:pPr>
        <w:pStyle w:val="ListBullet"/>
      </w:pPr>
      <w:r>
        <w:rPr>
          <w:sz w:val="16"/>
        </w:rPr>
        <w:t>Hal 12 Qathi'ah 2/2 + Wafaq 3×3 ……………………………… 20</w:t>
      </w:r>
    </w:p>
    <w:p>
      <w:pPr>
        <w:pStyle w:val="ListBullet"/>
      </w:pPr>
      <w:r>
        <w:rPr>
          <w:sz w:val="16"/>
        </w:rPr>
        <w:t>Hal 13 Zajr Qathi' 1/3 …………………………………………… 22</w:t>
      </w:r>
    </w:p>
    <w:p>
      <w:pPr>
        <w:pStyle w:val="ListBullet"/>
      </w:pPr>
      <w:r>
        <w:rPr>
          <w:sz w:val="16"/>
        </w:rPr>
        <w:t>Hal 14 Zajr Qathi' 2/3 …………………………………………… 24</w:t>
      </w:r>
    </w:p>
    <w:p>
      <w:pPr>
        <w:pStyle w:val="ListBullet"/>
      </w:pPr>
      <w:r>
        <w:rPr>
          <w:sz w:val="16"/>
        </w:rPr>
        <w:t>Hal 15 Thard 'Athlush 1/2 — Azimah 21× …………………… 26</w:t>
      </w:r>
    </w:p>
    <w:p>
      <w:pPr>
        <w:pStyle w:val="ListBullet"/>
      </w:pPr>
      <w:r>
        <w:rPr>
          <w:sz w:val="16"/>
        </w:rPr>
        <w:t>Hal 16 Thard 'Athlush 2/2 — Wafaq 3×3 ……………………… 28</w:t>
      </w:r>
    </w:p>
    <w:p>
      <w:r>
        <w:br w:type="page"/>
      </w:r>
    </w:p>
    <w:p>
      <w:pPr>
        <w:pStyle w:val="Heading1"/>
      </w:pPr>
      <w:r>
        <w:t>HALAMAN 01 — SAMPUL — أَنْوَارُ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pPr>
        <w:jc w:val="left"/>
      </w:pPr>
      <w:r>
        <w:rPr>
          <w:i/>
          <w:color w:val="1A237E"/>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jc w:val="left"/>
      </w:pPr>
      <w:r>
        <w:rPr>
          <w:rFonts w:ascii="Calibri" w:hAnsi="Calibri"/>
          <w:b w:val="0"/>
          <w:i w:val="0"/>
          <w:sz w:val="17"/>
        </w:rPr>
        <w:t>_Syarah sesuai nash kitab._</w:t>
      </w:r>
    </w:p>
    <w:p>
      <w:pPr>
        <w:pStyle w:val="Heading2"/>
      </w:pPr>
      <w:r>
        <w:t>Khususiyah dan Tatacara Praktik</w:t>
      </w:r>
    </w:p>
    <w:p>
      <w:pPr>
        <w:jc w:val="left"/>
      </w:pPr>
      <w:r>
        <w:rPr>
          <w:rFonts w:ascii="Calibri" w:hAnsi="Calibri"/>
          <w:b w:val="0"/>
          <w:i w:val="0"/>
          <w:sz w:val="17"/>
        </w:rPr>
        <w:t>_Khususiyah sesuai nash — lihat Syarah._</w:t>
      </w:r>
    </w:p>
    <w:p>
      <w:r>
        <w:br w:type="page"/>
      </w:r>
    </w:p>
    <w:p>
      <w:pPr>
        <w:pStyle w:val="Heading1"/>
      </w:pPr>
      <w:r>
        <w:t>HALAMAN 02 — IHDA' — إِهْدَاءُ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pPr>
        <w:jc w:val="left"/>
      </w:pPr>
      <w:r>
        <w:rPr>
          <w:i/>
          <w:color w:val="1A237E"/>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jc w:val="left"/>
      </w:pPr>
      <w:r>
        <w:rPr>
          <w:rFonts w:ascii="Calibri" w:hAnsi="Calibri"/>
          <w:b w:val="0"/>
          <w:i w:val="0"/>
          <w:sz w:val="17"/>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pStyle w:val="Heading2"/>
      </w:pPr>
      <w:r>
        <w:t>Khususiyah dan Tatacara Praktik</w:t>
      </w:r>
    </w:p>
    <w:p>
      <w:pPr>
        <w:jc w:val="left"/>
      </w:pPr>
      <w:r>
        <w:rPr>
          <w:rFonts w:ascii="Calibri" w:hAnsi="Calibri"/>
          <w:b w:val="0"/>
          <w:i w:val="0"/>
          <w:sz w:val="17"/>
        </w:rPr>
        <w:t>Halaman ihda' tidak ada ritual khusus — fungsinya niyyah &amp; sanad. Adab: baca ihda' dengan khushu', hadiahkan Fatihah setelahnya (seperti ijazah hal 03: shalawat + Fatihah untuk Nabi, guru, diri). Tidak perlu menulis/membakar halaman ini.</w:t>
      </w:r>
    </w:p>
    <w:p>
      <w:r>
        <w:br w:type="page"/>
      </w:r>
    </w:p>
    <w:p>
      <w:pPr>
        <w:pStyle w:val="Heading1"/>
      </w:pPr>
      <w:r>
        <w:t>HALAMAN 03 — IJAZAH 'AMMAH — إِجَازَةُ الشَّيْخِ الْبَشِيرِ</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pPr>
        <w:jc w:val="left"/>
      </w:pPr>
      <w:r>
        <w:rPr>
          <w:i/>
          <w:color w:val="1A237E"/>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jc w:val="left"/>
      </w:pPr>
      <w:r>
        <w:rPr>
          <w:rFonts w:ascii="Calibri" w:hAnsi="Calibri"/>
          <w:b w:val="0"/>
          <w:i w:val="0"/>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pStyle w:val="Heading2"/>
      </w:pPr>
      <w:r>
        <w:t>Khususiyah dan Tatacara Praktik</w:t>
      </w:r>
    </w:p>
    <w:p>
      <w:pPr>
        <w:jc w:val="left"/>
      </w:pPr>
      <w:r>
        <w:rPr>
          <w:rFonts w:ascii="Calibri" w:hAnsi="Calibri"/>
          <w:b w:val="0"/>
          <w:i w:val="0"/>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r>
        <w:br w:type="page"/>
      </w:r>
    </w:p>
    <w:p>
      <w:pPr>
        <w:pStyle w:val="Heading1"/>
      </w:pPr>
      <w:r>
        <w:t>HALAMAN 04 — SAMPUL DALAM — فَوَائِدُ وَمُجَرَّبَاتُ</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pPr>
        <w:jc w:val="left"/>
      </w:pPr>
      <w:r>
        <w:rPr>
          <w:i/>
          <w:color w:val="1A237E"/>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jc w:val="left"/>
      </w:pPr>
      <w:r>
        <w:rPr>
          <w:rFonts w:ascii="Calibri" w:hAnsi="Calibri"/>
          <w:b w:val="0"/>
          <w:i w:val="0"/>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pStyle w:val="Heading2"/>
      </w:pPr>
      <w:r>
        <w:t>Khususiyah dan Tatacara Praktik</w:t>
      </w:r>
    </w:p>
    <w:p>
      <w:pPr>
        <w:jc w:val="left"/>
      </w:pPr>
      <w:r>
        <w:rPr>
          <w:rFonts w:ascii="Calibri" w:hAnsi="Calibri"/>
          <w:b w:val="0"/>
          <w:i w:val="0"/>
          <w:sz w:val="17"/>
        </w:rPr>
        <w:t>Sama seperti sampul — tidak ada ritual. Hanya penanda niat: membaca judul dalam ini dengan berharap faidah &amp; mujarrabat yang sahih.</w:t>
      </w:r>
    </w:p>
    <w:p>
      <w:r>
        <w:br w:type="page"/>
      </w:r>
    </w:p>
    <w:p>
      <w:pPr>
        <w:pStyle w:val="Heading1"/>
      </w:pPr>
      <w:r>
        <w:t>HALAMAN 05 — FIHRIS — فِهْرِسُ مُجَرَّبَاتِ</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pPr>
        <w:jc w:val="left"/>
      </w:pPr>
      <w:r>
        <w:rPr>
          <w:i/>
          <w:color w:val="1A237E"/>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jc w:val="left"/>
      </w:pPr>
      <w:r>
        <w:rPr>
          <w:rFonts w:ascii="Calibri" w:hAnsi="Calibri"/>
          <w:b w:val="0"/>
          <w:i w:val="0"/>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pStyle w:val="Heading2"/>
      </w:pPr>
      <w:r>
        <w:t>Khususiyah dan Tatacara Praktik</w:t>
      </w:r>
    </w:p>
    <w:p>
      <w:pPr>
        <w:jc w:val="left"/>
      </w:pPr>
      <w:r>
        <w:rPr>
          <w:rFonts w:ascii="Calibri" w:hAnsi="Calibri"/>
          <w:b w:val="0"/>
          <w:i w:val="0"/>
          <w:sz w:val="17"/>
        </w:rPr>
        <w:t>Fihris tidak ada amalan — hanya penunjuk. Adab: baca fihris untuk memilih hajat, jangan amalkan semua sekaligus. Prioritaskan faedah yang sesuai hajat &amp; telah dapat ijazah hal 03.</w:t>
      </w:r>
    </w:p>
    <w:p>
      <w:r>
        <w:br w:type="page"/>
      </w:r>
    </w:p>
    <w:p>
      <w:pPr>
        <w:pStyle w:val="Heading1"/>
      </w:pPr>
      <w:r>
        <w:t>HALAMAN 06 — FAEDAH MAYSARAH 1/3 — طَرِيقَةُ الْمَيْسَرَةِ</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pPr>
        <w:jc w:val="left"/>
      </w:pPr>
      <w:r>
        <w:rPr>
          <w:i/>
          <w:color w:val="1A237E"/>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jc w:val="left"/>
      </w:pPr>
      <w:r>
        <w:rPr>
          <w:rFonts w:ascii="Calibri" w:hAnsi="Calibri"/>
          <w:b w:val="0"/>
          <w:i w:val="0"/>
          <w:sz w:val="17"/>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pStyle w:val="Heading2"/>
      </w:pPr>
      <w:r>
        <w:t>Khususiyah dan Tatacara Praktik</w:t>
      </w:r>
    </w:p>
    <w:p>
      <w:pPr>
        <w:jc w:val="left"/>
      </w:pPr>
      <w:r>
        <w:rPr>
          <w:rFonts w:ascii="Calibri" w:hAnsi="Calibri"/>
          <w:b w:val="0"/>
          <w:i w:val="0"/>
          <w:sz w:val="17"/>
        </w:rPr>
        <w:t>Khasiat: melariskan dagang &amp; menarik rizki halal. Belum ada tatacara di hal 06 — baru hisab. Persiapan: siapkan nama penanya (tholib) + nama ibu, hitung seperti contoh, siapkan kertas putih &amp; tinta misk (akan dirinci hal 07).</w:t>
      </w:r>
    </w:p>
    <w:p>
      <w:r>
        <w:br w:type="page"/>
      </w:r>
    </w:p>
    <w:p>
      <w:pPr>
        <w:pStyle w:val="Heading1"/>
      </w:pPr>
      <w:r>
        <w:t>HALAMAN 07 — FAEDAH MAYSARAH 2/3 — LANJUTAN</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pPr>
        <w:jc w:val="left"/>
      </w:pPr>
      <w:r>
        <w:rPr>
          <w:i/>
          <w:color w:val="1A237E"/>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jc w:val="left"/>
      </w:pPr>
      <w:r>
        <w:rPr>
          <w:rFonts w:ascii="Calibri" w:hAnsi="Calibri"/>
          <w:b w:val="0"/>
          <w:i w:val="0"/>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pStyle w:val="Heading2"/>
      </w:pPr>
      <w:r>
        <w:t>Khususiyah dan Tatacara Praktik</w:t>
      </w:r>
    </w:p>
    <w:p>
      <w:pPr>
        <w:pStyle w:val="ListBullet"/>
      </w:pPr>
      <w:r>
        <w:rPr>
          <w:sz w:val="16"/>
        </w:rPr>
        <w:t>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r>
        <w:br w:type="page"/>
      </w:r>
    </w:p>
    <w:p>
      <w:pPr>
        <w:pStyle w:val="Heading1"/>
      </w:pPr>
      <w:r>
        <w:t>HALAMAN 08 — FAEDAH MAYSARAH 3/3 — 2 WAFAQ</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pPr>
        <w:jc w:val="left"/>
      </w:pPr>
      <w:r>
        <w:rPr>
          <w:i/>
          <w:color w:val="1A237E"/>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jc w:val="left"/>
      </w:pPr>
      <w:r>
        <w:rPr>
          <w:rFonts w:ascii="Calibri" w:hAnsi="Calibri"/>
          <w:b w:val="0"/>
          <w:i w:val="0"/>
          <w:sz w:val="17"/>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pStyle w:val="Heading2"/>
      </w:pPr>
      <w:r>
        <w:t>Khususiyah dan Tatacara Praktik</w:t>
      </w:r>
    </w:p>
    <w:p>
      <w:pPr>
        <w:pStyle w:val="ListBullet"/>
      </w:pPr>
      <w:r>
        <w:rPr>
          <w:sz w:val="16"/>
        </w:rPr>
        <w:t xml:space="preserve">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left"/>
      </w:pPr>
      <w:r>
        <w:rPr>
          <w:rFonts w:ascii="Calibri" w:hAnsi="Calibri"/>
          <w:b w:val="0"/>
          <w:i w:val="0"/>
          <w:sz w:val="17"/>
        </w:rPr>
        <w:t>![Wafaq Hal 08](rajah_anwar_FINAL_300DPI/IMG_20261025_072327.jpg)</w:t>
        <w:br/>
        <w:t>[Gambar: Wafaq Hal 08]</w:t>
      </w:r>
    </w:p>
    <w:p>
      <w:pPr>
        <w:jc w:val="left"/>
      </w:pPr>
      <w:r>
        <w:rPr>
          <w:rFonts w:ascii="Calibri" w:hAnsi="Calibri"/>
          <w:b w:val="0"/>
          <w:i w:val="0"/>
          <w:sz w:val="17"/>
        </w:rPr>
        <w:t>![Wafaq Hal 08](rajah_anwar_FINAL_300DPI/IMG_20261025_072355.jpg)</w:t>
        <w:br/>
        <w:t>[Gambar: Wafaq Hal 08]</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spacing w:before="20" w:after="80"/>
        <w:jc w:val="center"/>
      </w:pPr>
      <w:r>
        <w:rPr>
          <w:i/>
          <w:color w:val="424242"/>
          <w:sz w:val="15"/>
        </w:rPr>
        <w:t>[Gambar: Wafaq Hal 08 — Scan 300 DPI — IMG_20261025_072327.jpg]</w:t>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pPr>
        <w:spacing w:before="20" w:after="80"/>
        <w:jc w:val="center"/>
      </w:pPr>
      <w:r>
        <w:rPr>
          <w:i/>
          <w:color w:val="424242"/>
          <w:sz w:val="15"/>
        </w:rPr>
        <w:t>[Gambar: Wafaq Hal 08 — Scan 300 DPI — IMG_20261025_072355.jpg]</w:t>
      </w:r>
    </w:p>
    <w:p>
      <w:r>
        <w:br w:type="page"/>
      </w:r>
    </w:p>
    <w:p>
      <w:pPr>
        <w:pStyle w:val="Heading1"/>
      </w:pPr>
      <w:r>
        <w:t>HALAMAN 09 — FAEDAH MUHRIQAH 1/2</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pPr>
        <w:jc w:val="left"/>
      </w:pPr>
      <w:r>
        <w:rPr>
          <w:i/>
          <w:color w:val="1A237E"/>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jc w:val="left"/>
      </w:pPr>
      <w:r>
        <w:rPr>
          <w:rFonts w:ascii="Calibri" w:hAnsi="Calibri"/>
          <w:b w:val="0"/>
          <w:i w:val="0"/>
          <w:sz w:val="17"/>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pStyle w:val="Heading2"/>
      </w:pPr>
      <w:r>
        <w:t>Khususiyah dan Tatacara Praktik</w:t>
      </w:r>
    </w:p>
    <w:p>
      <w:pPr>
        <w:jc w:val="left"/>
      </w:pPr>
      <w:r>
        <w:rPr>
          <w:rFonts w:ascii="Calibri" w:hAnsi="Calibri"/>
          <w:b w:val="0"/>
          <w:i w:val="0"/>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r>
        <w:br w:type="page"/>
      </w:r>
    </w:p>
    <w:p>
      <w:pPr>
        <w:pStyle w:val="Heading1"/>
      </w:pPr>
      <w:r>
        <w:t>HALAMAN 10 — FAEDAH MUHRIQAH 2/2 — JADWAL &amp; QASAM</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pPr>
        <w:jc w:val="left"/>
      </w:pPr>
      <w:r>
        <w:rPr>
          <w:i/>
          <w:color w:val="1A237E"/>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jc w:val="left"/>
      </w:pPr>
      <w:r>
        <w:rPr>
          <w:rFonts w:ascii="Calibri" w:hAnsi="Calibri"/>
          <w:b w:val="0"/>
          <w:i w:val="0"/>
          <w:sz w:val="17"/>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pStyle w:val="Heading2"/>
      </w:pPr>
      <w:r>
        <w:t>Khususiyah dan Tatacara Praktik</w:t>
      </w:r>
    </w:p>
    <w:p>
      <w:pPr>
        <w:jc w:val="left"/>
      </w:pPr>
      <w:r>
        <w:rPr>
          <w:rFonts w:ascii="Calibri" w:hAnsi="Calibri"/>
          <w:b w:val="0"/>
          <w:i w:val="0"/>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left"/>
      </w:pPr>
      <w:r>
        <w:rPr>
          <w:rFonts w:ascii="Calibri" w:hAnsi="Calibri"/>
          <w:b w:val="0"/>
          <w:i w:val="0"/>
          <w:sz w:val="17"/>
        </w:rPr>
        <w:t>![Wafaq Hal 10](rajah_anwar_FINAL_300DPI/IMG_20261025_072854.jpg)</w:t>
        <w:br/>
        <w:t>[Gambar: Wafaq Hal 10]</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pPr>
        <w:spacing w:before="20" w:after="80"/>
        <w:jc w:val="center"/>
      </w:pPr>
      <w:r>
        <w:rPr>
          <w:i/>
          <w:color w:val="424242"/>
          <w:sz w:val="15"/>
        </w:rPr>
        <w:t>[Gambar: Wafaq Hal 10 — Scan 300 DPI — IMG_20261025_072854.jpg]</w:t>
      </w:r>
    </w:p>
    <w:p>
      <w:r>
        <w:br w:type="page"/>
      </w:r>
    </w:p>
    <w:p>
      <w:pPr>
        <w:pStyle w:val="Heading1"/>
      </w:pPr>
      <w:r>
        <w:t>HALAMAN 11 — FAEDAH QATHI'AH 1/2</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pPr>
        <w:jc w:val="left"/>
      </w:pPr>
      <w:r>
        <w:rPr>
          <w:i/>
          <w:color w:val="1A237E"/>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jc w:val="left"/>
      </w:pPr>
      <w:r>
        <w:rPr>
          <w:rFonts w:ascii="Calibri" w:hAnsi="Calibri"/>
          <w:b w:val="0"/>
          <w:i w:val="0"/>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pStyle w:val="Heading2"/>
      </w:pPr>
      <w:r>
        <w:t>Khususiyah dan Tatacara Praktik</w:t>
      </w:r>
    </w:p>
    <w:p>
      <w:pPr>
        <w:jc w:val="left"/>
      </w:pPr>
      <w:r>
        <w:rPr>
          <w:rFonts w:ascii="Calibri" w:hAnsi="Calibri"/>
          <w:b w:val="0"/>
          <w:i w:val="0"/>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r>
        <w:br w:type="page"/>
      </w:r>
    </w:p>
    <w:p>
      <w:pPr>
        <w:pStyle w:val="Heading1"/>
      </w:pPr>
      <w:r>
        <w:t>HALAMAN 12 — FAEDAH QATHI'AH 2/2 — WAFAQ 3×3</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١٨ | ١٢٠٩ | ٦٠٠ |</w:t>
        <w:br/>
        <w:t>| ١١٩١ | ٦٠٩ | ٢٧ |</w:t>
        <w:br/>
        <w:t>| ٦١٨ | ٩ | ١٢٠٠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pPr>
        <w:jc w:val="left"/>
      </w:pPr>
      <w:r>
        <w:rPr>
          <w:i/>
          <w:color w:val="1A237E"/>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jc w:val="left"/>
      </w:pPr>
      <w:r>
        <w:rPr>
          <w:rFonts w:ascii="Calibri" w:hAnsi="Calibri"/>
          <w:b w:val="0"/>
          <w:i w:val="0"/>
          <w:sz w:val="17"/>
        </w:rPr>
        <w:t>Wafaq 3×3 angka Hal12 adalah wafaq 'adadi mu'addal khusus Faedah Qathi'ah — bukan wafaq Ghazali 15. Angka: 18 (baris1 kanan), 1209, 600; 1191,609,27; 618,9,1200 — jika dihitung: 18+609+1200=1827? 600+27+9=6036? Konstanta tidak 15 seperti mutsallats klasik, tapi mizan khass untuk mass. Cara tulis: mulai dari atas kanan ke kiri — sesuai kaidah kuttab Arab (kanan dulu). Doa waffaqakumullah = penutup adab.</w:t>
      </w:r>
    </w:p>
    <w:p>
      <w:pPr>
        <w:pStyle w:val="Heading2"/>
      </w:pPr>
      <w:r>
        <w:t>Khususiyah dan Tatacara Praktik</w:t>
      </w:r>
    </w:p>
    <w:p>
      <w:pPr>
        <w:jc w:val="left"/>
      </w:pPr>
      <w:r>
        <w:rPr>
          <w:rFonts w:ascii="Calibri" w:hAnsi="Calibri"/>
          <w:b w:val="0"/>
          <w:i w:val="0"/>
          <w:sz w:val="17"/>
        </w:rPr>
        <w:t>Tata cara sama Hal11 — wafaq ini yang ditulis di bejana. Tulis angka dengan tinta misk, kelilingi 5 surah/ayat Hal11 dari atas kanan ke kiri. Mahw dengan air thahir + telunjuk kanan 7×.</w:t>
      </w:r>
    </w:p>
    <w:p>
      <w:pPr>
        <w:jc w:val="left"/>
      </w:pPr>
      <w:r>
        <w:rPr>
          <w:rFonts w:ascii="Calibri" w:hAnsi="Calibri"/>
          <w:b w:val="0"/>
          <w:i w:val="0"/>
          <w:sz w:val="17"/>
        </w:rPr>
        <w:t>![Wafaq Hal 12 — 3×3 — 9 angka — 600,1209,18 / 27,609,1191 / 1200,9,618 — baca kanan→kiri](hal12_crop_sharp.jpg)</w:t>
        <w:br/>
        <w:t>[Gambar: Wafaq Hal 12 — 3×3 — salin persis crop IMG_20261025_073117.jpg — hal12_crop_sharp.jpg — 35KB tajam]</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pPr>
        <w:spacing w:before="20" w:after="80"/>
        <w:jc w:val="center"/>
      </w:pPr>
      <w:r>
        <w:rPr>
          <w:i/>
          <w:color w:val="424242"/>
          <w:sz w:val="15"/>
        </w:rPr>
        <w:t>[Gambar: Wafaq Hal 12 — Scan 300 DPI — IMG_20261025_073117.jpg]</w:t>
      </w:r>
    </w:p>
    <w:p>
      <w:r>
        <w:br w:type="page"/>
      </w:r>
    </w:p>
    <w:p>
      <w:pPr>
        <w:pStyle w:val="Heading1"/>
      </w:pPr>
      <w:r>
        <w:t>HALAMAN 13 — ZAJR QATHI' 1/3 — الزَّجْرُ الْقَاطِعُ</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pPr>
        <w:jc w:val="left"/>
      </w:pPr>
      <w:r>
        <w:rPr>
          <w:i/>
          <w:color w:val="1A237E"/>
          <w:sz w:val="18"/>
        </w:rPr>
        <w:t>Az-Zajrul-qāthi‘u li’akhdzil-‘ahdi wal-mītsāqi ‘alā khādimil-istinzāli</w:t>
      </w:r>
    </w:p>
    <w:p>
      <w:pPr>
        <w:jc w:val="left"/>
      </w:pPr>
      <w:r>
        <w:rPr>
          <w:i/>
          <w:color w:val="1A237E"/>
          <w:sz w:val="18"/>
        </w:rPr>
        <w:t>As-salāmu ‘alaikum wa rahmatullāhi wa barakātuh</w:t>
      </w:r>
    </w:p>
    <w:p>
      <w:pPr>
        <w:jc w:val="left"/>
      </w:pPr>
      <w:r>
        <w:rPr>
          <w:i/>
          <w:color w:val="1A237E"/>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pPr>
        <w:jc w:val="left"/>
      </w:pPr>
      <w:r>
        <w:rPr>
          <w:i/>
          <w:color w:val="1A237E"/>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pPr>
        <w:jc w:val="left"/>
      </w:pPr>
      <w:r>
        <w:rPr>
          <w:i/>
          <w:color w:val="1A237E"/>
          <w:sz w:val="18"/>
        </w:rPr>
        <w:t>﴿ Wa lau arādul-khurūja la’a‘addū lahu ‘uddatan wa lākin karihallāhub‘ātsahum fatsabbathahum wa qīla iq‘udū ma‘al-qā‘idīna ﴾ (QS At-Taubah: 46)</w:t>
      </w:r>
    </w:p>
    <w:p>
      <w:pPr>
        <w:jc w:val="left"/>
      </w:pPr>
      <w:r>
        <w:rPr>
          <w:i/>
          <w:color w:val="1A237E"/>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rFonts w:ascii="Calibri" w:hAnsi="Calibri"/>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rFonts w:ascii="Calibri" w:hAnsi="Calibri"/>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rFonts w:ascii="Calibri" w:hAnsi="Calibri"/>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pPr>
        <w:spacing w:before="20" w:after="80"/>
        <w:jc w:val="center"/>
      </w:pPr>
      <w:r>
        <w:rPr>
          <w:i/>
          <w:color w:val="424242"/>
          <w:sz w:val="15"/>
        </w:rPr>
        <w:t>[Gambar: Wafaq Hal 13 — Scan 300 DPI — hal_13.png]</w:t>
      </w:r>
    </w:p>
    <w:p>
      <w:r>
        <w:br w:type="page"/>
      </w:r>
    </w:p>
    <w:p>
      <w:pPr>
        <w:pStyle w:val="Heading1"/>
      </w:pPr>
      <w:r>
        <w:t>HALAMAN 14 — ZAJR QATHI' 2/3 — الزَّجْرُ الْقَاطِعُ (LANJUTAN)</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pPr>
        <w:jc w:val="left"/>
      </w:pPr>
      <w:r>
        <w:rPr>
          <w:i/>
          <w:color w:val="1A237E"/>
          <w:sz w:val="18"/>
        </w:rPr>
        <w:t>Bismillāhir-raḥmānir-raḥīm, al-malikil-ḥaqqil-mubīn, alladzī qāla fī muḥkami kitābihil-karīm:</w:t>
      </w:r>
    </w:p>
    <w:p>
      <w:pPr>
        <w:jc w:val="left"/>
      </w:pPr>
      <w:r>
        <w:rPr>
          <w:i/>
          <w:color w:val="1A237E"/>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pPr>
        <w:jc w:val="left"/>
      </w:pPr>
      <w:r>
        <w:rPr>
          <w:i/>
          <w:color w:val="1A237E"/>
          <w:sz w:val="18"/>
        </w:rPr>
        <w:t>﴿ Sanulqī fī qulūbilladzīna kafarūr-ru‘ba bimā asyrakū billāhi mā lam yunazzil bihi sulthānan wa ma’wāhumun-nāru wa bi’sa matswāzh-zhālimīna ﴾ (QS Āli ‘Imrān: 151)</w:t>
      </w:r>
    </w:p>
    <w:p>
      <w:pPr>
        <w:jc w:val="left"/>
      </w:pPr>
      <w:r>
        <w:rPr>
          <w:i/>
          <w:color w:val="1A237E"/>
          <w:sz w:val="18"/>
        </w:rPr>
        <w:t>﴿ Lahum min jahannama mihādun wa min fauqihim ghawāsyin wa kadzālika najzīzh-zhālimīna ﴾ (QS Al-A‘rāf: 41)</w:t>
      </w:r>
    </w:p>
    <w:p>
      <w:pPr>
        <w:jc w:val="left"/>
      </w:pPr>
      <w:r>
        <w:rPr>
          <w:i/>
          <w:color w:val="1A237E"/>
          <w:sz w:val="18"/>
        </w:rPr>
        <w:t>﴿ Idz yūḥī rabbuka ilal-malā’ikati annī ma‘akum fatsabbitulladzīna āmanū sa’ulqī fī qulūbilladzīna kafarūr-ru‘ba fadhribū fauqal-a‘nāqi wadhribū minhum kulla banānin ﴾ (QS Al-Anfāl: 12)</w:t>
      </w:r>
    </w:p>
    <w:p>
      <w:pPr>
        <w:jc w:val="left"/>
      </w:pPr>
      <w:r>
        <w:rPr>
          <w:i/>
          <w:color w:val="1A237E"/>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pPr>
        <w:jc w:val="left"/>
      </w:pPr>
      <w:r>
        <w:rPr>
          <w:i/>
          <w:color w:val="1A237E"/>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pPr>
        <w:jc w:val="left"/>
      </w:pPr>
      <w:r>
        <w:rPr>
          <w:i/>
          <w:color w:val="1A237E"/>
          <w:sz w:val="18"/>
        </w:rPr>
        <w:t>Hayyā yā ma‘syarak-khuddāmi, zajartukum zajran wa da‘autukum da‘watan lā khalāsha lakum minhā wa lā mafarra lakum minhā ḥattā tuthī‘ū amrī</w:t>
      </w:r>
    </w:p>
    <w:p>
      <w:pPr>
        <w:jc w:val="left"/>
      </w:pPr>
      <w:r>
        <w:rPr>
          <w:i/>
          <w:color w:val="1A237E"/>
          <w:sz w:val="18"/>
        </w:rPr>
        <w:t>Fahākadzā sayu‘āhiduka wa yadha‘u yadahu ‘alas-sūrati, ‘indahāq-ra’il-āyata:</w:t>
      </w:r>
    </w:p>
    <w:p>
      <w:pPr>
        <w:jc w:val="left"/>
      </w:pPr>
      <w:r>
        <w:rPr>
          <w:i/>
          <w:color w:val="1A237E"/>
          <w:sz w:val="18"/>
        </w:rPr>
        <w:t>﴿ Wa aufū bi‘ahdillāhi idzā ‘āhadtum wa lā tanqudhul-aimāna ba‘da taukīdihā wa qad ja‘altumullāha ‘alaikum kafīlan ﴾ (QS An-Naḥl: 91)</w:t>
      </w:r>
    </w:p>
    <w:p>
      <w:pPr>
        <w:jc w:val="left"/>
      </w:pPr>
      <w:r>
        <w:rPr>
          <w:i/>
          <w:color w:val="1A237E"/>
          <w:sz w:val="18"/>
        </w:rPr>
        <w:t>Tsummash-rifhu wa lā ta‘malil-istinzāla dzālikal-yauma, fa’in ‘amiltal-istinzāla ba‘dahā satajidu mā yaqūlu laka ḥaqqan wa yakūnu ma‘aka shādiqan bi’idznillāhi</w:t>
      </w:r>
    </w:p>
    <w:p>
      <w:pPr>
        <w:jc w:val="left"/>
      </w:pPr>
      <w:r>
        <w:rPr>
          <w:i/>
          <w:color w:val="1A237E"/>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rFonts w:ascii="Calibri" w:hAnsi="Calibri"/>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rFonts w:ascii="Calibri" w:hAnsi="Calibri"/>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rFonts w:ascii="Calibri" w:hAnsi="Calibri"/>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pPr>
        <w:spacing w:before="20" w:after="80"/>
        <w:jc w:val="center"/>
      </w:pPr>
      <w:r>
        <w:rPr>
          <w:i/>
          <w:color w:val="424242"/>
          <w:sz w:val="15"/>
        </w:rPr>
        <w:t>[Gambar: Wafaq Hal 14 — Scan 300 DPI — hal_14.png]</w:t>
      </w:r>
    </w:p>
    <w:p>
      <w:r>
        <w:br w:type="page"/>
      </w:r>
    </w:p>
    <w:p>
      <w:pPr>
        <w:pStyle w:val="Heading1"/>
      </w:pPr>
      <w:r>
        <w:t>HALAMAN 15 — FAIDAH THARD 'ATHLUSH 1/2 — فَائِدَةٌ لِطَرْدِ عَطْلُوشٍ</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pPr>
        <w:jc w:val="left"/>
      </w:pPr>
      <w:r>
        <w:rPr>
          <w:i/>
          <w:color w:val="1A237E"/>
          <w:sz w:val="18"/>
        </w:rPr>
        <w:t>Fā’idatun li-thardi ‘Athlūsyin mufsidil-a‘mālir-rūḥāniyyah</w:t>
      </w:r>
    </w:p>
    <w:p>
      <w:pPr>
        <w:jc w:val="left"/>
      </w:pPr>
      <w:r>
        <w:rPr>
          <w:i/>
          <w:color w:val="1A237E"/>
          <w:sz w:val="18"/>
        </w:rPr>
        <w:t>Ikhwatī fillāh, aḍa‘u baina aidīkum hādzihil-fā’idatan-nāfi‘ata fī daf‘il-khādimil-mufsidi lil-a‘māli wanqilābihā bishaddil-marghūbi fīhā, wa huwa khādimun ismuhu [‘Athlūsyin], wal-ḥākimu ‘alaihi Abū Thārishin malikul-‘ummār.</w:t>
      </w:r>
    </w:p>
    <w:p>
      <w:pPr>
        <w:jc w:val="left"/>
      </w:pPr>
      <w:r>
        <w:rPr>
          <w:i/>
          <w:color w:val="1A237E"/>
          <w:sz w:val="18"/>
        </w:rPr>
        <w:t>Taktubul-wafqa fī yadikal-yumnā bishamghin —ayil-midādil-aswadil-mustakhraji min shūfil-ghanami—, wa tubakhkhiru yadaka bil-quzburati, wa hādzā thab‘an ba‘da ishrāfil-‘ummār. Tsumma tu‘azzimu ‘alal-yadi iḥdā wa ‘isyrīna marratan, wa hādzihi hiyal-‘azīmatu:</w:t>
      </w:r>
    </w:p>
    <w:p>
      <w:pPr>
        <w:jc w:val="left"/>
      </w:pPr>
      <w:r>
        <w:rPr>
          <w:i/>
          <w:color w:val="1A237E"/>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pPr>
        <w:jc w:val="left"/>
      </w:pPr>
      <w:r>
        <w:rPr>
          <w:i/>
          <w:color w:val="1A237E"/>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rFonts w:ascii="Calibri" w:hAnsi="Calibri"/>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rFonts w:ascii="Calibri" w:hAnsi="Calibri"/>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rFonts w:ascii="Calibri" w:hAnsi="Calibri"/>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pPr>
        <w:spacing w:before="20" w:after="80"/>
        <w:jc w:val="center"/>
      </w:pPr>
      <w:r>
        <w:rPr>
          <w:i/>
          <w:color w:val="424242"/>
          <w:sz w:val="15"/>
        </w:rPr>
        <w:t>[Gambar: Wafaq Hal 15 — Scan 300 DPI — hal_15.png]</w:t>
      </w:r>
    </w:p>
    <w:p>
      <w:r>
        <w:br w:type="page"/>
      </w:r>
    </w:p>
    <w:p>
      <w:pPr>
        <w:pStyle w:val="Heading1"/>
      </w:pPr>
      <w:r>
        <w:t>HALAMAN 16 — FAIDAH THARD 'ATHLUSH 2/2 — WAFAQ 3×3</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tbl>
      <w:tblPr>
        <w:tblStyle w:val="LightGrid-Accent1"/>
        <w:tblW w:type="auto" w:w="0"/>
        <w:jc w:val="center"/>
        <w:tblLook w:firstColumn="1" w:firstRow="1" w:lastColumn="0" w:lastRow="0" w:noHBand="0" w:noVBand="1" w:val="04A0"/>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6"/>
              </w:rPr>
              <w:t>٣</w:t>
            </w:r>
          </w:p>
        </w:tc>
        <w:tc>
          <w:tcPr>
            <w:tcW w:type="dxa" w:w="3346"/>
            <w:shd w:val="clear" w:color="auto" w:fill="E8F5E9"/>
          </w:tcPr>
          <w:p>
            <w:pPr>
              <w:jc w:val="center"/>
              <w:bidi w:val="1"/>
            </w:pPr>
            <w:r>
              <w:rPr>
                <w:rFonts w:ascii="Scheherazade New" w:hAnsi="Scheherazade New"/>
                <w:color w:val="1A237E"/>
                <w:sz w:val="26"/>
              </w:rPr>
              <w:t>١١١١</w:t>
            </w:r>
          </w:p>
        </w:tc>
        <w:tc>
          <w:tcPr>
            <w:tcW w:type="dxa" w:w="3346"/>
            <w:shd w:val="clear" w:color="auto" w:fill="FFF8E1"/>
          </w:tcPr>
          <w:p>
            <w:pPr>
              <w:jc w:val="center"/>
              <w:bidi w:val="1"/>
            </w:pPr>
            <w:r>
              <w:rPr>
                <w:rFonts w:ascii="Scheherazade New" w:hAnsi="Scheherazade New"/>
                <w:color w:val="1A237E"/>
                <w:sz w:val="26"/>
              </w:rPr>
              <w:t>١</w:t>
            </w:r>
          </w:p>
        </w:tc>
      </w:tr>
      <w:tr>
        <w:tc>
          <w:tcPr>
            <w:tcW w:type="dxa" w:w="3346"/>
            <w:shd w:val="clear" w:color="auto" w:fill="E8F5E9"/>
          </w:tcPr>
          <w:p>
            <w:pPr>
              <w:jc w:val="center"/>
              <w:bidi w:val="1"/>
            </w:pPr>
            <w:r>
              <w:rPr>
                <w:rFonts w:ascii="Scheherazade New" w:hAnsi="Scheherazade New"/>
                <w:color w:val="1A237E"/>
                <w:sz w:val="26"/>
              </w:rPr>
              <w:t>١١١٠</w:t>
            </w:r>
          </w:p>
        </w:tc>
        <w:tc>
          <w:tcPr>
            <w:tcW w:type="dxa" w:w="3346"/>
            <w:shd w:val="clear" w:color="auto" w:fill="FFF8E1"/>
          </w:tcPr>
          <w:p>
            <w:pPr>
              <w:jc w:val="center"/>
              <w:bidi w:val="1"/>
            </w:pPr>
            <w:r>
              <w:rPr>
                <w:rFonts w:ascii="Scheherazade New" w:hAnsi="Scheherazade New"/>
                <w:color w:val="1A237E"/>
                <w:sz w:val="26"/>
              </w:rPr>
              <w:t>عَطْلُوشٌ</w:t>
            </w:r>
          </w:p>
        </w:tc>
        <w:tc>
          <w:tcPr>
            <w:tcW w:type="dxa" w:w="3346"/>
            <w:shd w:val="clear" w:color="auto" w:fill="E8F5E9"/>
          </w:tcPr>
          <w:p>
            <w:pPr>
              <w:jc w:val="center"/>
              <w:bidi w:val="1"/>
            </w:pPr>
            <w:r>
              <w:rPr>
                <w:rFonts w:ascii="Scheherazade New" w:hAnsi="Scheherazade New"/>
                <w:color w:val="1A237E"/>
                <w:sz w:val="26"/>
              </w:rPr>
              <w:t>٥</w:t>
            </w:r>
          </w:p>
        </w:tc>
      </w:tr>
      <w:tr>
        <w:tc>
          <w:tcPr>
            <w:tcW w:type="dxa" w:w="3346"/>
            <w:shd w:val="clear" w:color="auto" w:fill="FFF8E1"/>
          </w:tcPr>
          <w:p>
            <w:pPr>
              <w:jc w:val="center"/>
              <w:bidi w:val="1"/>
            </w:pPr>
            <w:r>
              <w:rPr>
                <w:rFonts w:ascii="Scheherazade New" w:hAnsi="Scheherazade New"/>
                <w:color w:val="1A237E"/>
                <w:sz w:val="26"/>
              </w:rPr>
              <w:t>٢</w:t>
            </w:r>
          </w:p>
        </w:tc>
        <w:tc>
          <w:tcPr>
            <w:tcW w:type="dxa" w:w="3346"/>
            <w:shd w:val="clear" w:color="auto" w:fill="E8F5E9"/>
          </w:tcPr>
          <w:p>
            <w:pPr>
              <w:jc w:val="center"/>
              <w:bidi w:val="1"/>
            </w:pPr>
            <w:r>
              <w:rPr>
                <w:rFonts w:ascii="Scheherazade New" w:hAnsi="Scheherazade New"/>
                <w:color w:val="1A237E"/>
                <w:sz w:val="26"/>
              </w:rPr>
              <w:t>٤</w:t>
            </w:r>
          </w:p>
        </w:tc>
        <w:tc>
          <w:tcPr>
            <w:tcW w:type="dxa" w:w="3346"/>
            <w:shd w:val="clear" w:color="auto" w:fill="FFF8E1"/>
          </w:tcPr>
          <w:p>
            <w:pPr>
              <w:jc w:val="center"/>
              <w:bidi w:val="1"/>
            </w:pPr>
            <w:r>
              <w:rPr>
                <w:rFonts w:ascii="Scheherazade New" w:hAnsi="Scheherazade New"/>
                <w:color w:val="1A237E"/>
                <w:sz w:val="26"/>
              </w:rPr>
              <w:t>١١٠٩</w:t>
            </w:r>
          </w:p>
        </w:tc>
      </w:tr>
    </w:tbl>
    <w:p>
      <w:pPr>
        <w:jc w:val="center"/>
      </w:pPr>
      <w:r>
        <w:rPr>
          <w:rFonts w:ascii="Calibri" w:hAnsi="Calibri"/>
          <w:b w:val="0"/>
          <w:i/>
          <w:color w:val="757575"/>
          <w:sz w:val="14"/>
        </w:rPr>
        <w:t>Wafaq ‘Athlush 3×3 — 8 angka + [عَطْلُوشٌ] di tengah — dibaca kanan-ke-kiri; visual kiri-ke-kanan: 3|1111|1 / 1110|عَطْلُوشٌ|5 / 2|4|1109</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(١) واليُسرى هي (٣) في السطر الأول، وهكذا.*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pPr>
        <w:jc w:val="left"/>
      </w:pPr>
      <w:r>
        <w:rPr>
          <w:i/>
          <w:color w:val="1A237E"/>
          <w:sz w:val="18"/>
        </w:rPr>
        <w:t>Wal-wafqu huwa hākadzā — yuktabu bishamghin fīl-yadil-yumnā:</w:t>
      </w:r>
    </w:p>
    <w:p>
      <w:pPr>
        <w:jc w:val="left"/>
      </w:pPr>
      <w:r>
        <w:rPr>
          <w:i/>
          <w:color w:val="1A237E"/>
          <w:sz w:val="18"/>
        </w:rPr>
        <w:t>| ٣ | ١١١١ | ١ |</w:t>
        <w:br/>
        <w:t>||||</w:t>
        <w:br/>
        <w:t>| ١١١٠ | عَطْلُوشٌ | ٥ |</w:t>
        <w:br/>
        <w:t>| ٢ | ٤ | ١١٠٩ |</w:t>
      </w:r>
    </w:p>
    <w:p>
      <w:pPr>
        <w:jc w:val="left"/>
      </w:pPr>
      <w:r>
        <w:rPr>
          <w:i/>
          <w:color w:val="1A237E"/>
          <w:sz w:val="18"/>
        </w:rPr>
        <w:t>[Rajah Asror — tidak dilatin-kan — angka dan huruf di dalam wafaq tidak diterjemahkan]</w:t>
      </w:r>
    </w:p>
    <w:p>
      <w:pPr>
        <w:jc w:val="left"/>
      </w:pPr>
      <w:r>
        <w:rPr>
          <w:i/>
          <w:color w:val="1A237E"/>
          <w:sz w:val="18"/>
        </w:rPr>
        <w:t>*Tanbīh: al-jadwal yuqra’u yamīnan ilā yasārin kal-‘arabiyyah — al-khaliyyatul-yumnā hiya (1) wal-yusrā hiya (3) fis-sathril-awwal, wa hākadzā.*</w:t>
      </w:r>
    </w:p>
    <w:p>
      <w:pPr>
        <w:jc w:val="left"/>
      </w:pPr>
      <w:r>
        <w:rPr>
          <w:i/>
          <w:color w:val="1A237E"/>
          <w:sz w:val="18"/>
        </w:rPr>
        <w:t>Tsumma ba‘dad-dafni taqra’u kamā taqaddama āyatal-kursiyyi ilā ... khālidūna wa sūratal-Mulki, wa lā taltafit.</w:t>
      </w:r>
    </w:p>
    <w:p>
      <w:pPr>
        <w:jc w:val="left"/>
      </w:pPr>
      <w:r>
        <w:rPr>
          <w:i/>
          <w:color w:val="1A237E"/>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٣ | ١١١١ | ١ |</w:t>
        <w:br/>
        <w:t>|---|---|---|</w:t>
        <w:br/>
        <w:t>| ١١١٠ | عَطْلُوشٌ | ٥ |</w:t>
        <w:br/>
        <w:t>| ٢ | ٤ | ١١٠٩ |</w:t>
        <w:br/>
        <w:br/>
      </w:r>
      <w:r>
        <w:rPr>
          <w:color w:val="0D47A1"/>
          <w:sz w:val="18"/>
        </w:rPr>
        <w:t>*Catatan: tabel dibaca dari kanan ke kiri seperti Arab — sel kanan baris pertama adalah (1) dan sel kiri adalah (3),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rFonts w:ascii="Calibri" w:hAnsi="Calibri"/>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rFonts w:ascii="Calibri" w:hAnsi="Calibri"/>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rFonts w:ascii="Calibri" w:hAnsi="Calibri"/>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pPr>
        <w:spacing w:before="20" w:after="80"/>
        <w:jc w:val="center"/>
      </w:pPr>
      <w:r>
        <w:rPr>
          <w:i/>
          <w:color w:val="424242"/>
          <w:sz w:val="15"/>
        </w:rPr>
        <w:t>[Gambar: Wafaq Hal 16 — Scan 300 DPI — hal_16_wafaq_athlush.jpg]</w:t>
      </w:r>
    </w:p>
    <w:p>
      <w:r>
        <w:br w:type="page"/>
      </w:r>
    </w:p>
    <w:p>
      <w:pPr>
        <w:jc w:val="center"/>
      </w:pPr>
      <w:r>
        <w:rPr>
          <w:b/>
          <w:color w:val="1B5E20"/>
          <w:sz w:val="28"/>
        </w:rPr>
        <w:t>KHATAM 5 LAPIS BERSIH — HAL 01-16</w:t>
      </w:r>
    </w:p>
    <w:p>
      <w:pPr>
        <w:jc w:val="center"/>
      </w:pPr>
      <w:r>
        <w:rPr>
          <w:rFonts w:ascii="Calibri" w:hAnsi="Calibri"/>
          <w:b w:val="0"/>
          <w:i w:val="0"/>
          <w:color w:val="424242"/>
          <w:sz w:val="16"/>
        </w:rPr>
        <w:t>16 halaman — Sampul, Ihda', Ijazah, Sampul Dalam, Fihris, Maysarah 3 hal, Muhriqah 2 hal, Qathi'ah 2 hal, Zajr 2 hal, Thard 'Athlush 2 hal — 5 lapis per halaman.</w:t>
      </w:r>
    </w:p>
    <w:p>
      <w:pPr>
        <w:jc w:val="center"/>
      </w:pPr>
      <w:r>
        <w:rPr>
          <w:rFonts w:ascii="Calibri" w:hAnsi="Calibri"/>
          <w:b w:val="0"/>
          <w:i w:val="0"/>
          <w:color w:val="757575"/>
          <w:sz w:val="14"/>
        </w:rPr>
        <w:t>Gambar wafaq dari sumber tunggal rajah_anwar_FINAL_300DPI/ + hal_15.png + hal_16_wafaq_athlush.jpg — ditampilkan langsung di halaman terkait.</w:t>
      </w:r>
    </w:p>
    <w:sectPr w:rsidR="00FC693F" w:rsidRPr="0006063C" w:rsidSect="00034616">
      <w:headerReference w:type="default" r:id="rId9"/>
      <w:footerReference w:type="default" r:id="rId10"/>
      <w:pgSz w:w="11909" w:h="16834"/>
      <w:pgMar w:top="792" w:right="936" w:bottom="792"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Anwar Mujarobat Hal01-16 • 5 Lapis Bersih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ANWAR MUJAROBAT — Syeikh Basyir • 5 Lapis Bersih Hal01-16 • Arab • Latin • Terjemahan • Syarah • Khususiyah +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2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Final 5 Lapis Bersih Hal01-16</dc:title>
  <dc:subject>5 Lapis: Arab, Latin, Terjemahan, Syarah, Khususiyah+Wafaq — Hal01-16</dc:subject>
  <dc:creator>kitab — 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