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serta M06–M15 dan M72–M121 telah dikurasi setingkat pilot (catatan dipilih dari catatan lama, Khususiyah tingkat frasa, stub/kontradiksi Metode yang terbukti dikoreksi), sedangkan sisa unit non-pilot di luar batch tersebut masih menunggu batch berikutnya.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ارْجِعِي</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وَالسَّابِرُونَ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p>
    <w:p>
      <w:pPr>
        <w:spacing w:before="40" w:after="100" w:line="269" w:lineRule="auto"/>
        <w:bidi w:val="1"/>
        <w:jc w:val="start"/>
      </w:pP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فَانْسَاحُ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بِالْإِدَارَةِ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لِعَتِيقِهَا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الْقَطِيعَةِ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الْمُنْخَفِضَةُ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وَمَلِيكَةُ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الِافْتِيَاقِ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الْخَزَرْنَد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فَيَتَجَانَسُ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بِاقْتِدَاحٍ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بُرْجُرَيْشٍ</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p>
    <w:p>
      <w:pPr>
        <w:spacing w:before="40" w:after="100" w:line="269" w:lineRule="auto"/>
        <w:bidi w:val="1"/>
        <w:jc w:val="start"/>
      </w:pP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وَتِسْعُونَ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الْبَادِرَةَ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النَّهَامِـرِ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مَلْئِيَّةٌ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وَيَسْتَصَاوِعُونَ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التَّوَاقِيفِ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الْمُبْيَضَّةُ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وَاكْتَفَى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مَقْلُوبُهُ</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 [bersambung ke segmen berikutnya]</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tulisan/rajah baris huruf pada halaman ini; ayat-ayat yang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langsung sesudah bersih dari haid; satu dari tiga aṭbāq diminum setiap hari sebelum berbuka : Media: tiga aṭbāq yang dijemur di bawah langit; tulisan pada telapak tangan kanan dan kiri : Bukhur: jawi; kabīrah (Terjemahan kanonis menyebutnya “kayu besar”);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سقوط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الجنين</w:t>
      </w:r>
      <w:r>
        <w:rPr>
          <w:rFonts w:ascii="Amiri" w:hAnsi="Amiri" w:cs="Amiri" w:eastAsia="Amiri"/>
          <w:b w:val="0"/>
          <w:i w:val="0"/>
          <w:color w:val="1F2937"/>
          <w:sz w:val="24"/>
          <w:szCs w:val="28"/>
        </w:rPr>
        <w:t xml:space="preserve">» — menuliskan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109 kali serta basmalah di sekelilingnya, pada bulan ketiga kehamilan, lalu menggantungkannya pada bayi setelah lahir; disertai </w:t>
      </w:r>
      <w:r>
        <w:rPr>
          <w:rFonts w:ascii="Amiri" w:hAnsi="Amiri" w:cs="Amiri" w:eastAsia="Amiri"/>
          <w:b/>
          <w:i w:val="0"/>
          <w:color w:val="1F2937"/>
          <w:sz w:val="24"/>
          <w:szCs w:val="28"/>
          <w:bCs/>
        </w:rPr>
        <w:t xml:space="preserve">kotak bergambar berlambang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xml:space="preserve"> pada enam sisi</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dengan menulis ayat pada waktu zuhur, dibakar dengan lemak kambing hitam lalu diminum. Rajah kotak tidak digambar ulang. Dinisbatkan pada penulis.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Harakat dan tanda baca Arab bersifat editorial.</w:t>
      </w:r>
    </w:p>
    <w:p>
      <w:pPr>
        <w:spacing w:before="40" w:after="100" w:line="269" w:lineRule="auto"/>
        <w:bidi w:val="0"/>
        <w:jc w:val="left"/>
      </w:pPr>
      <w:r>
        <w:rPr>
          <w:rFonts w:ascii="Amiri" w:hAnsi="Amiri" w:cs="Amiri" w:eastAsia="Amiri"/>
          <w:b w:val="0"/>
          <w:i w:val="0"/>
          <w:color w:val="1F2937"/>
          <w:sz w:val="24"/>
          <w:szCs w:val="28"/>
        </w:rPr>
        <w:t>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waktu Zuhur pada hari yang baik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diminum sesudah bersih dari haid : Media: huruf ṭā’ dengan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ditulis 109 kali dan basmalah mengelilinginya; ayat-ayat yang ditulis; bahan dari kambing hitam yang bentuk zatnya tidak dipastikan (Terjemahan kanonis menyebut lemak)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[bersambung ke segmen berikutnya]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[tidak disalin penuh pada sumber kerja]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[lanjutan dari segmen sebelumnya]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