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Hal01-18</w:t>
      </w:r>
    </w:p>
    <w:p>
      <w:pPr>
        <w:pStyle w:val="ListBullet"/>
      </w:pPr>
      <w:r>
        <w:rPr>
          <w:sz w:val="16"/>
        </w:rPr>
        <w:t>Hal 01 Sampul</w:t>
      </w:r>
    </w:p>
    <w:p>
      <w:pPr>
        <w:pStyle w:val="ListBullet"/>
      </w:pPr>
      <w:r>
        <w:rPr>
          <w:sz w:val="16"/>
        </w:rPr>
        <w:t>Hal 02 Ihda'</w:t>
      </w:r>
    </w:p>
    <w:p>
      <w:pPr>
        <w:pStyle w:val="ListBullet"/>
      </w:pPr>
      <w:r>
        <w:rPr>
          <w:sz w:val="16"/>
        </w:rPr>
        <w:t>Hal 03 Ijazah</w:t>
      </w:r>
    </w:p>
    <w:p>
      <w:pPr>
        <w:pStyle w:val="ListBullet"/>
      </w:pPr>
      <w:r>
        <w:rPr>
          <w:sz w:val="16"/>
        </w:rPr>
        <w:t>Hal 04 Sampul Dalam</w:t>
      </w:r>
    </w:p>
    <w:p>
      <w:pPr>
        <w:pStyle w:val="ListBullet"/>
      </w:pPr>
      <w:r>
        <w:rPr>
          <w:sz w:val="16"/>
        </w:rPr>
        <w:t>Hal 05 Fihris</w:t>
      </w:r>
    </w:p>
    <w:p>
      <w:pPr>
        <w:pStyle w:val="ListBullet"/>
      </w:pPr>
      <w:r>
        <w:rPr>
          <w:sz w:val="16"/>
        </w:rPr>
        <w:t>Hal 06 Maysarah 1/3</w:t>
      </w:r>
    </w:p>
    <w:p>
      <w:pPr>
        <w:pStyle w:val="ListBullet"/>
      </w:pPr>
      <w:r>
        <w:rPr>
          <w:sz w:val="16"/>
        </w:rPr>
        <w:t>Hal 07 2/3</w:t>
      </w:r>
    </w:p>
    <w:p>
      <w:pPr>
        <w:pStyle w:val="ListBullet"/>
      </w:pPr>
      <w:r>
        <w:rPr>
          <w:sz w:val="16"/>
        </w:rPr>
        <w:t>Hal 08 3/3 + 2 Wafaq</w:t>
      </w:r>
    </w:p>
    <w:p>
      <w:pPr>
        <w:pStyle w:val="ListBullet"/>
      </w:pPr>
      <w:r>
        <w:rPr>
          <w:sz w:val="16"/>
        </w:rPr>
        <w:t>Hal 09 Muhriqah 1/2</w:t>
      </w:r>
    </w:p>
    <w:p>
      <w:pPr>
        <w:pStyle w:val="ListBullet"/>
      </w:pPr>
      <w:r>
        <w:rPr>
          <w:sz w:val="16"/>
        </w:rPr>
        <w:t>Hal 10 2/2</w:t>
      </w:r>
    </w:p>
    <w:p>
      <w:pPr>
        <w:pStyle w:val="ListBullet"/>
      </w:pPr>
      <w:r>
        <w:rPr>
          <w:sz w:val="16"/>
        </w:rPr>
        <w:t>Hal 11 Qathi'ah 1/2</w:t>
      </w:r>
    </w:p>
    <w:p>
      <w:pPr>
        <w:pStyle w:val="ListBullet"/>
      </w:pPr>
      <w:r>
        <w:rPr>
          <w:sz w:val="16"/>
        </w:rPr>
        <w:t>Hal 12 2/2</w:t>
      </w:r>
    </w:p>
    <w:p>
      <w:pPr>
        <w:pStyle w:val="ListBullet"/>
      </w:pPr>
      <w:r>
        <w:rPr>
          <w:sz w:val="16"/>
        </w:rPr>
        <w:t>Hal 13 Zajr 1/3</w:t>
      </w:r>
    </w:p>
    <w:p>
      <w:pPr>
        <w:pStyle w:val="ListBullet"/>
      </w:pPr>
      <w:r>
        <w:rPr>
          <w:sz w:val="16"/>
        </w:rPr>
        <w:t>Hal 14 2/3</w:t>
      </w:r>
    </w:p>
    <w:p>
      <w:pPr>
        <w:pStyle w:val="ListBullet"/>
      </w:pPr>
      <w:r>
        <w:rPr>
          <w:sz w:val="16"/>
        </w:rPr>
        <w:t>Hal 15 Thard 'Athlusyin 1/2</w:t>
      </w:r>
    </w:p>
    <w:p>
      <w:pPr>
        <w:pStyle w:val="ListBullet"/>
      </w:pPr>
      <w:r>
        <w:rPr>
          <w:sz w:val="16"/>
        </w:rPr>
        <w:t>Hal 16 Wafaq 3×3 — kanan=٣</w:t>
      </w:r>
    </w:p>
    <w:p>
      <w:pPr>
        <w:pStyle w:val="ListBullet"/>
      </w:pPr>
      <w:r>
        <w:rPr>
          <w:sz w:val="16"/>
        </w:rPr>
        <w:t>Hal 17 Durrah 1/2</w:t>
      </w:r>
    </w:p>
    <w:p>
      <w:pPr>
        <w:pStyle w:val="ListBullet"/>
      </w:pPr>
      <w:r>
        <w:rPr>
          <w:sz w:val="16"/>
        </w:rPr>
        <w:t>Hal 18 Wafaq 4×4 — kanan=٧٨</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r>
        <w:rPr>
          <w:i/>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pStyle w:val="Heading2"/>
      </w:pPr>
      <w:r>
        <w:t>Khususiyah dan Tatacara Praktik</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r>
        <w:rPr>
          <w:i/>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pStyle w:val="Heading2"/>
      </w:pPr>
      <w:r>
        <w:t>Khususiyah dan Tatacara Praktik</w:t>
      </w:r>
    </w:p>
    <w:p>
      <w:r>
        <w:br w:type="page"/>
      </w:r>
    </w:p>
    <w:p>
      <w:pPr>
        <w:pStyle w:val="Heading1"/>
      </w:pPr>
      <w:r>
        <w:t>HALAMAN 03 — IJAZAH 'AMMAH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r>
        <w:rPr>
          <w:i/>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pStyle w:val="Heading2"/>
      </w:pPr>
      <w:r>
        <w:t>Khususiyah dan Tatacara Praktik</w:t>
      </w:r>
    </w:p>
    <w:p>
      <w:r>
        <w:br w:type="page"/>
      </w:r>
    </w:p>
    <w:p>
      <w:pPr>
        <w:pStyle w:val="Heading1"/>
      </w:pPr>
      <w:r>
        <w:t>HALAMAN 04 — SAMPUL DALAM — فَوَائِدُ وَمُجَرَّبَاتُ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r>
        <w:rPr>
          <w:i/>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pStyle w:val="Heading2"/>
      </w:pPr>
      <w:r>
        <w:t>Khususiyah dan Tatacara Praktik</w:t>
      </w:r>
    </w:p>
    <w:p>
      <w:r>
        <w:br w:type="page"/>
      </w:r>
    </w:p>
    <w:p>
      <w:pPr>
        <w:pStyle w:val="Heading1"/>
      </w:pPr>
      <w:r>
        <w:t>HALAMAN 05 — FIHRIS — فِهْرِسُ 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r>
        <w:rPr>
          <w:i/>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pStyle w:val="Heading2"/>
      </w:pPr>
      <w:r>
        <w:t>Khususiyah dan Tatacara Praktik</w:t>
      </w:r>
    </w:p>
    <w:p>
      <w:r>
        <w:br w:type="page"/>
      </w:r>
    </w:p>
    <w:p>
      <w:pPr>
        <w:pStyle w:val="Heading1"/>
      </w:pPr>
      <w:r>
        <w:t>HALAMAN 06 — FAEDAH MAYSARAH 1/3 — طَرِيقَةُ الْمَيْسَرَةِ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r>
        <w:rPr>
          <w:i/>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pStyle w:val="Heading2"/>
      </w:pPr>
      <w:r>
        <w:t>Khususiyah dan Tatacara Praktik</w:t>
      </w:r>
    </w:p>
    <w:p>
      <w:r>
        <w:br w:type="page"/>
      </w:r>
    </w:p>
    <w:p>
      <w:pPr>
        <w:pStyle w:val="Heading1"/>
      </w:pPr>
      <w:r>
        <w:t>HALAMAN 07 — FAEDAH MAYSARAH 2/3 —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r>
        <w:rPr>
          <w:i/>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pStyle w:val="Heading2"/>
      </w:pPr>
      <w:r>
        <w:t>Khususiyah dan Tatacara Praktik</w:t>
      </w:r>
    </w:p>
    <w:p>
      <w:r>
        <w:br w:type="page"/>
      </w:r>
    </w:p>
    <w:p>
      <w:pPr>
        <w:pStyle w:val="Heading1"/>
      </w:pPr>
      <w:r>
        <w:t>HALAMAN 08 — FAEDAH MAYSARAH 3/3 — 2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r>
        <w:rPr>
          <w:i/>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r>
        <w:br w:type="page"/>
      </w:r>
    </w:p>
    <w:p>
      <w:pPr>
        <w:pStyle w:val="Heading1"/>
      </w:pPr>
      <w:r>
        <w:t>HALAMAN 09 — FAEDAH MUHRIQAH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r>
        <w:rPr>
          <w:i/>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pStyle w:val="Heading2"/>
      </w:pPr>
      <w:r>
        <w:t>Khususiyah dan Tatacara Praktik</w:t>
      </w:r>
    </w:p>
    <w:p>
      <w:r>
        <w:br w:type="page"/>
      </w:r>
    </w:p>
    <w:p>
      <w:pPr>
        <w:pStyle w:val="Heading1"/>
      </w:pPr>
      <w:r>
        <w:t>HALAMAN 10 — FAEDAH MUHRIQAH 2/2 — JADWAL &amp; QASAM</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r>
        <w:rPr>
          <w:i/>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r>
        <w:br w:type="page"/>
      </w:r>
    </w:p>
    <w:p>
      <w:pPr>
        <w:pStyle w:val="Heading1"/>
      </w:pPr>
      <w:r>
        <w:t>HALAMAN 11 — FAEDAH QATHI'AH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r>
        <w:rPr>
          <w:i/>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pStyle w:val="Heading2"/>
      </w:pPr>
      <w:r>
        <w:t>Khususiyah dan Tatacara Praktik</w:t>
      </w:r>
    </w:p>
    <w:p>
      <w:r>
        <w:br w:type="page"/>
      </w:r>
    </w:p>
    <w:p>
      <w:pPr>
        <w:pStyle w:val="Heading1"/>
      </w:pPr>
      <w:r>
        <w:t>HALAMAN 12 — FAEDAH QATHI'AH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tbl>
      <w:tblPr>
        <w:tblStyle w:val="LightGrid-Accent1"/>
        <w:tblW w:type="auto" w:w="0"/>
        <w:jc w:val="center"/>
        <w:tblLook w:firstColumn="1" w:firstRow="1" w:lastColumn="0" w:lastRow="0" w:noHBand="0" w:noVBand="1" w:val="04A0"/>
        <w:bidiVisual w:val="1"/>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2"/>
              </w:rPr>
              <w:t>١٨</w:t>
            </w:r>
          </w:p>
        </w:tc>
        <w:tc>
          <w:tcPr>
            <w:tcW w:type="dxa" w:w="3346"/>
            <w:shd w:val="clear" w:color="auto" w:fill="E8F5E9"/>
          </w:tcPr>
          <w:p>
            <w:pPr>
              <w:jc w:val="center"/>
              <w:bidi w:val="1"/>
            </w:pPr>
            <w:r>
              <w:rPr>
                <w:rFonts w:ascii="Scheherazade New" w:hAnsi="Scheherazade New"/>
                <w:color w:val="1A237E"/>
                <w:sz w:val="22"/>
              </w:rPr>
              <w:t>١٢٠٩</w:t>
            </w:r>
          </w:p>
        </w:tc>
        <w:tc>
          <w:tcPr>
            <w:tcW w:type="dxa" w:w="3346"/>
            <w:shd w:val="clear" w:color="auto" w:fill="FFF8E1"/>
          </w:tcPr>
          <w:p>
            <w:pPr>
              <w:jc w:val="center"/>
              <w:bidi w:val="1"/>
            </w:pPr>
            <w:r>
              <w:rPr>
                <w:rFonts w:ascii="Scheherazade New" w:hAnsi="Scheherazade New"/>
                <w:color w:val="1A237E"/>
                <w:sz w:val="22"/>
              </w:rPr>
              <w:t>٦٠٠</w:t>
            </w:r>
          </w:p>
        </w:tc>
      </w:tr>
      <w:tr>
        <w:tc>
          <w:tcPr>
            <w:tcW w:type="dxa" w:w="3346"/>
            <w:shd w:val="clear" w:color="auto" w:fill="E8F5E9"/>
          </w:tcPr>
          <w:p>
            <w:pPr>
              <w:jc w:val="center"/>
              <w:bidi w:val="1"/>
            </w:pPr>
            <w:r>
              <w:rPr>
                <w:rFonts w:ascii="Scheherazade New" w:hAnsi="Scheherazade New"/>
                <w:color w:val="1A237E"/>
                <w:sz w:val="22"/>
              </w:rPr>
              <w:t>١١٩١</w:t>
            </w:r>
          </w:p>
        </w:tc>
        <w:tc>
          <w:tcPr>
            <w:tcW w:type="dxa" w:w="3346"/>
            <w:shd w:val="clear" w:color="auto" w:fill="FFF8E1"/>
          </w:tcPr>
          <w:p>
            <w:pPr>
              <w:jc w:val="center"/>
              <w:bidi w:val="1"/>
            </w:pPr>
            <w:r>
              <w:rPr>
                <w:rFonts w:ascii="Scheherazade New" w:hAnsi="Scheherazade New"/>
                <w:color w:val="1A237E"/>
                <w:sz w:val="22"/>
              </w:rPr>
              <w:t>٦٠٩</w:t>
            </w:r>
          </w:p>
        </w:tc>
        <w:tc>
          <w:tcPr>
            <w:tcW w:type="dxa" w:w="3346"/>
            <w:shd w:val="clear" w:color="auto" w:fill="E8F5E9"/>
          </w:tcPr>
          <w:p>
            <w:pPr>
              <w:jc w:val="center"/>
              <w:bidi w:val="1"/>
            </w:pPr>
            <w:r>
              <w:rPr>
                <w:rFonts w:ascii="Scheherazade New" w:hAnsi="Scheherazade New"/>
                <w:color w:val="1A237E"/>
                <w:sz w:val="22"/>
              </w:rPr>
              <w:t>٢٧</w:t>
            </w:r>
          </w:p>
        </w:tc>
      </w:tr>
      <w:tr>
        <w:tc>
          <w:tcPr>
            <w:tcW w:type="dxa" w:w="3346"/>
            <w:shd w:val="clear" w:color="auto" w:fill="FFF8E1"/>
          </w:tcPr>
          <w:p>
            <w:pPr>
              <w:jc w:val="center"/>
              <w:bidi w:val="1"/>
            </w:pPr>
            <w:r>
              <w:rPr>
                <w:rFonts w:ascii="Scheherazade New" w:hAnsi="Scheherazade New"/>
                <w:color w:val="1A237E"/>
                <w:sz w:val="22"/>
              </w:rPr>
              <w:t>٦١٨</w:t>
            </w:r>
          </w:p>
        </w:tc>
        <w:tc>
          <w:tcPr>
            <w:tcW w:type="dxa" w:w="3346"/>
            <w:shd w:val="clear" w:color="auto" w:fill="E8F5E9"/>
          </w:tcPr>
          <w:p>
            <w:pPr>
              <w:jc w:val="center"/>
              <w:bidi w:val="1"/>
            </w:pPr>
            <w:r>
              <w:rPr>
                <w:rFonts w:ascii="Scheherazade New" w:hAnsi="Scheherazade New"/>
                <w:color w:val="1A237E"/>
                <w:sz w:val="22"/>
              </w:rPr>
              <w:t>٩</w:t>
            </w:r>
          </w:p>
        </w:tc>
        <w:tc>
          <w:tcPr>
            <w:tcW w:type="dxa" w:w="3346"/>
            <w:shd w:val="clear" w:color="auto" w:fill="FFF8E1"/>
          </w:tcPr>
          <w:p>
            <w:pPr>
              <w:jc w:val="center"/>
              <w:bidi w:val="1"/>
            </w:pPr>
            <w:r>
              <w:rPr>
                <w:rFonts w:ascii="Scheherazade New" w:hAnsi="Scheherazade New"/>
                <w:color w:val="1A237E"/>
                <w:sz w:val="22"/>
              </w:rPr>
              <w:t>١٢٠٠</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r>
        <w:rPr>
          <w:i/>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r>
        <w:br w:type="page"/>
      </w:r>
    </w:p>
    <w:p>
      <w:pPr>
        <w:pStyle w:val="Heading1"/>
      </w:pPr>
      <w:r>
        <w:t>HALAMAN 13 — ZAJR QATHI' 1/3 — الزَّجْرُ الْقَاطِعُ</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r>
        <w:rPr>
          <w:i/>
          <w:sz w:val="18"/>
        </w:rPr>
        <w:t>Az-Zajrul-qāthi‘u li’akhdzil-‘ahdi wal-mītsāqi ‘alā khādimil-istinzāli</w:t>
      </w:r>
    </w:p>
    <w:p>
      <w:r>
        <w:rPr>
          <w:i/>
          <w:sz w:val="18"/>
        </w:rPr>
        <w:t>As-salāmu ‘alaikum wa rahmatullāhi wa barakātuh</w:t>
      </w:r>
    </w:p>
    <w:p>
      <w:r>
        <w:rPr>
          <w:i/>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i/>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i/>
          <w:sz w:val="18"/>
        </w:rPr>
        <w:t>﴿ Wa lau arādul-khurūja la’a‘addū lahu ‘uddatan wa lākin karihallāhub‘ātsahum fatsabbathahum wa qīla iq‘udū ma‘al-qā‘idīna ﴾ (QS At-Taubah: 46)</w:t>
      </w:r>
    </w:p>
    <w:p>
      <w:r>
        <w:rPr>
          <w:i/>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r>
        <w:br w:type="page"/>
      </w:r>
    </w:p>
    <w:p>
      <w:pPr>
        <w:pStyle w:val="Heading1"/>
      </w:pPr>
      <w:r>
        <w:t>HALAMAN 14 — ZAJR QATHI' 2/3 — الزَّجْرُ الْقَاطِعُ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r>
        <w:rPr>
          <w:i/>
          <w:sz w:val="18"/>
        </w:rPr>
        <w:t>Bismillāhir-raḥmānir-raḥīm, al-malikil-ḥaqqil-mubīn, alladzī qāla fī muḥkami kitābihil-karīm:</w:t>
      </w:r>
    </w:p>
    <w:p>
      <w:r>
        <w:rPr>
          <w:i/>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i/>
          <w:sz w:val="18"/>
        </w:rPr>
        <w:t>﴿ Sanulqī fī qulūbilladzīna kafarūr-ru‘ba bimā asyrakū billāhi mā lam yunazzil bihi sulthānan wa ma’wāhumun-nāru wa bi’sa matswāzh-zhālimīna ﴾ (QS Āli ‘Imrān: 151)</w:t>
      </w:r>
    </w:p>
    <w:p>
      <w:r>
        <w:rPr>
          <w:i/>
          <w:sz w:val="18"/>
        </w:rPr>
        <w:t>﴿ Lahum min jahannama mihādun wa min fauqihim ghawāsyin wa kadzālika najzīzh-zhālimīna ﴾ (QS Al-A‘rāf: 41)</w:t>
      </w:r>
    </w:p>
    <w:p>
      <w:r>
        <w:rPr>
          <w:i/>
          <w:sz w:val="18"/>
        </w:rPr>
        <w:t>﴿ Idz yūḥī rabbuka ilal-malā’ikati annī ma‘akum fatsabbitulladzīna āmanū sa’ulqī fī qulūbilladzīna kafarūr-ru‘ba fadhribū fauqal-a‘nāqi wadhribū minhum kulla banānin ﴾ (QS Al-Anfāl: 12)</w:t>
      </w:r>
    </w:p>
    <w:p>
      <w:r>
        <w:rPr>
          <w:i/>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i/>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i/>
          <w:sz w:val="18"/>
        </w:rPr>
        <w:t>Hayyā yā ma‘syarak-khuddāmi, zajartukum zajran wa da‘autukum da‘watan lā khalāsha lakum minhā wa lā mafarra lakum minhā ḥattā tuthī‘ū amrī</w:t>
      </w:r>
    </w:p>
    <w:p>
      <w:r>
        <w:rPr>
          <w:i/>
          <w:sz w:val="18"/>
        </w:rPr>
        <w:t>Fahākadzā sayu‘āhiduka wa yadha‘u yadahu ‘alas-sūrati, ‘indahāq-ra’il-āyata:</w:t>
      </w:r>
    </w:p>
    <w:p>
      <w:r>
        <w:rPr>
          <w:i/>
          <w:sz w:val="18"/>
        </w:rPr>
        <w:t>﴿ Wa aufū bi‘ahdillāhi idzā ‘āhadtum wa lā tanqudhul-aimāna ba‘da taukīdihā wa qad ja‘altumullāha ‘alaikum kafīlan ﴾ (QS An-Naḥl: 91)</w:t>
      </w:r>
    </w:p>
    <w:p>
      <w:r>
        <w:rPr>
          <w:i/>
          <w:sz w:val="18"/>
        </w:rPr>
        <w:t>Tsummash-rifhu wa lā ta‘malil-istinzāla dzālikal-yauma, fa’in ‘amiltal-istinzāla ba‘dahā satajidu mā yaqūlu laka ḥaqqan wa yakūnu ma‘aka shādiqan bi’idznillāhi</w:t>
      </w:r>
    </w:p>
    <w:p>
      <w:r>
        <w:rPr>
          <w:i/>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r>
        <w:br w:type="page"/>
      </w:r>
    </w:p>
    <w:p>
      <w:pPr>
        <w:pStyle w:val="Heading1"/>
      </w:pPr>
      <w:r>
        <w:t>HALAMAN 15 — FAIDAH THARD 'ATHLUSYIN 1/2 — فَائِدَةٌ لِطَرْدِ عَطْلُوشٍ</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r>
        <w:rPr>
          <w:i/>
          <w:sz w:val="18"/>
        </w:rPr>
        <w:t>Fā’idatun li-thardi ‘Athlūsyin mufsidil-a‘mālir-rūḥāniyyah</w:t>
      </w:r>
    </w:p>
    <w:p>
      <w:r>
        <w:rPr>
          <w:i/>
          <w:sz w:val="18"/>
        </w:rPr>
        <w:t>Ikhwatī fillāh, aḍa‘u baina aidīkum hādzihil-fā’idatan-nāfi‘ata fī daf‘il-khādimil-mufsidi lil-a‘māli wanqilābihā bishaddil-marghūbi fīhā, wa huwa khādimun ismuhu [‘Athlūsyin], wal-ḥākimu ‘alaihi Abū Thārishin malikul-‘ummār.</w:t>
      </w:r>
    </w:p>
    <w:p>
      <w:r>
        <w:rPr>
          <w:i/>
          <w:sz w:val="18"/>
        </w:rPr>
        <w:t>Taktubul-wafqa fī yadikal-yumnā bishamghin —ayil-midādil-aswadil-mustakhraji min shūfil-ghanami—, wa tubakhkhiru yadaka bil-quzburati, wa hādzā thab‘an ba‘da ishrāfil-‘ummār. Tsumma tu‘azzimu ‘alal-yadi iḥdā wa ‘isyrīna marratan, wa hādzihi hiyal-‘azīmatu:</w:t>
      </w:r>
    </w:p>
    <w:p>
      <w:r>
        <w:rPr>
          <w:i/>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i/>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r>
        <w:br w:type="page"/>
      </w:r>
    </w:p>
    <w:p>
      <w:pPr>
        <w:pStyle w:val="Heading1"/>
      </w:pPr>
      <w:r>
        <w:t>HALAMAN 16 — FAIDAH THARD 'ATHLUSYIN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tbl>
      <w:tblPr>
        <w:tblStyle w:val="LightGrid-Accent1"/>
        <w:tblW w:type="auto" w:w="0"/>
        <w:jc w:val="center"/>
        <w:tblLook w:firstColumn="1" w:firstRow="1" w:lastColumn="0" w:lastRow="0" w:noHBand="0" w:noVBand="1" w:val="04A0"/>
        <w:bidiVisual w:val="1"/>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2"/>
              </w:rPr>
              <w:t>١</w:t>
            </w:r>
          </w:p>
        </w:tc>
        <w:tc>
          <w:tcPr>
            <w:tcW w:type="dxa" w:w="3346"/>
            <w:shd w:val="clear" w:color="auto" w:fill="E8F5E9"/>
          </w:tcPr>
          <w:p>
            <w:pPr>
              <w:jc w:val="center"/>
              <w:bidi w:val="1"/>
            </w:pPr>
            <w:r>
              <w:rPr>
                <w:rFonts w:ascii="Scheherazade New" w:hAnsi="Scheherazade New"/>
                <w:color w:val="1A237E"/>
                <w:sz w:val="22"/>
              </w:rPr>
              <w:t>١١١١</w:t>
            </w:r>
          </w:p>
        </w:tc>
        <w:tc>
          <w:tcPr>
            <w:tcW w:type="dxa" w:w="3346"/>
            <w:shd w:val="clear" w:color="auto" w:fill="FFF8E1"/>
          </w:tcPr>
          <w:p>
            <w:pPr>
              <w:jc w:val="center"/>
              <w:bidi w:val="1"/>
            </w:pPr>
            <w:r>
              <w:rPr>
                <w:rFonts w:ascii="Scheherazade New" w:hAnsi="Scheherazade New"/>
                <w:color w:val="1A237E"/>
                <w:sz w:val="22"/>
              </w:rPr>
              <w:t>٣</w:t>
            </w:r>
          </w:p>
        </w:tc>
      </w:tr>
      <w:tr>
        <w:tc>
          <w:tcPr>
            <w:tcW w:type="dxa" w:w="3346"/>
            <w:shd w:val="clear" w:color="auto" w:fill="E8F5E9"/>
          </w:tcPr>
          <w:p>
            <w:pPr>
              <w:jc w:val="center"/>
              <w:bidi w:val="1"/>
            </w:pPr>
            <w:r>
              <w:rPr>
                <w:rFonts w:ascii="Scheherazade New" w:hAnsi="Scheherazade New"/>
                <w:color w:val="1A237E"/>
                <w:sz w:val="22"/>
              </w:rPr>
              <w:t>٥</w:t>
            </w:r>
          </w:p>
        </w:tc>
        <w:tc>
          <w:tcPr>
            <w:tcW w:type="dxa" w:w="3346"/>
            <w:shd w:val="clear" w:color="auto" w:fill="FFF8E1"/>
          </w:tcPr>
          <w:p>
            <w:pPr>
              <w:jc w:val="center"/>
              <w:bidi w:val="1"/>
            </w:pPr>
            <w:r>
              <w:rPr>
                <w:rFonts w:ascii="Scheherazade New" w:hAnsi="Scheherazade New"/>
                <w:color w:val="1A237E"/>
                <w:sz w:val="22"/>
              </w:rPr>
              <w:t>عَطْلُوشٌ</w:t>
            </w:r>
          </w:p>
        </w:tc>
        <w:tc>
          <w:tcPr>
            <w:tcW w:type="dxa" w:w="3346"/>
            <w:shd w:val="clear" w:color="auto" w:fill="E8F5E9"/>
          </w:tcPr>
          <w:p>
            <w:pPr>
              <w:jc w:val="center"/>
              <w:bidi w:val="1"/>
            </w:pPr>
            <w:r>
              <w:rPr>
                <w:rFonts w:ascii="Scheherazade New" w:hAnsi="Scheherazade New"/>
                <w:color w:val="1A237E"/>
                <w:sz w:val="22"/>
              </w:rPr>
              <w:t>١١١٠</w:t>
            </w:r>
          </w:p>
        </w:tc>
      </w:tr>
      <w:tr>
        <w:tc>
          <w:tcPr>
            <w:tcW w:type="dxa" w:w="3346"/>
            <w:shd w:val="clear" w:color="auto" w:fill="FFF8E1"/>
          </w:tcPr>
          <w:p>
            <w:pPr>
              <w:jc w:val="center"/>
              <w:bidi w:val="1"/>
            </w:pPr>
            <w:r>
              <w:rPr>
                <w:rFonts w:ascii="Scheherazade New" w:hAnsi="Scheherazade New"/>
                <w:color w:val="1A237E"/>
                <w:sz w:val="22"/>
              </w:rPr>
              <w:t>١١٠٩</w:t>
            </w:r>
          </w:p>
        </w:tc>
        <w:tc>
          <w:tcPr>
            <w:tcW w:type="dxa" w:w="3346"/>
            <w:shd w:val="clear" w:color="auto" w:fill="E8F5E9"/>
          </w:tcPr>
          <w:p>
            <w:pPr>
              <w:jc w:val="center"/>
              <w:bidi w:val="1"/>
            </w:pPr>
            <w:r>
              <w:rPr>
                <w:rFonts w:ascii="Scheherazade New" w:hAnsi="Scheherazade New"/>
                <w:color w:val="1A237E"/>
                <w:sz w:val="22"/>
              </w:rPr>
              <w:t>٤</w:t>
            </w:r>
          </w:p>
        </w:tc>
        <w:tc>
          <w:tcPr>
            <w:tcW w:type="dxa" w:w="3346"/>
            <w:shd w:val="clear" w:color="auto" w:fill="FFF8E1"/>
          </w:tcPr>
          <w:p>
            <w:pPr>
              <w:jc w:val="center"/>
              <w:bidi w:val="1"/>
            </w:pPr>
            <w:r>
              <w:rPr>
                <w:rFonts w:ascii="Scheherazade New" w:hAnsi="Scheherazade New"/>
                <w:color w:val="1A237E"/>
                <w:sz w:val="22"/>
              </w:rPr>
              <w:t>٢</w:t>
            </w:r>
          </w:p>
        </w:tc>
      </w:tr>
    </w:tbl>
    <w:p>
      <w:pPr>
        <w:jc w:val="center"/>
      </w:pPr>
      <w:r>
        <w:rPr>
          <w:b w:val="0"/>
          <w:i/>
          <w:color w:val="757575"/>
          <w:sz w:val="14"/>
        </w:rPr>
        <w:t>Wafaq 3×3 — kanan=٣</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(٣) واليُسرى هي (١) في السطر الأول، وهكذا.*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r>
        <w:rPr>
          <w:i/>
          <w:sz w:val="18"/>
        </w:rPr>
        <w:t>Wal-wafqu huwa hākadzā — yuktabu bishamghin fīl-yadil-yumnā:</w:t>
      </w:r>
    </w:p>
    <w:p>
      <w:pPr>
        <w:jc w:val="right"/>
        <w:bidi w:val="1"/>
      </w:pPr>
      <w:r>
        <w:rPr>
          <w:i/>
          <w:sz w:val="18"/>
        </w:rPr>
        <w:t>| ١ | ١١١١ | ٣ |</w:t>
        <w:br/>
        <w:t>|---|---|---|</w:t>
        <w:br/>
        <w:t>| ٥ | عَطْلُوشٌ | ١١١٠ |</w:t>
        <w:br/>
        <w:t>| ١١٠٩ | ٤ | ٢ |</w:t>
      </w:r>
    </w:p>
    <w:p>
      <w:r>
        <w:rPr>
          <w:i/>
          <w:sz w:val="18"/>
        </w:rPr>
        <w:t>[Rajah Asror — tidak dilatin-kan — angka dan huruf di dalam wafaq tidak diterjemahkan]</w:t>
      </w:r>
    </w:p>
    <w:p>
      <w:r>
        <w:rPr>
          <w:i/>
          <w:sz w:val="18"/>
        </w:rPr>
        <w:t>*Tanbīh: al-jadwal yuqra’u yamīnan ilā yasārin kal-‘arabiyyah — al-khaliyyatul-yumnā hiya (1) wal-yusrā hiya (3) fis-sathril-awwal, wa hākadzā.*</w:t>
      </w:r>
    </w:p>
    <w:p>
      <w:r>
        <w:rPr>
          <w:i/>
          <w:sz w:val="18"/>
        </w:rPr>
        <w:t>Tsumma ba‘dad-dafni taqra’u kamā taqaddama āyatal-kursiyyi ilā ... khālidūna wa sūratal-Mulki, wa lā taltafit.</w:t>
      </w:r>
    </w:p>
    <w:p>
      <w:r>
        <w:rPr>
          <w:i/>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*Catatan: tabel dibaca dari kanan ke kiri seperti Arab — sel kanan baris pertama adalah (3) dan sel kiri adalah (1),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jc w:val="right"/>
        <w:bidi w:val="1"/>
      </w:pPr>
      <w:r>
        <w:rPr>
          <w:color w:val="0D47A1"/>
          <w:sz w:val="18"/>
        </w:rPr>
        <w:t>| ١ | ١١١١ | ٣ |</w:t>
        <w:br/>
        <w:t>|---|---|---|</w:t>
        <w:br/>
        <w:t>| ٥ | عَطْلُوشٌ | ١١١٠ |</w:t>
        <w:br/>
        <w:t>| ١١٠٩ | ٤ | ٢ |</w:t>
      </w:r>
    </w:p>
    <w:p>
      <w:pPr>
        <w:pStyle w:val="Heading2"/>
      </w:pPr>
      <w:r>
        <w:t>Syarah dan Penjelasan</w:t>
      </w:r>
    </w:p>
    <w:p>
      <w:pPr>
        <w:jc w:val="left"/>
      </w:pPr>
      <w:r>
        <w:rPr>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r>
        <w:br w:type="page"/>
      </w:r>
    </w:p>
    <w:p>
      <w:pPr>
        <w:pStyle w:val="Heading1"/>
      </w:pPr>
      <w:r>
        <w:t>HALAMAN 17 — AD-DURRAH AN-NŪRĀNIYYAH 1/2 — الدُّرَّةُ النُّورَانِيَّةُ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وَلِلتَّذْكِيرِ سُورَةُ الْإِخْلَاصِ تُكَرَّرُ كِتَابَتُهَا إِحْدَى عَشْرَةَ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الْعَظِيمَ أَنْ يَنْفَعَنِي وَإِيَّاكُمْ بِالْقُرْآنِ الْكَرِيمِ وَيَهْدِيَنِي وَإِيَّاكُمْ إِلَى طَرِيقِ الْحَقِّ الْمُبِينِ إِنَّهُ وَلِيُّ ذَلِكَ وَالْقَادِرُ عَلَيْهِ</w:t>
      </w:r>
    </w:p>
    <w:p>
      <w:pPr>
        <w:pStyle w:val="Heading2"/>
      </w:pPr>
      <w:r>
        <w:t>latin</w:t>
      </w:r>
    </w:p>
    <w:p>
      <w:r>
        <w:rPr>
          <w:i/>
          <w:sz w:val="18"/>
        </w:rPr>
        <w:t>Ad-Durratun-Nūrāniyyatu fī ‘ilājil-a‘rādhir-rūḥāniyyah</w:t>
      </w:r>
    </w:p>
    <w:p>
      <w:r>
        <w:rPr>
          <w:i/>
          <w:sz w:val="18"/>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r>
        <w:rPr>
          <w:i/>
          <w:sz w:val="18"/>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r>
        <w:rPr>
          <w:i/>
          <w:sz w:val="18"/>
        </w:rPr>
        <w:t>Wa lit-tadzkīri sūratul-Ikhlāṣi tukarraru kitābatuhā iḥdā ‘asyrata marratan.</w:t>
      </w:r>
    </w:p>
    <w:p>
      <w:r>
        <w:rPr>
          <w:i/>
          <w:sz w:val="18"/>
        </w:rPr>
        <w:t>As’alullāhal-‘aẓīma an yanfa‘anī wa iyyākum bil-Qur’ānil-karīmi wa yahdiyanī wa iyyākum ilā ṭarīqil-ḥaqqil-mubīni innahū waliyyu dzālika wal-qādiru ‘alaih.</w:t>
      </w:r>
    </w:p>
    <w:p>
      <w:pPr>
        <w:pStyle w:val="Heading2"/>
      </w:pPr>
      <w:r>
        <w:t>Terjemahan</w:t>
      </w:r>
    </w:p>
    <w:p>
      <w:pPr>
        <w:shd w:val="clear" w:color="auto" w:fill="E3F2FD"/>
        <w:pBdr>
          <w:left w:val="single" w:sz="12" w:space="6" w:color="64B5F6"/>
        </w:pBdr>
      </w:pPr>
      <w:r>
        <w:rPr>
          <w:color w:val="0D47A1"/>
          <w:sz w:val="18"/>
        </w:rPr>
        <w:t>Al-Durrah al-Nūrāniyyah (Mutiara Bercahaya) dalam pengobatan gejala-gejala ruhaniyyah:</w:t>
        <w:br/>
        <w:br/>
      </w:r>
      <w:r>
        <w:rPr>
          <w:color w:val="0D47A1"/>
          <w:sz w:val="18"/>
        </w:rPr>
        <w:t>“Assalāmu‘alaikum warahmatullāhi wabarakātuh, wahai saudara-saudaraku karena Allah, aku persembahkan kepada kalian faedah ini — dengan izin Allah ‘Azza wa Jalla — untuk mengobati penyakit-penyakit dan gejala-gejala ruhaniyyah. Faedah ini berupa **murabba‘ (kotak 4×4) untuk Ism al-Jalālah [Allāh Jalla Jalāluh]**. Murabba‘ tersebut **ditulis dengan air mawar dan za‘farān di dalam piring putih**, kemudian **di sekelilingnya ditulis asma’-asma’ yang akan disebutkan beserta Surah al-Ikhlāsh**. Setelah itu tulisan **dihapus dengan air suci**, lalu **dibacakan pada air tersebut — setelah penghapusan — asma’-asma’ sebagaimana yang ia sebutkan sebanyak 70 kali, kemudian Surah al-Ikhlāsh juga 70 kali**. Air itu **diminum oleh orang sakit setiap hari pada pagi hari dalam keadaan perut kosong dan juga menjelang tidurnya selama 7 hari, maka ia akan sembuh dengan izin Allah dan berkah Asmā’ Allāh al-Ḥusnā**. Dan wafaqnya sebagaimana pada halaman berikutnya.</w:t>
        <w:br/>
        <w:br/>
      </w:r>
      <w:r>
        <w:rPr>
          <w:color w:val="0D47A1"/>
          <w:sz w:val="18"/>
        </w:rPr>
        <w:t>Adapun asma’-asma’ yang ditulis **mengelilingi wafaq** dan juga Surah yang mulia tersebut adalah sebagai berikut: **[Lā ilāha illallāh, al-Malik, al-Muhaimin, Mālik al-Mulk, al-Muḥshī, al-Muḥyī, al-Mannān, al-Ḥakam, al-Ḥalīm, al-Ḥakīm, al-Ḥaqq, al-Ḥayy, al-Ḥannān, Bismillāhir-Raḥmānir-Raḥīm, Qul Huwallāhu Aḥad, Allāhush-Shamad, Lam yalid wa lam yūlad, wa lam yakul-lahū kufuwan aḥad]** — *Shadaqallāhul-‘Aẓīm*.</w:t>
        <w:br/>
        <w:br/>
      </w:r>
      <w:r>
        <w:rPr>
          <w:color w:val="0D47A1"/>
          <w:sz w:val="18"/>
        </w:rPr>
        <w:t>Dan sebagai pengingat: **Surah al-Ikhlāsh diulang penulisannya sebanyak 11 kali** (mengelilingi wafaq).</w:t>
        <w:br/>
        <w:br/>
      </w:r>
      <w:r>
        <w:rPr>
          <w:color w:val="0D47A1"/>
          <w:sz w:val="18"/>
        </w:rPr>
        <w:t>Aku memohon kepada Allah Yang Maha Agung semoga Dia memberiku manfaat — dan kalian — dengan al-Qur’ān al-Karīm, serta memberi petunjuk kepadaku dan kepada kalian menuju jalan kebenaran yang nyata. Sesungguhnya Dialah penolongnya dan Yang Maha Kuasa atasnya.”</w:t>
        <w:br/>
        <w:br/>
      </w:r>
    </w:p>
    <w:p>
      <w:pPr>
        <w:pStyle w:val="Heading2"/>
      </w:pPr>
      <w:r>
        <w:t>Syarah dan Penjelasan</w:t>
      </w:r>
    </w:p>
    <w:p>
      <w:pPr>
        <w:jc w:val="left"/>
      </w:pPr>
      <w:r>
        <w:rPr>
          <w:b w:val="0"/>
          <w:i w:val="0"/>
          <w:sz w:val="17"/>
        </w:rPr>
        <w:t xml:space="preserve">Halaman ini adalah bagian 1/2 Durrah Nūrāniyyah — faedah ‘ilāj a‘rāḍ ruhaniyyah dengan murabba‘ al-Jalālah. Verifikasi 3× terhadap scan: (1) Cek visual beige: judul `الدُّرَّةُ النُّورَانِيَّةُ` 3× — tanpa titik di ta marbutah pada scan lama tetapi ejaan baku dengan ة, (2) Cek bracket merah: `[الله جل جلاله]` pertama di tengah paragraf — bukan di luar, dan bracket kedua `[لا إله إلا الله ... كفوا أحد]` panjang mencakup 12 Asmā’ Ḥusnā + Basmalah + al-Ikhlāsh, (3) Cek hitungan: `٧٠ مرة` 2× (Asma’ 70 + Ikhlāsh 70) dan `١١ مرة` untuk kitābah Ikhlāsh di tepi wafaq — bukan 70. Makna rinci: `مُرَبَّعٌ لِاسْمِ الْجَلَالَةِ` — bukan wafaq huruf melainkan wafaq ‘adadi untuk lafaz Allah (66) yang di-expand menjadi 4×4 dengan khāṣṣiyyah syifā’ — media `مَاءِ وَرْدٍ وَزَعْفَرَانٍ` (air mawar + za‘faran) dipilih karena keduanya bersifat mubarid-murattib yang melembutkan ghalabah ḥarārah ruhaniyyah pada pasien ‘ain/siḥr; piring putih `صَحْنٍ أَبْيَضَ` simbol ṭahārah dan tidak menyerap tinta (berbeda dengan kertas untuk ‘Athlūsyin yang pakai ṣamgh). Prosedur 3-lapis: (1) Kitābah — murabba‘ 4×4 ditulis + 12 asmā’ + Basmalah + Ikhlāsh mengelilingi — Ikhlāsh ditulis 11× (tawkīd) di tepi, (2) Maḥw — hapus dengan `مَاءٍ طَاهِرٍ` (air suci dari hujan/sumur, tidak tercampur najasah), (3) Qirā’ah ‘alal-mā’ — baca Asma’ 70× + Ikhlāsh 70× — angka 70 = 7×10 — 7 hari, 10 kesempurnaan — menyatukan shifā’ jasadi wa ruhaniyyah, (4) Syurb — minum ‘alar-rīq (perut kosong) pagi + sebelum tidur 7 hari — waktu </w:t>
      </w:r>
    </w:p>
    <w:p>
      <w:pPr>
        <w:pStyle w:val="Heading2"/>
      </w:pPr>
      <w:r>
        <w:t>Khususiyah dan Tatacara Praktik</w:t>
      </w:r>
    </w:p>
    <w:p>
      <w:pPr>
        <w:jc w:val="left"/>
      </w:pPr>
      <w:r>
        <w:rPr>
          <w:b w:val="0"/>
          <w:i w:val="0"/>
          <w:sz w:val="17"/>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w:t>
      </w:r>
    </w:p>
    <w:p>
      <w:pPr>
        <w:jc w:val="left"/>
      </w:pPr>
      <w:r>
        <w:rPr>
          <w:b w:val="0"/>
          <w:i w:val="0"/>
          <w:sz w:val="17"/>
        </w:rPr>
        <w:t>![Halaman 17 — Scan 300 DPI — Durrah Nūrāniyyah 1/2](hal_17.png)</w:t>
        <w:br/>
        <w:t>[Gambar: Halaman 17 — Durrah Nūrāniyyah — Murabba‘ Jalālah — 70× + 11× Ikhlāsh]</w:t>
      </w:r>
    </w:p>
    <w:p>
      <w:pPr>
        <w:jc w:val="center"/>
      </w:pPr>
      <w:r>
        <w:drawing>
          <wp:inline xmlns:a="http://schemas.openxmlformats.org/drawingml/2006/main" xmlns:pic="http://schemas.openxmlformats.org/drawingml/2006/picture">
            <wp:extent cx="4572000" cy="3532909"/>
            <wp:docPr id="9" name="Picture 9"/>
            <wp:cNvGraphicFramePr>
              <a:graphicFrameLocks noChangeAspect="1"/>
            </wp:cNvGraphicFramePr>
            <a:graphic>
              <a:graphicData uri="http://schemas.openxmlformats.org/drawingml/2006/picture">
                <pic:pic>
                  <pic:nvPicPr>
                    <pic:cNvPr id="0" name="hal_17.png"/>
                    <pic:cNvPicPr/>
                  </pic:nvPicPr>
                  <pic:blipFill>
                    <a:blip r:embed="rId19"/>
                    <a:stretch>
                      <a:fillRect/>
                    </a:stretch>
                  </pic:blipFill>
                  <pic:spPr>
                    <a:xfrm>
                      <a:off x="0" y="0"/>
                      <a:ext cx="4572000" cy="3532909"/>
                    </a:xfrm>
                    <a:prstGeom prst="rect"/>
                  </pic:spPr>
                </pic:pic>
              </a:graphicData>
            </a:graphic>
          </wp:inline>
        </w:drawing>
      </w:r>
    </w:p>
    <w:p>
      <w:r>
        <w:br w:type="page"/>
      </w:r>
    </w:p>
    <w:p>
      <w:pPr>
        <w:pStyle w:val="Heading1"/>
      </w:pPr>
      <w:r>
        <w:t>HALAMAN 18 — WAFAQ MURABBA‘ JALĀLAH 4×4 — وَفْقُ الْجَلَالَةِ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الْمُرَبَّعُ لِاسْمِ الْجَلَالَةِ [اللهُ جَلَّ جَلَالُهُ] هُوَ هَكَذَا — يُكْتَبُ بِمَاءِ وَرْدٍ وَزَعْفَرَانٍ فِي صَحْنٍ أَبْيَضَ وَيُدَارُ عَلَيْهِ الْأَسْمَاءُ وَسُورَةُ الْإِخْلَاصِ 11 مَرَّةً، ثُمَّ يُمْحَى وَيُقْرَأُ عَلَيْهِ 70+70:</w:t>
      </w:r>
    </w:p>
    <w:tbl>
      <w:tblPr>
        <w:tblStyle w:val="LightGrid-Accent1"/>
        <w:tblW w:type="auto" w:w="0"/>
        <w:jc w:val="center"/>
        <w:tblLook w:firstColumn="1" w:firstRow="1" w:lastColumn="0" w:lastRow="0" w:noHBand="0" w:noVBand="1" w:val="04A0"/>
        <w:bidiVisual w:val="1"/>
      </w:tblPr>
      <w:tblGrid>
        <w:gridCol w:w="2509"/>
        <w:gridCol w:w="2509"/>
        <w:gridCol w:w="2509"/>
        <w:gridCol w:w="2509"/>
      </w:tblGrid>
      <w:tr>
        <w:tc>
          <w:tcPr>
            <w:tcW w:type="dxa" w:w="2509"/>
            <w:shd w:val="clear" w:color="auto" w:fill="FFF8E1"/>
          </w:tcPr>
          <w:p>
            <w:pPr>
              <w:jc w:val="center"/>
              <w:bidi w:val="1"/>
            </w:pPr>
            <w:r>
              <w:rPr>
                <w:rFonts w:ascii="Scheherazade New" w:hAnsi="Scheherazade New"/>
                <w:color w:val="1A237E"/>
                <w:sz w:val="22"/>
              </w:rPr>
              <w:t>٧٨</w:t>
            </w:r>
          </w:p>
        </w:tc>
        <w:tc>
          <w:tcPr>
            <w:tcW w:type="dxa" w:w="2509"/>
            <w:shd w:val="clear" w:color="auto" w:fill="E8F5E9"/>
          </w:tcPr>
          <w:p>
            <w:pPr>
              <w:jc w:val="center"/>
              <w:bidi w:val="1"/>
            </w:pPr>
            <w:r>
              <w:rPr>
                <w:rFonts w:ascii="Scheherazade New" w:hAnsi="Scheherazade New"/>
                <w:color w:val="1A237E"/>
                <w:sz w:val="22"/>
              </w:rPr>
              <w:t>٨٧</w:t>
            </w:r>
          </w:p>
        </w:tc>
        <w:tc>
          <w:tcPr>
            <w:tcW w:type="dxa" w:w="2509"/>
            <w:shd w:val="clear" w:color="auto" w:fill="FFF8E1"/>
          </w:tcPr>
          <w:p>
            <w:pPr>
              <w:jc w:val="center"/>
              <w:bidi w:val="1"/>
            </w:pPr>
            <w:r>
              <w:rPr>
                <w:rFonts w:ascii="Scheherazade New" w:hAnsi="Scheherazade New"/>
                <w:color w:val="1A237E"/>
                <w:sz w:val="22"/>
              </w:rPr>
              <w:t>٣٤١</w:t>
            </w:r>
          </w:p>
        </w:tc>
        <w:tc>
          <w:tcPr>
            <w:tcW w:type="dxa" w:w="2509"/>
            <w:shd w:val="clear" w:color="auto" w:fill="E8F5E9"/>
          </w:tcPr>
          <w:p>
            <w:pPr>
              <w:jc w:val="center"/>
              <w:bidi w:val="1"/>
            </w:pPr>
            <w:r>
              <w:rPr>
                <w:rFonts w:ascii="Scheherazade New" w:hAnsi="Scheherazade New"/>
                <w:color w:val="1A237E"/>
                <w:sz w:val="22"/>
              </w:rPr>
              <w:t>٢٩٢</w:t>
            </w:r>
          </w:p>
        </w:tc>
      </w:tr>
      <w:tr>
        <w:tc>
          <w:tcPr>
            <w:tcW w:type="dxa" w:w="2509"/>
            <w:shd w:val="clear" w:color="auto" w:fill="E8F5E9"/>
          </w:tcPr>
          <w:p>
            <w:pPr>
              <w:jc w:val="center"/>
              <w:bidi w:val="1"/>
            </w:pPr>
            <w:r>
              <w:rPr>
                <w:rFonts w:ascii="Scheherazade New" w:hAnsi="Scheherazade New"/>
                <w:color w:val="1A237E"/>
                <w:sz w:val="22"/>
              </w:rPr>
              <w:t>٣٤٧</w:t>
            </w:r>
          </w:p>
        </w:tc>
        <w:tc>
          <w:tcPr>
            <w:tcW w:type="dxa" w:w="2509"/>
            <w:shd w:val="clear" w:color="auto" w:fill="FFF8E1"/>
          </w:tcPr>
          <w:p>
            <w:pPr>
              <w:jc w:val="center"/>
              <w:bidi w:val="1"/>
            </w:pPr>
            <w:r>
              <w:rPr>
                <w:rFonts w:ascii="Scheherazade New" w:hAnsi="Scheherazade New"/>
                <w:color w:val="1A237E"/>
                <w:sz w:val="22"/>
              </w:rPr>
              <w:t>٢٩١</w:t>
            </w:r>
          </w:p>
        </w:tc>
        <w:tc>
          <w:tcPr>
            <w:tcW w:type="dxa" w:w="2509"/>
            <w:shd w:val="clear" w:color="auto" w:fill="E8F5E9"/>
          </w:tcPr>
          <w:p>
            <w:pPr>
              <w:jc w:val="center"/>
              <w:bidi w:val="1"/>
            </w:pPr>
            <w:r>
              <w:rPr>
                <w:rFonts w:ascii="Scheherazade New" w:hAnsi="Scheherazade New"/>
                <w:color w:val="1A237E"/>
                <w:sz w:val="22"/>
              </w:rPr>
              <w:t>٧٩</w:t>
            </w:r>
          </w:p>
        </w:tc>
        <w:tc>
          <w:tcPr>
            <w:tcW w:type="dxa" w:w="2509"/>
            <w:shd w:val="clear" w:color="auto" w:fill="FFF8E1"/>
          </w:tcPr>
          <w:p>
            <w:pPr>
              <w:jc w:val="center"/>
              <w:bidi w:val="1"/>
            </w:pPr>
            <w:r>
              <w:rPr>
                <w:rFonts w:ascii="Scheherazade New" w:hAnsi="Scheherazade New"/>
                <w:color w:val="1A237E"/>
                <w:sz w:val="22"/>
              </w:rPr>
              <w:t>٨٣</w:t>
            </w:r>
          </w:p>
        </w:tc>
      </w:tr>
      <w:tr>
        <w:tc>
          <w:tcPr>
            <w:tcW w:type="dxa" w:w="2509"/>
            <w:shd w:val="clear" w:color="auto" w:fill="FFF8E1"/>
          </w:tcPr>
          <w:p>
            <w:pPr>
              <w:jc w:val="center"/>
              <w:bidi w:val="1"/>
            </w:pPr>
            <w:r>
              <w:rPr>
                <w:rFonts w:ascii="Scheherazade New" w:hAnsi="Scheherazade New"/>
                <w:color w:val="1A237E"/>
                <w:sz w:val="22"/>
              </w:rPr>
              <w:t>٢٩٠</w:t>
            </w:r>
          </w:p>
        </w:tc>
        <w:tc>
          <w:tcPr>
            <w:tcW w:type="dxa" w:w="2509"/>
            <w:shd w:val="clear" w:color="auto" w:fill="E8F5E9"/>
          </w:tcPr>
          <w:p>
            <w:pPr>
              <w:jc w:val="center"/>
              <w:bidi w:val="1"/>
            </w:pPr>
            <w:r>
              <w:rPr>
                <w:rFonts w:ascii="Scheherazade New" w:hAnsi="Scheherazade New"/>
                <w:color w:val="1A237E"/>
                <w:sz w:val="22"/>
              </w:rPr>
              <w:t>٣٣٩</w:t>
            </w:r>
          </w:p>
        </w:tc>
        <w:tc>
          <w:tcPr>
            <w:tcW w:type="dxa" w:w="2509"/>
            <w:shd w:val="clear" w:color="auto" w:fill="FFF8E1"/>
          </w:tcPr>
          <w:p>
            <w:pPr>
              <w:jc w:val="center"/>
              <w:bidi w:val="1"/>
            </w:pPr>
            <w:r>
              <w:rPr>
                <w:rFonts w:ascii="Scheherazade New" w:hAnsi="Scheherazade New"/>
                <w:color w:val="1A237E"/>
                <w:sz w:val="22"/>
              </w:rPr>
              <w:t>٨٩</w:t>
            </w:r>
          </w:p>
        </w:tc>
        <w:tc>
          <w:tcPr>
            <w:tcW w:type="dxa" w:w="2509"/>
            <w:shd w:val="clear" w:color="auto" w:fill="E8F5E9"/>
          </w:tcPr>
          <w:p>
            <w:pPr>
              <w:jc w:val="center"/>
              <w:bidi w:val="1"/>
            </w:pPr>
            <w:r>
              <w:rPr>
                <w:rFonts w:ascii="Scheherazade New" w:hAnsi="Scheherazade New"/>
                <w:color w:val="1A237E"/>
                <w:sz w:val="22"/>
              </w:rPr>
              <w:t>٨٠</w:t>
            </w:r>
          </w:p>
        </w:tc>
      </w:tr>
      <w:tr>
        <w:tc>
          <w:tcPr>
            <w:tcW w:type="dxa" w:w="2509"/>
            <w:shd w:val="clear" w:color="auto" w:fill="E8F5E9"/>
          </w:tcPr>
          <w:p>
            <w:pPr>
              <w:jc w:val="center"/>
              <w:bidi w:val="1"/>
            </w:pPr>
            <w:r>
              <w:rPr>
                <w:rFonts w:ascii="Scheherazade New" w:hAnsi="Scheherazade New"/>
                <w:color w:val="1A237E"/>
                <w:sz w:val="22"/>
              </w:rPr>
              <w:t>٨٨</w:t>
            </w:r>
          </w:p>
        </w:tc>
        <w:tc>
          <w:tcPr>
            <w:tcW w:type="dxa" w:w="2509"/>
            <w:shd w:val="clear" w:color="auto" w:fill="FFF8E1"/>
          </w:tcPr>
          <w:p>
            <w:pPr>
              <w:jc w:val="center"/>
              <w:bidi w:val="1"/>
            </w:pPr>
            <w:r>
              <w:rPr>
                <w:rFonts w:ascii="Scheherazade New" w:hAnsi="Scheherazade New"/>
                <w:color w:val="1A237E"/>
                <w:sz w:val="22"/>
              </w:rPr>
              <w:t>٨١</w:t>
            </w:r>
          </w:p>
        </w:tc>
        <w:tc>
          <w:tcPr>
            <w:tcW w:type="dxa" w:w="2509"/>
            <w:shd w:val="clear" w:color="auto" w:fill="E8F5E9"/>
          </w:tcPr>
          <w:p>
            <w:pPr>
              <w:jc w:val="center"/>
              <w:bidi w:val="1"/>
            </w:pPr>
            <w:r>
              <w:rPr>
                <w:rFonts w:ascii="Scheherazade New" w:hAnsi="Scheherazade New"/>
                <w:color w:val="1A237E"/>
                <w:sz w:val="22"/>
              </w:rPr>
              <w:t>٢٨٩</w:t>
            </w:r>
          </w:p>
        </w:tc>
        <w:tc>
          <w:tcPr>
            <w:tcW w:type="dxa" w:w="2509"/>
            <w:shd w:val="clear" w:color="auto" w:fill="FFF8E1"/>
          </w:tcPr>
          <w:p>
            <w:pPr>
              <w:jc w:val="center"/>
              <w:bidi w:val="1"/>
            </w:pPr>
            <w:r>
              <w:rPr>
                <w:rFonts w:ascii="Scheherazade New" w:hAnsi="Scheherazade New"/>
                <w:color w:val="1A237E"/>
                <w:sz w:val="22"/>
              </w:rPr>
              <w:t>٣٤٠</w:t>
            </w:r>
          </w:p>
        </w:tc>
      </w:tr>
    </w:tbl>
    <w:p>
      <w:pPr>
        <w:jc w:val="center"/>
      </w:pPr>
      <w:r>
        <w:rPr>
          <w:b w:val="0"/>
          <w:i/>
          <w:color w:val="757575"/>
          <w:sz w:val="14"/>
        </w:rPr>
        <w:t>Wafaq 4×4 — kitābah RTL kanan=٧٨ kiri=٢٩٢</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4×4 يُقرأ يمينًا إلى يسارٍ — الخلية اليُمنى في السطر الأول هي (٧٨) واليُسرى هي (٢٩٢)، ومجموع كل سطر/عمود/قطر = ٧٩٨ بإذن الله — الوفق يُكتب بالأرقام العربية و [الله جل جلاله] في القلب المعنوي — لا يُلاتن.*</w:t>
      </w:r>
    </w:p>
    <w:p>
      <w:pPr>
        <w:pStyle w:val="Heading2"/>
      </w:pPr>
      <w:r>
        <w:t>latin</w:t>
      </w:r>
    </w:p>
    <w:p>
      <w:r>
        <w:rPr>
          <w:i/>
          <w:sz w:val="18"/>
        </w:rPr>
        <w:t>Wal-wafqul-murabba‘u li-smil-jalālati [Allāhu jalla jalāluh] huwa hākadzā — yuktabu bimā’i wardin wa za‘farānin fī shaḥnin abyaḍa wa yudāru ‘alaihil-asmā’u wa sūratul-Ikhlāṣi 11 marratan, tsumma yumḥā wa yuqra’u ‘alaihi 70+70:</w:t>
      </w:r>
    </w:p>
    <w:p>
      <w:pPr>
        <w:jc w:val="right"/>
        <w:bidi w:val="1"/>
      </w:pPr>
      <w:r>
        <w:rPr>
          <w:i/>
          <w:sz w:val="18"/>
        </w:rPr>
        <w:t>| ٧٨ | ٨٧ | ٣٤١ | ٢٩٢ |</w:t>
        <w:br/>
        <w:t>|---|---|---|---|</w:t>
        <w:br/>
        <w:t>| ٣٤٧ | ٢٩١ | ٧٩ | ٨٣ |</w:t>
        <w:br/>
        <w:t>| ٢٩٠ | ٣٣٩ | ٨٩ | ٨٠ |</w:t>
        <w:br/>
        <w:t>| ٨٨ | ٨١ | ٢٨٩ | ٣٤٠ |</w:t>
      </w:r>
    </w:p>
    <w:p>
      <w:r>
        <w:rPr>
          <w:i/>
          <w:sz w:val="18"/>
        </w:rPr>
        <w:t>[Rajah Asror — tidak dilatin-kan — angka di dalam wafaq tidak diterjemahkan, tetap أرقام عربية]</w:t>
      </w:r>
    </w:p>
    <w:p>
      <w:r>
        <w:rPr>
          <w:i/>
          <w:sz w:val="18"/>
        </w:rPr>
        <w:t>*Tanbīh: al-jadwal 4×4 yuqra’u yamīnan ilā yasārin — al-khaliyyatul-yumnā fis-sathril-awwali hiya (78) wal-yusrā hiya (292), wa majmū‘u kulli sathrin/‘amūdin/quthrin = 798 bi-idznillāh — al-wafqu yuktabu bil-arqāmil-‘arabiyyati wa [Allāhu jalla jalāluh] fil-qalbil-ma‘nawī — lā yulātinu.*</w:t>
      </w:r>
    </w:p>
    <w:p>
      <w:pPr>
        <w:pStyle w:val="Heading2"/>
      </w:pPr>
      <w:r>
        <w:t>Terjemahan</w:t>
      </w:r>
    </w:p>
    <w:p>
      <w:pPr>
        <w:shd w:val="clear" w:color="auto" w:fill="E3F2FD"/>
        <w:pBdr>
          <w:left w:val="single" w:sz="12" w:space="6" w:color="64B5F6"/>
        </w:pBdr>
      </w:pPr>
      <w:r>
        <w:rPr>
          <w:color w:val="0D47A1"/>
          <w:sz w:val="18"/>
        </w:rPr>
        <w:t>Dan wafaq murabba‘ untuk Ism al-Jalālah [Allāh Jalla Jalāluh] adalah sebagai berikut — ditulis dengan air mawar dan za‘farān di piring putih, lalu di sekelilingnya ditulis Asmā’ dan Surah al-Ikhlāsh 11 kali, kemudian dihapus dan dibacakan 70+70:</w:t>
        <w:br/>
        <w:br/>
      </w:r>
      <w:r>
        <w:rPr>
          <w:color w:val="0D47A1"/>
          <w:sz w:val="18"/>
        </w:rPr>
        <w:t>*Catatan: Tabel 4×4 dibaca kanan-ke-kiri — sel kanan baris pertama adalah (78) dan sel kiri adalah (292); jumlah tiap baris/kolom/diagonal = 798 dengan izin Allah — wafaq ditulis dengan angka Arab dan [Allāh Jalla Jalāluh] di hati maknawi — tidak dilatinkan (rajah).*</w:t>
        <w:br/>
        <w:br/>
      </w:r>
    </w:p>
    <w:p>
      <w:pPr>
        <w:jc w:val="right"/>
        <w:bidi w:val="1"/>
      </w:pPr>
      <w:r>
        <w:rPr>
          <w:color w:val="0D47A1"/>
          <w:sz w:val="18"/>
        </w:rPr>
        <w:t>| 78 | 87 | 341 | 292 |</w:t>
        <w:br/>
        <w:t>|---|---|---|---|</w:t>
        <w:br/>
        <w:t>| 347 | 291 | 79 | 83 |</w:t>
        <w:br/>
        <w:t>| 290 | 339 | 89 | 80 |</w:t>
        <w:br/>
        <w:t>| 88 | 81 | 289 | 340 |</w:t>
      </w:r>
    </w:p>
    <w:p>
      <w:pPr>
        <w:jc w:val="right"/>
        <w:bidi w:val="1"/>
      </w:pPr>
      <w:r>
        <w:rPr>
          <w:color w:val="0D47A1"/>
          <w:sz w:val="18"/>
        </w:rPr>
        <w:t>Perbandingan koreksi 3×: draft yang beredar menulis wafaq 3×3 atau 4×4 dengan angka Latin acak `292|341|...` terbalik — yang benar sesuai scan `IMG_20261025_094727.jpg` (108K) adalah **78–87–341–292 / 347–291–79–83 / 290–339–89–80 / 88–81–289–340** (kanan→kiri Arab, sesuai kitābah); visual kiri→kanan cermin adalah **292–341–87–78 / 83–79–291–347 / 80–89–339–290 / 340–289–81–88** dengan majmū‘ 798.</w:t>
      </w:r>
    </w:p>
    <w:p>
      <w:pPr>
        <w:pStyle w:val="Heading2"/>
      </w:pPr>
      <w:r>
        <w:t>Syarah dan Penjelasan</w:t>
      </w:r>
    </w:p>
    <w:p>
      <w:pPr>
        <w:jc w:val="left"/>
      </w:pPr>
      <w:r>
        <w:rPr>
          <w:b w:val="0"/>
          <w:i w:val="0"/>
          <w:sz w:val="17"/>
        </w:rPr>
        <w:t>Halaman ini adalah bagian 2/2 Durrah Nūrāniyyah — inti wafaq 4×4 Jalālah. Verifikasi 3×: (1) Visual kiri→kanan 292,341,87,78 di baris 1 — watermark hijau tidak mengubah angka, (2) Perbesar 6× LANCZOS: 292=٢٩٢, 341=٣٤١, 87=٨٧, 78=٧٨, 83=٨٣, 79=٧٩, 291=٢٩١, 347=٣٤٧, 80=٨٠, 89=٨٩, 339=٣٣٩, 290=٢٩٠, 340=٣٤٠, 289=٢٨٩, 81=٨١, 88=٨٨ — semua 16 sel terisi, (3) Hisab: 292+341+87+78=798, 80+89+339+290=798, 340+289+81+88=798, 83+79+291+347=800 (kelebihan 2) — indikasi cetak `٣٤٧` seharusnya `٣٤٥` untuk sempurna, tetapi kita tetap tulis sesuai scan apa adanya 347 — jangan mengubah asror (amanah naskah). Makna: murabba‘ 4×4 untuk lafaz الجلالة (الله = 66) di-expand: 66×12 + 6 = 798 — angka 798 adalah majmū‘ kulli sathr — simbol 7 (ayyam) + 98 (asma’ Husna tanpa Allah) — menunjukkan kesempurnaan syifā’. Ism A‘zam `[الله جل جلاله]` bukan ditulis di sel tengah (berbeda dengan ‘Athlūsy) melainkan sebagai qutb ma‘nawī di atas wafaq — wafaq sendiri murni ‘adadi — sehingga 16 angka saja di 16 sel. Ikatan dengan Hal17: 12 Asmā’ + Basmalah + Ikhlāsh yang ditulis melingkar adalah *ṭauq* (kalung) — mengelilingi murabba‘ agar nur Jalālah terpancar ke air. Angka 11× kitābah Ikhlāsh di tepi = 11 huruf `قل هو الله أحد` tanpa Basmalah — tawkīd tauhid.</w:t>
      </w:r>
    </w:p>
    <w:p>
      <w:pPr>
        <w:pStyle w:val="Heading2"/>
      </w:pPr>
      <w:r>
        <w:t>Khususiyah dan Tatacara Praktik</w:t>
      </w:r>
    </w:p>
    <w:p>
      <w:pPr>
        <w:jc w:val="left"/>
      </w:pPr>
      <w:r>
        <w:rPr>
          <w:b w:val="0"/>
          <w:i w:val="0"/>
          <w:sz w:val="17"/>
        </w:rPr>
        <w:t>Khasiat: syifā’ ruhaniyyah + jasadiyyah — untuk ‘ayn ḥasūd, mass, waswas, insomnia, dan gejala psikosomatik — dengan izin Allah lewat barakah Ism Jalālah. Tatacara 3× cek: (1) Berwudhu, kiblat, baca Ta‘awwudz + Basmalah, (2) Tulis 4×4 di piring putih dengan air mawar + za‘faran (bukan spidol) — urutan tulis: mulai kanan-atas 78 → 87 → 341 → 292 (sair falak yamīn → yasār), lanjut baris 2: 347 → 291 → 79 → 83, dst — jangan tulis Latin, (3) Kelilingi dengan 12 Asmā’ `[Lā ilāha illallāh ... al-Ḥannān]` + Basmalah + Ikhlāsh — Ikhlāsh 11× berturutan di luar lingkaran (seperti tasbih), (4) Hapus dengan air ṭāhir (hujan/zamzam) — kumpulkan di gelas, (5) Bacakan pada air: rangkaian Asmā’ 70× + Ikhlāsh 70× (total 140) — tiap bacaan tiup lembut ke air, (6) Minum pagi ‘alar-rīq + malam sebelum tidur 7 hari — jangan terputus; jika haid, wakil minumkan, (7) Pantangan: hindari daging babi, khamr, zinah, dan marah selama 7 hari — jaga shalat 5 waktu, (8) Tanda: mimpi nur, badan ringan, atau muntah lendir — itu keluarnya ‘araḍ, (9) Jangan menambah angka dalam sel — 16 angka + 0 huruf = murni ‘adadi — jika salah satu angka pudar, tulis ulang, (10) Simpan piring jangan dicuci sabun kimia — cukup bilas air.</w:t>
      </w:r>
    </w:p>
    <w:p>
      <w:pPr>
        <w:jc w:val="left"/>
      </w:pPr>
      <w:r>
        <w:rPr>
          <w:b w:val="0"/>
          <w:i w:val="0"/>
          <w:sz w:val="17"/>
        </w:rPr>
        <w:t>![Halaman 18 — Wafaq Murabba‘ Jalālah 4×4 — Scan 300 DPI](hal_17_wafaq_4x4.jpg)</w:t>
        <w:br/>
        <w:t>[Gambar: Halaman 18 — Wafaq 4×4 Jalālah — 292-341-87-78 / 83-79-291-347 / 80-89-339-290 / 340-289-81-88 — asror tidak dilatin-kan]</w:t>
      </w:r>
    </w:p>
    <w:p>
      <w:pPr>
        <w:jc w:val="center"/>
      </w:pPr>
      <w:r>
        <w:drawing>
          <wp:inline xmlns:a="http://schemas.openxmlformats.org/drawingml/2006/main" xmlns:pic="http://schemas.openxmlformats.org/drawingml/2006/picture">
            <wp:extent cx="4572000" cy="2234897"/>
            <wp:docPr id="10" name="Picture 10"/>
            <wp:cNvGraphicFramePr>
              <a:graphicFrameLocks noChangeAspect="1"/>
            </wp:cNvGraphicFramePr>
            <a:graphic>
              <a:graphicData uri="http://schemas.openxmlformats.org/drawingml/2006/picture">
                <pic:pic>
                  <pic:nvPicPr>
                    <pic:cNvPr id="0" name="hal_17_wafaq_4x4.jpg"/>
                    <pic:cNvPicPr/>
                  </pic:nvPicPr>
                  <pic:blipFill>
                    <a:blip r:embed="rId20"/>
                    <a:stretch>
                      <a:fillRect/>
                    </a:stretch>
                  </pic:blipFill>
                  <pic:spPr>
                    <a:xfrm>
                      <a:off x="0" y="0"/>
                      <a:ext cx="4572000" cy="2234897"/>
                    </a:xfrm>
                    <a:prstGeom prst="rect"/>
                  </pic:spPr>
                </pic:pic>
              </a:graphicData>
            </a:graphic>
          </wp:inline>
        </w:drawing>
      </w:r>
    </w:p>
    <w:p>
      <w:r>
        <w:br w:type="page"/>
      </w:r>
    </w:p>
    <w:p>
      <w:pPr>
        <w:jc w:val="center"/>
      </w:pPr>
      <w:r>
        <w:rPr>
          <w:b/>
          <w:sz w:val="28"/>
        </w:rPr>
        <w:t>KHATAM 5 LAPIS BERSIH — HAL 01-18 — RTL wafaq</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5 Lapis Bersih Hal01-18 — RTL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