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B5E20"/>
          <w:sz w:val="28"/>
        </w:rPr>
        <w:t>ANWAR MUJAROBAT SYEIKH BASYIR — REVISI FINAL 5 LAPIS BERSIH — HAL01-13 — Hal12 RTL DIPERBAIKI</w:t>
      </w:r>
    </w:p>
    <w:p>
      <w:pPr>
        <w:jc w:val="center"/>
      </w:pPr>
      <w:r>
        <w:rPr>
          <w:i/>
          <w:color w:val="C62828"/>
          <w:sz w:val="14"/>
        </w:rPr>
        <w:t>Hal12 arab RTL: ١٨|١٢٠٩|٦٠٠ — visual wafaq asli kanan=١٨ kiri=٦٠٠ — koreksi 3×3 tajam hal12_crop_sharp.jpg 35KB</w:t>
      </w:r>
    </w:p>
    <w:p>
      <w:pPr>
        <w:pStyle w:val="Heading1"/>
        <w:jc w:val="center"/>
      </w:pPr>
      <w:r>
        <w:rPr>
          <w:b/>
          <w:color w:val="1B5E20"/>
          <w:sz w:val="22"/>
        </w:rPr>
        <w:t>HALAMAN 01 — SAMPUL — أَنْوَارُ الشَّيْخِ الْبَشِيرِ</w:t>
      </w:r>
    </w:p>
    <w:p>
      <w:pPr>
        <w:spacing w:before="120"/>
      </w:pPr>
      <w:r>
        <w:rPr>
          <w:b/>
          <w:color w:val="1B5E20"/>
          <w:sz w:val="18"/>
        </w:rPr>
        <w:t>arab — Arab Berharokat Full</w:t>
      </w:r>
    </w:p>
    <w:p>
      <w:pPr>
        <w:jc w:val="right"/>
      </w:pPr>
      <w:r>
        <w:rPr>
          <w:sz w:val="20"/>
        </w:rPr>
        <w:t>أَنْوَارُ الشَّيْخِ الْبَشِيرِ</w:t>
      </w:r>
    </w:p>
    <w:p>
      <w:pPr>
        <w:jc w:val="right"/>
      </w:pPr>
      <w:r>
        <w:rPr>
          <w:sz w:val="20"/>
        </w:rPr>
        <w:t>مُنْتَدَيَاتُ الْأَنْوَارِ الْقَادِرِيَّةِ</w:t>
      </w:r>
    </w:p>
    <w:p>
      <w:pPr>
        <w:jc w:val="right"/>
      </w:pPr>
      <w:r>
        <w:rPr>
          <w:sz w:val="20"/>
        </w:rPr>
        <w:t>وَالْأَرْوَاحِ الرَّحْمَانِيَّةِ</w:t>
      </w:r>
    </w:p>
    <w:p>
      <w:pPr>
        <w:spacing w:before="120"/>
      </w:pPr>
      <w:r>
        <w:rPr>
          <w:b/>
          <w:color w:val="1A237E"/>
          <w:sz w:val="18"/>
        </w:rPr>
        <w:t>latin — Latin Washal Bunyi</w:t>
      </w:r>
    </w:p>
    <w:p>
      <w:r>
        <w:rPr>
          <w:sz w:val="17"/>
        </w:rPr>
        <w:t>[Latin Washal belum tersedia]</w:t>
      </w:r>
    </w:p>
    <w:p>
      <w:pPr>
        <w:spacing w:before="120"/>
      </w:pPr>
      <w:r>
        <w:rPr>
          <w:b/>
          <w:color w:val="2E7D32"/>
          <w:sz w:val="18"/>
        </w:rPr>
        <w:t>Terjemahan — Bahasa Indonesia</w:t>
      </w:r>
    </w:p>
    <w:p>
      <w:r>
        <w:rPr>
          <w:sz w:val="17"/>
        </w:rPr>
        <w:t>Cahaya-cahaya Syeikh Al-Basyir. Forum Cahaya Al-Qadiriyah dan Ruh-Ruh Ar-Rahmaniyah.</w:t>
      </w:r>
    </w:p>
    <w:p>
      <w:pPr>
        <w:spacing w:before="120"/>
      </w:pPr>
      <w:r>
        <w:rPr>
          <w:b/>
          <w:color w:val="4E342E"/>
          <w:sz w:val="18"/>
        </w:rPr>
        <w:t>Syarah dan Penjelasan</w:t>
      </w:r>
    </w:p>
    <w:p>
      <w:r>
        <w:rPr>
          <w:sz w:val="17"/>
        </w:rPr>
        <w:t>_Syarah sesuai nash kitab._</w:t>
      </w:r>
    </w:p>
    <w:p>
      <w:pPr>
        <w:spacing w:before="120"/>
      </w:pPr>
      <w:r>
        <w:rPr>
          <w:b/>
          <w:color w:val="BF360C"/>
          <w:sz w:val="18"/>
        </w:rPr>
        <w:t>Khususiyah dan Tatacara Praktik</w:t>
      </w:r>
    </w:p>
    <w:p>
      <w:r>
        <w:rPr>
          <w:sz w:val="17"/>
        </w:rPr>
        <w:t>_Khususiyah sesuai nash — lihat Syarah._</w:t>
      </w:r>
    </w:p>
    <w:p>
      <w:pPr>
        <w:pStyle w:val="Heading1"/>
        <w:jc w:val="center"/>
      </w:pPr>
      <w:r>
        <w:rPr>
          <w:b/>
          <w:color w:val="C62828"/>
          <w:sz w:val="22"/>
        </w:rPr>
        <w:t>HALAMAN 02 — IHDA' — إِهْدَاءُ الشَّيْخِ الْبَشِيرِ</w:t>
      </w:r>
    </w:p>
    <w:p>
      <w:pPr>
        <w:spacing w:before="120"/>
      </w:pPr>
      <w:r>
        <w:rPr>
          <w:b/>
          <w:color w:val="1B5E20"/>
          <w:sz w:val="18"/>
        </w:rPr>
        <w:t>arab — Arab Berharokat Full</w:t>
      </w:r>
    </w:p>
    <w:p>
      <w:pPr>
        <w:jc w:val="right"/>
      </w:pPr>
      <w:r>
        <w:rPr>
          <w:sz w:val="20"/>
        </w:rPr>
        <w:t>إِهْدَاءُ الشَّيْخِ الْبَشِيرِ</w:t>
      </w:r>
    </w:p>
    <w:p>
      <w:pPr>
        <w:jc w:val="right"/>
      </w:pPr>
      <w:r>
        <w:rPr>
          <w:sz w:val="20"/>
        </w:rPr>
        <w:t>أُهْدِي هَذَا الْعَمَلَ إِلَى سَيِّدِي رَسُولِ اللهِ صَلَّى اللهُ عَلَيْهِ وَسَلَّمَ</w:t>
      </w:r>
    </w:p>
    <w:p>
      <w:pPr>
        <w:jc w:val="right"/>
      </w:pPr>
      <w:r>
        <w:rPr>
          <w:sz w:val="20"/>
        </w:rPr>
        <w:t>وَإِلَى آلِ بَيْتِهِ الطَّيِّبِينَ الْأَخْيَارِ</w:t>
      </w:r>
    </w:p>
    <w:p>
      <w:pPr>
        <w:jc w:val="right"/>
      </w:pPr>
      <w:r>
        <w:rPr>
          <w:sz w:val="20"/>
        </w:rPr>
        <w:t>وَلِلشَّيْخِ الْفَقِيرِ الْقَادِرِيِّ</w:t>
      </w:r>
    </w:p>
    <w:p>
      <w:pPr>
        <w:jc w:val="right"/>
      </w:pPr>
      <w:r>
        <w:rPr>
          <w:sz w:val="20"/>
        </w:rPr>
        <w:t>وَلِلدُّكْتُورِ بِيهُونِي</w:t>
      </w:r>
    </w:p>
    <w:p>
      <w:pPr>
        <w:jc w:val="right"/>
      </w:pPr>
      <w:r>
        <w:rPr>
          <w:sz w:val="20"/>
        </w:rPr>
        <w:t>وَإِلَى جَمِيعِ الْفُقَرَاءِ</w:t>
      </w:r>
    </w:p>
    <w:p>
      <w:pPr>
        <w:spacing w:before="120"/>
      </w:pPr>
      <w:r>
        <w:rPr>
          <w:b/>
          <w:color w:val="1A237E"/>
          <w:sz w:val="18"/>
        </w:rPr>
        <w:t>latin — Latin Washal Bunyi</w:t>
      </w:r>
    </w:p>
    <w:p>
      <w:r>
        <w:rPr>
          <w:sz w:val="17"/>
        </w:rPr>
        <w:t>Ihdā'ush-Syaikhil-Basyīr, uhdī hādzal-'amala ilā Sayyidī Rasūlillāhi ṣallallāhu 'alaihi wa sallam, wa ilā Āli baitihith-Ṭayyibīnal-Akhyār, wa lish-Syaikhil-Faqīril-Qādiriyy, wa lid-Duktūri Bīhūnī, wa ilā jamī'il-Fuqarā'.</w:t>
      </w:r>
    </w:p>
    <w:p>
      <w:pPr>
        <w:spacing w:before="120"/>
      </w:pPr>
      <w:r>
        <w:rPr>
          <w:b/>
          <w:color w:val="2E7D32"/>
          <w:sz w:val="18"/>
        </w:rPr>
        <w:t>Terjemahan — Bahasa Indonesia</w:t>
      </w:r>
    </w:p>
    <w:p>
      <w:r>
        <w:rPr>
          <w:sz w:val="17"/>
        </w:rPr>
        <w:t>Persembahan Syeikh Al-Basyir. Aku hadiahkan karya ini kepada junjunganku Rasulullah shallallahu 'alaihi wa sallam, kepada keluarga beliau yang baik dan terpilih, kepada Syeikh Al-Faqir Al-Qadiri, kepada Dr. Baihuni, dan kepada seluruh fuqara.</w:t>
      </w:r>
    </w:p>
    <w:p>
      <w:pPr>
        <w:spacing w:before="120"/>
      </w:pPr>
      <w:r>
        <w:rPr>
          <w:b/>
          <w:color w:val="4E342E"/>
          <w:sz w:val="18"/>
        </w:rPr>
        <w:t>Syarah dan Penjelasan</w:t>
      </w:r>
    </w:p>
    <w:p>
      <w:pPr>
        <w:jc w:val="right"/>
      </w:pPr>
      <w:r>
        <w:rPr>
          <w:sz w:val="20"/>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spacing w:before="120"/>
      </w:pPr>
      <w:r>
        <w:rPr>
          <w:b/>
          <w:color w:val="BF360C"/>
          <w:sz w:val="18"/>
        </w:rPr>
        <w:t>Khususiyah dan Tatacara Praktik</w:t>
      </w:r>
    </w:p>
    <w:p>
      <w:r>
        <w:rPr>
          <w:sz w:val="17"/>
        </w:rPr>
        <w:t>Halaman ihda' tidak ada ritual khusus — fungsinya niyyah &amp; sanad. Adab: baca ihda' dengan khushu', hadiahkan Fatihah setelahnya (seperti ijazah hal 03: shalawat + Fatihah untuk Nabi, guru, diri). Tidak perlu menulis/membakar halaman ini.</w:t>
      </w:r>
    </w:p>
    <w:p>
      <w:pPr>
        <w:pStyle w:val="Heading1"/>
        <w:jc w:val="center"/>
      </w:pPr>
      <w:r>
        <w:rPr>
          <w:b/>
          <w:color w:val="1B5E20"/>
          <w:sz w:val="22"/>
        </w:rPr>
        <w:t>HALAMAN 03 — IJAZAH 'AMMAH — إِجَازَةُ الشَّيْخِ الْبَشِيرِ</w:t>
      </w:r>
    </w:p>
    <w:p>
      <w:pPr>
        <w:spacing w:before="120"/>
      </w:pPr>
      <w:r>
        <w:rPr>
          <w:b/>
          <w:color w:val="1B5E20"/>
          <w:sz w:val="18"/>
        </w:rPr>
        <w:t>arab — Arab Berharokat Full</w:t>
      </w:r>
    </w:p>
    <w:p>
      <w:pPr>
        <w:jc w:val="right"/>
      </w:pPr>
      <w:r>
        <w:rPr>
          <w:sz w:val="20"/>
        </w:rPr>
        <w:t>إِجَازَةُ الشَّيْخِ الْبَشِيرِ</w:t>
      </w:r>
    </w:p>
    <w:p>
      <w:pPr>
        <w:jc w:val="right"/>
      </w:pPr>
      <w:r>
        <w:rPr>
          <w:sz w:val="20"/>
        </w:rPr>
        <w:t>لَقَدْ أَجَزْتُ كُلَّ مَنْ وَصَلَتْ إِلَيْهِ فَوَائِدِي وَرِيَاضَاتِي إِجَازَةً عَامَّةً</w:t>
      </w:r>
    </w:p>
    <w:p>
      <w:pPr>
        <w:jc w:val="right"/>
      </w:pPr>
      <w:r>
        <w:rPr>
          <w:sz w:val="20"/>
        </w:rPr>
        <w:t>فِيمَا يُرْضِي اللهَ وَرَسُولَهُ وَيَقُومُ بِهَا بَعْدَ</w:t>
      </w:r>
    </w:p>
    <w:p>
      <w:pPr>
        <w:jc w:val="right"/>
      </w:pPr>
      <w:r>
        <w:rPr>
          <w:sz w:val="20"/>
        </w:rPr>
        <w:t>الصَّلَاةِ عَلَى الْحَبِيبِ الْمُصْطَفَى وَقِرَاءَةِ الْفَاتِحَةِ وَإِهْدَاءِ ثَوَابِهَا</w:t>
      </w:r>
    </w:p>
    <w:p>
      <w:pPr>
        <w:jc w:val="right"/>
      </w:pPr>
      <w:r>
        <w:rPr>
          <w:sz w:val="20"/>
        </w:rPr>
        <w:t>لِرُوحِ الْحَبِيبِ مُحَمَّدٍ صَلَّى اللهُ عَلَيْهِ وَسَلَّمَ وَإِلَى رُوحِ</w:t>
      </w:r>
    </w:p>
    <w:p>
      <w:pPr>
        <w:jc w:val="right"/>
      </w:pPr>
      <w:r>
        <w:rPr>
          <w:sz w:val="20"/>
        </w:rPr>
        <w:t>شَيْخِي رَحِمَهُ اللهُ عَلَيْهِ وَلِفَاتِحَةٍ لِي</w:t>
      </w:r>
    </w:p>
    <w:p>
      <w:pPr>
        <w:jc w:val="right"/>
      </w:pPr>
      <w:r>
        <w:rPr>
          <w:sz w:val="20"/>
        </w:rPr>
        <w:t>وَإِلَى الشَّيْخِ الْفَقِيرِ الْقَادِرِيِّ أَطَالَ اللهُ لَنَا فِي عُمُرِهِ</w:t>
      </w:r>
    </w:p>
    <w:p>
      <w:pPr>
        <w:jc w:val="right"/>
      </w:pPr>
      <w:r>
        <w:rPr>
          <w:sz w:val="20"/>
        </w:rPr>
        <w:t>وَبِذَلِكَ تَكُونُ قَدْ وَصَلَتْهُ الْإِجَازَةُ الْعَامَّةُ</w:t>
      </w:r>
    </w:p>
    <w:p>
      <w:pPr>
        <w:spacing w:before="120"/>
      </w:pPr>
      <w:r>
        <w:rPr>
          <w:b/>
          <w:color w:val="1A237E"/>
          <w:sz w:val="18"/>
        </w:rPr>
        <w:t>latin — Latin Washal Bunyi</w:t>
      </w:r>
    </w:p>
    <w:p>
      <w:r>
        <w:rPr>
          <w:sz w:val="17"/>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spacing w:before="120"/>
      </w:pPr>
      <w:r>
        <w:rPr>
          <w:b/>
          <w:color w:val="2E7D32"/>
          <w:sz w:val="18"/>
        </w:rPr>
        <w:t>Terjemahan — Bahasa Indonesia</w:t>
      </w:r>
    </w:p>
    <w:p>
      <w:r>
        <w:rPr>
          <w:sz w:val="17"/>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r>
    </w:p>
    <w:p>
      <w:pPr>
        <w:spacing w:before="120"/>
      </w:pPr>
      <w:r>
        <w:rPr>
          <w:b/>
          <w:color w:val="4E342E"/>
          <w:sz w:val="18"/>
        </w:rPr>
        <w:t>Syarah dan Penjelasan</w:t>
      </w:r>
    </w:p>
    <w:p>
      <w:r>
        <w:rPr>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spacing w:before="120"/>
      </w:pPr>
      <w:r>
        <w:rPr>
          <w:b/>
          <w:color w:val="BF360C"/>
          <w:sz w:val="18"/>
        </w:rPr>
        <w:t>Khususiyah dan Tatacara Praktik</w:t>
      </w:r>
    </w:p>
    <w:p>
      <w:r>
        <w:rPr>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pPr>
        <w:pStyle w:val="Heading1"/>
        <w:jc w:val="center"/>
      </w:pPr>
      <w:r>
        <w:rPr>
          <w:b/>
          <w:color w:val="C62828"/>
          <w:sz w:val="22"/>
        </w:rPr>
        <w:t>HALAMAN 04 — SAMPUL DALAM — فَوَائِدُ وَمُجَرَّبَاتُ الشَّيْخِ الْبَشِيرِ</w:t>
      </w:r>
    </w:p>
    <w:p>
      <w:pPr>
        <w:spacing w:before="120"/>
      </w:pPr>
      <w:r>
        <w:rPr>
          <w:b/>
          <w:color w:val="1B5E20"/>
          <w:sz w:val="18"/>
        </w:rPr>
        <w:t>arab — Arab Berharokat Full</w:t>
      </w:r>
    </w:p>
    <w:p>
      <w:pPr>
        <w:jc w:val="right"/>
      </w:pPr>
      <w:r>
        <w:rPr>
          <w:sz w:val="20"/>
        </w:rPr>
        <w:t>فَوَائِدُ وَمُجَرَّبَاتُ الشَّيْخِ الْبَشِيرِ</w:t>
      </w:r>
    </w:p>
    <w:p>
      <w:pPr>
        <w:spacing w:before="120"/>
      </w:pPr>
      <w:r>
        <w:rPr>
          <w:b/>
          <w:color w:val="1A237E"/>
          <w:sz w:val="18"/>
        </w:rPr>
        <w:t>latin — Latin Washal Bunyi</w:t>
      </w:r>
    </w:p>
    <w:p>
      <w:r>
        <w:rPr>
          <w:sz w:val="17"/>
        </w:rPr>
        <w:t>Fawā'idu wa Mujarrabātush-Syaikhil-Basyīr</w:t>
      </w:r>
    </w:p>
    <w:p>
      <w:pPr>
        <w:spacing w:before="120"/>
      </w:pPr>
      <w:r>
        <w:rPr>
          <w:b/>
          <w:color w:val="2E7D32"/>
          <w:sz w:val="18"/>
        </w:rPr>
        <w:t>Terjemahan — Bahasa Indonesia</w:t>
      </w:r>
    </w:p>
    <w:p>
      <w:r>
        <w:rPr>
          <w:sz w:val="17"/>
        </w:rPr>
        <w:t>Faedah-faedah dan mujarrabat-mujarrabat Syeikh Al-Basyir.</w:t>
      </w:r>
    </w:p>
    <w:p>
      <w:pPr>
        <w:spacing w:before="120"/>
      </w:pPr>
      <w:r>
        <w:rPr>
          <w:b/>
          <w:color w:val="4E342E"/>
          <w:sz w:val="18"/>
        </w:rPr>
        <w:t>Syarah dan Penjelasan</w:t>
      </w:r>
    </w:p>
    <w:p>
      <w:r>
        <w:rPr>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spacing w:before="120"/>
      </w:pPr>
      <w:r>
        <w:rPr>
          <w:b/>
          <w:color w:val="BF360C"/>
          <w:sz w:val="18"/>
        </w:rPr>
        <w:t>Khususiyah dan Tatacara Praktik</w:t>
      </w:r>
    </w:p>
    <w:p>
      <w:r>
        <w:rPr>
          <w:sz w:val="17"/>
        </w:rPr>
        <w:t>Sama seperti sampul — tidak ada ritual. Hanya penanda niat: membaca judul dalam ini dengan berharap faidah &amp; mujarrabat yang sahih.</w:t>
      </w:r>
    </w:p>
    <w:p>
      <w:pPr>
        <w:pStyle w:val="Heading1"/>
        <w:jc w:val="center"/>
      </w:pPr>
      <w:r>
        <w:rPr>
          <w:b/>
          <w:color w:val="1B5E20"/>
          <w:sz w:val="22"/>
        </w:rPr>
        <w:t>HALAMAN 05 — FIHRIS — فِهْرِسُ مُجَرَّبَاتِ الشَّيْخِ الْبَشِيرِ</w:t>
      </w:r>
    </w:p>
    <w:p>
      <w:pPr>
        <w:spacing w:before="120"/>
      </w:pPr>
      <w:r>
        <w:rPr>
          <w:b/>
          <w:color w:val="1B5E20"/>
          <w:sz w:val="18"/>
        </w:rPr>
        <w:t>arab — Arab Berharokat Full</w:t>
      </w:r>
    </w:p>
    <w:p>
      <w:pPr>
        <w:jc w:val="right"/>
      </w:pPr>
      <w:r>
        <w:rPr>
          <w:sz w:val="20"/>
        </w:rPr>
        <w:t>فِهْرِسُ مُجَرَّبَاتِ الشَّيْخِ الْبَشِيرِ</w:t>
      </w:r>
    </w:p>
    <w:p>
      <w:pPr>
        <w:jc w:val="right"/>
      </w:pPr>
      <w:r>
        <w:rPr>
          <w:sz w:val="20"/>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spacing w:before="120"/>
      </w:pPr>
      <w:r>
        <w:rPr>
          <w:b/>
          <w:color w:val="1A237E"/>
          <w:sz w:val="18"/>
        </w:rPr>
        <w:t>latin — Latin Washal Bunyi</w:t>
      </w:r>
    </w:p>
    <w:p>
      <w:r>
        <w:rPr>
          <w:sz w:val="17"/>
        </w:rPr>
        <w:t>fawā'idu → fawā'idum-muhriqatun ṭāridatun lil-Jinni wal-Maradati bi'iznillāh).</w:t>
      </w:r>
    </w:p>
    <w:p>
      <w:pPr>
        <w:spacing w:before="120"/>
      </w:pPr>
      <w:r>
        <w:rPr>
          <w:b/>
          <w:color w:val="2E7D32"/>
          <w:sz w:val="18"/>
        </w:rPr>
        <w:t>Terjemahan — Bahasa Indonesia</w:t>
      </w:r>
    </w:p>
    <w:p>
      <w:r>
        <w:rPr>
          <w:sz w:val="17"/>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r>
    </w:p>
    <w:p>
      <w:pPr>
        <w:spacing w:before="120"/>
      </w:pPr>
      <w:r>
        <w:rPr>
          <w:b/>
          <w:color w:val="4E342E"/>
          <w:sz w:val="18"/>
        </w:rPr>
        <w:t>Syarah dan Penjelasan</w:t>
      </w:r>
    </w:p>
    <w:p>
      <w:r>
        <w:rPr>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spacing w:before="120"/>
      </w:pPr>
      <w:r>
        <w:rPr>
          <w:b/>
          <w:color w:val="BF360C"/>
          <w:sz w:val="18"/>
        </w:rPr>
        <w:t>Khususiyah dan Tatacara Praktik</w:t>
      </w:r>
    </w:p>
    <w:p>
      <w:r>
        <w:rPr>
          <w:sz w:val="17"/>
        </w:rPr>
        <w:t>Fihris tidak ada amalan — hanya penunjuk. Adab: baca fihris untuk memilih hajat, jangan amalkan semua sekaligus. Prioritaskan faedah yang sesuai hajat &amp; telah dapat ijazah hal 03.</w:t>
      </w:r>
    </w:p>
    <w:p>
      <w:pPr>
        <w:pStyle w:val="Heading1"/>
        <w:jc w:val="center"/>
      </w:pPr>
      <w:r>
        <w:rPr>
          <w:b/>
          <w:color w:val="C62828"/>
          <w:sz w:val="22"/>
        </w:rPr>
        <w:t>HALAMAN 06 — FAEDAH 01 (1/3) — طَرِيقَةُ الْمَيْسَرَةِ فِي جَلْبِ الْأَرْزَاقِ</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إِخْوَتِي فِي اللهِ</w:t>
      </w:r>
    </w:p>
    <w:p>
      <w:pPr>
        <w:jc w:val="right"/>
      </w:pPr>
      <w:r>
        <w:rPr>
          <w:sz w:val="20"/>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pPr>
      <w:r>
        <w:rPr>
          <w:sz w:val="20"/>
        </w:rPr>
        <w:t>وَنَضَعُ فِي ذَلِكَ مِثَالًا بِاسْمِ مُرَادٍ وَأُمِّهِ مَرْيَمَ،</w:t>
      </w:r>
    </w:p>
    <w:p>
      <w:pPr>
        <w:jc w:val="right"/>
      </w:pPr>
      <w:r>
        <w:rPr>
          <w:sz w:val="20"/>
        </w:rPr>
        <w:t>م ر ا د م ر ي م = 535 نَلْفِظُ الْعَدَدَ حَرْفِيًّا،</w:t>
      </w:r>
    </w:p>
    <w:p>
      <w:pPr>
        <w:jc w:val="right"/>
      </w:pPr>
      <w:r>
        <w:rPr>
          <w:sz w:val="20"/>
        </w:rPr>
        <w:t>535 ، خَمْسُ مِائَةٍ وَثَلَاثُونَ وَخَمْسُ مِائَةٍ ، ثُمَّ نُزِيلُ التَّكْرَارَ مِنَ الْحُرُوفِ هَكَذَا،</w:t>
      </w:r>
    </w:p>
    <w:p>
      <w:pPr>
        <w:jc w:val="right"/>
      </w:pPr>
      <w:r>
        <w:rPr>
          <w:sz w:val="20"/>
        </w:rPr>
        <w:t>خ م س و ث ل ن ا هـ = 9 أَحْرُفٍ ، وَكَذَلِكَ نَفْعَلُ بِاسْمِ الطَّالِبِ نُزِيلُ مِنْهُ الْمُكَرَّرَ وَحُرُوفَ الْمَدِّ هَكَذَا،</w:t>
      </w:r>
    </w:p>
    <w:p>
      <w:pPr>
        <w:jc w:val="right"/>
      </w:pPr>
      <w:r>
        <w:rPr>
          <w:sz w:val="20"/>
        </w:rPr>
        <w:t>م ر ا د م ر ي م ، تَصِيرُ كَالتَّالِي ، م ر د ي = 4 حُرُوفٍ ، ثُمَّ نَطْرَحُ الْأَقَلَّ مِنَ الْأَكْثَرِ،</w:t>
      </w:r>
    </w:p>
    <w:p>
      <w:pPr>
        <w:jc w:val="right"/>
      </w:pPr>
      <w:r>
        <w:rPr>
          <w:sz w:val="20"/>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pPr>
      <w:r>
        <w:rPr>
          <w:sz w:val="20"/>
        </w:rPr>
        <w:t>خ م س و ث ل ن ا هـ م ر د ي = 12 حَرْفًا نَطْرَحُهَا مِنْ عَدَدِ بُيُوتِ الْمُخَمَّسِ، 25 - 12 = 13،</w:t>
      </w:r>
    </w:p>
    <w:p>
      <w:pPr>
        <w:jc w:val="right"/>
      </w:pPr>
      <w:r>
        <w:rPr>
          <w:sz w:val="20"/>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pPr>
      <w:r>
        <w:rPr>
          <w:sz w:val="20"/>
        </w:rPr>
        <w:t>أَقَلَّ مِنْ 13 ، و ا هـ د ي</w:t>
      </w:r>
    </w:p>
    <w:p>
      <w:pPr>
        <w:jc w:val="right"/>
      </w:pPr>
      <w:r>
        <w:rPr>
          <w:sz w:val="20"/>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pPr>
      <w:r>
        <w:rPr>
          <w:sz w:val="20"/>
        </w:rPr>
        <w:t>س م س ن ل ن ر</w:t>
        <w:br/>
        <w:t>ر س ن م ل س ن</w:t>
        <w:br/>
        <w:t>ن ر س س ن ل م</w:t>
      </w:r>
    </w:p>
    <w:p>
      <w:pPr>
        <w:spacing w:before="120"/>
      </w:pPr>
      <w:r>
        <w:rPr>
          <w:b/>
          <w:color w:val="1A237E"/>
          <w:sz w:val="18"/>
        </w:rPr>
        <w:t>latin — Latin Washal Bunyi</w:t>
      </w:r>
    </w:p>
    <w:p>
      <w:r>
        <w:rPr>
          <w:sz w:val="17"/>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spacing w:before="120"/>
      </w:pPr>
      <w:r>
        <w:rPr>
          <w:b/>
          <w:color w:val="2E7D32"/>
          <w:sz w:val="18"/>
        </w:rPr>
        <w:t>Terjemahan — Bahasa Indonesia</w:t>
      </w:r>
    </w:p>
    <w:p>
      <w:pPr>
        <w:jc w:val="right"/>
      </w:pPr>
      <w:r>
        <w:rPr>
          <w:sz w:val="20"/>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r>
    </w:p>
    <w:p>
      <w:pPr>
        <w:spacing w:before="120"/>
      </w:pPr>
      <w:r>
        <w:rPr>
          <w:b/>
          <w:color w:val="4E342E"/>
          <w:sz w:val="18"/>
        </w:rPr>
        <w:t>Syarah dan Penjelasan</w:t>
      </w:r>
    </w:p>
    <w:p>
      <w:pPr>
        <w:jc w:val="right"/>
      </w:pPr>
      <w:r>
        <w:rPr>
          <w:sz w:val="20"/>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spacing w:before="120"/>
      </w:pPr>
      <w:r>
        <w:rPr>
          <w:b/>
          <w:color w:val="BF360C"/>
          <w:sz w:val="18"/>
        </w:rPr>
        <w:t>Khususiyah dan Tatacara Praktik</w:t>
      </w:r>
    </w:p>
    <w:p>
      <w:r>
        <w:rPr>
          <w:sz w:val="17"/>
        </w:rPr>
        <w:t>Khasiat: melariskan dagang &amp; menarik rizki halal. Belum ada tatacara di hal 06 — baru hisab. Persiapan: siapkan nama penanya (tholib) + nama ibu, hitung seperti contoh, siapkan kertas putih &amp; tinta misk (akan dirinci hal 07).</w:t>
      </w:r>
    </w:p>
    <w:p>
      <w:pPr>
        <w:pStyle w:val="Heading1"/>
        <w:jc w:val="center"/>
      </w:pPr>
      <w:r>
        <w:rPr>
          <w:b/>
          <w:color w:val="1B5E20"/>
          <w:sz w:val="22"/>
        </w:rPr>
        <w:t>HALAMAN 07 — FAEDAH 01 (2/3) — LANJUTAN MAYSARAH</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ثُمَّ نَلْقُطُ مِنَ السَّطْرِ الثَّانِي اسْمَ الرُّوحَانِيِّ مُبْتَدِئِينَ مِنَ الْحَرْفِ الثَّانِي وَنَسِيرُ بِالتَّثْلِيثِ هَكَذَا،</w:t>
      </w:r>
    </w:p>
    <w:p>
      <w:pPr>
        <w:jc w:val="right"/>
      </w:pPr>
      <w:r>
        <w:rPr>
          <w:sz w:val="20"/>
        </w:rPr>
        <w:t>[ س م س ] وَعَلَيْهِ يَكُونُ الرُّوحَانِيُّ هُوَ [ سَمْسَائِيلُ ] ثُمَّ نَلْقُطُ مِنَ السَّطْرِ الثَّالِثِ كَذَلِكَ بِالتَّثْلِيثِ</w:t>
      </w:r>
    </w:p>
    <w:p>
      <w:pPr>
        <w:jc w:val="right"/>
      </w:pPr>
      <w:r>
        <w:rPr>
          <w:sz w:val="20"/>
        </w:rPr>
        <w:t>مُبْتَدِئِينَ مِنَ الْحَرْفِ الْأَوَّلِ لِاسْتِخْرَاجِ الرُّوحَانِيِّ الْحَاكِمِ فَتَكُونُ حُرُوفُهُ هِيَ [ ن س ل م ] وَعَلَيْهِ</w:t>
      </w:r>
    </w:p>
    <w:p>
      <w:pPr>
        <w:jc w:val="right"/>
      </w:pPr>
      <w:r>
        <w:rPr>
          <w:sz w:val="20"/>
        </w:rPr>
        <w:t>يَكُونُ الرُّوحَانِيُّ بَعْدَ تَرْتِيبِ حُرُوفِهِ هُوَ [ نَسْمَائِيلُ ] ثُمَّ نَأْخُذُ حُرُوفَ الْعَمَلِ وَالرُّوحَانِيِّ الْحَاكِمِ</w:t>
      </w:r>
    </w:p>
    <w:p>
      <w:pPr>
        <w:jc w:val="right"/>
      </w:pPr>
      <w:r>
        <w:rPr>
          <w:sz w:val="20"/>
        </w:rPr>
        <w:t>مَبْسُوطَةً بِدُونِ تِكْرَارٍ وَبِدُونِ حُرُوفٍ ظُلْمَانِيَّةٍ وَنَسْتَخْرِجُ مِنْهَا مَا تَرَكَّبَ فِيهَا مِنْ أَسْمَاءِ اللهِ</w:t>
      </w:r>
    </w:p>
    <w:p>
      <w:pPr>
        <w:jc w:val="right"/>
      </w:pPr>
      <w:r>
        <w:rPr>
          <w:sz w:val="20"/>
        </w:rPr>
        <w:t>الْحُسْنَى النُّورَانِيَّةِ هَكَذَا، [ ن ل م س ي هـ و ] وَعَلَيْهِ تَكُونُ الْأَسْمَاءُ الْمُسْتَخْرَجَةُ هِيَ [ لَا إِلَهَ إِلَّا</w:t>
      </w:r>
    </w:p>
    <w:p>
      <w:pPr>
        <w:jc w:val="right"/>
      </w:pPr>
      <w:r>
        <w:rPr>
          <w:sz w:val="20"/>
        </w:rPr>
        <w:t>اللهُ الْمُهَيْمِنُ ] وَهِيَ الَّتِي تُتْلَى عَلَى الْعَمَلِ،</w:t>
      </w:r>
    </w:p>
    <w:p>
      <w:pPr>
        <w:jc w:val="right"/>
      </w:pPr>
      <w:r>
        <w:rPr>
          <w:sz w:val="20"/>
        </w:rPr>
        <w:t>أَمَّا طَرِيقَةُ الْعَمَلِ، نَأْخُذُ الْحُرُوفَ الْخَمْسَةَ الَّتِي لِلْعَمَلِ وَنَقْسِمُهَا عَلَى 7 لِاسْتِخْرَاجِ سَاعَةِ الْعَمَلِ</w:t>
      </w:r>
    </w:p>
    <w:p>
      <w:pPr>
        <w:jc w:val="right"/>
      </w:pPr>
      <w:r>
        <w:rPr>
          <w:sz w:val="20"/>
        </w:rPr>
        <w:t>هَكَذَا،</w:t>
      </w:r>
    </w:p>
    <w:p>
      <w:pPr>
        <w:jc w:val="right"/>
      </w:pPr>
      <w:r>
        <w:rPr>
          <w:sz w:val="20"/>
        </w:rPr>
        <w:t>و ا هـ د ي = 27 مَقْسُومَةً عَلَى 7 الْخَارِجُ 3 وَالْبَاقِي 6 إِذَنْ سَاعَةُ الْعَمَلِ هِيَ الزُّهَرَةُ، وَعَلَيْهِ</w:t>
      </w:r>
    </w:p>
    <w:p>
      <w:pPr>
        <w:jc w:val="right"/>
      </w:pPr>
      <w:r>
        <w:rPr>
          <w:sz w:val="20"/>
        </w:rPr>
        <w:t>تَكُونُ الْكِتَابَةُ وَالتِّلَاوَةُ سَاعَةَ الزُّهَرَةِ فِي أَيِّ يَوْمٍ شِئْنَا،</w:t>
      </w:r>
    </w:p>
    <w:p>
      <w:pPr>
        <w:jc w:val="right"/>
      </w:pPr>
      <w:r>
        <w:rPr>
          <w:sz w:val="20"/>
        </w:rPr>
        <w:t>فَنَأْخُذُ حُرُوفَ الْعَمَلِ مُرَتَّبَةً وَنَنْزِلُ بِهَا فِي وَفْقٍ مُخَمَّسٍ وَنُحَوِّطُهُ بِالْآيَةِ [ قَوْلُهُ الْحَقُّ وَلَهُ الْمُلْكُ</w:t>
      </w:r>
    </w:p>
    <w:p>
      <w:pPr>
        <w:jc w:val="right"/>
      </w:pPr>
      <w:r>
        <w:rPr>
          <w:sz w:val="20"/>
        </w:rPr>
        <w:t>] وَنَكْتُبُ عَلَى الْأَرْكَانِ الْأَرْبَعَةِ اسْمَ الرُّوحَانِيِّ [ سَمْسَائِيلَ ] وَنَدُورُ عَلَيْهِ الْآيَتَيْنِ الْكَرِيمَتَيْنِ، اللهُ</w:t>
      </w:r>
    </w:p>
    <w:p>
      <w:pPr>
        <w:jc w:val="right"/>
      </w:pPr>
      <w:r>
        <w:rPr>
          <w:sz w:val="20"/>
        </w:rPr>
        <w:t>لَطِيفٌ بِعِبَادِهِ يَرْزُقُ مَنْ يَشَاءُ وَهُوَ الْقَوِيُّ الْعَزِيزُ ، وَالْآيَةَ ، الَّذِينَ يَتْلُونَ كِتَابَ اللهِ ... إِلَى لَنْ</w:t>
      </w:r>
    </w:p>
    <w:p>
      <w:pPr>
        <w:jc w:val="right"/>
      </w:pPr>
      <w:r>
        <w:rPr>
          <w:sz w:val="20"/>
        </w:rPr>
        <w:t>تَبُورَ .</w:t>
      </w:r>
    </w:p>
    <w:p>
      <w:pPr>
        <w:jc w:val="right"/>
      </w:pPr>
      <w:r>
        <w:rPr>
          <w:sz w:val="20"/>
        </w:rPr>
        <w:t>وَفِي نَفْسِ الْوَرَقَةِ مِنْ وَرَاءِ وَفْقِ الْمُخَمَّسِ تَرْسُمُ وَفْقًا بِقَدْرِ حُرُوفِ الرُّوحَانِيِّ الْحَاكِمِ وَتَنْزِلُ وَنَنْزِلُ بِهِ</w:t>
      </w:r>
    </w:p>
    <w:p>
      <w:pPr>
        <w:jc w:val="right"/>
      </w:pPr>
      <w:r>
        <w:rPr>
          <w:sz w:val="20"/>
        </w:rPr>
        <w:t>كَمَا فَعَلْنَا بِحُرُوفِ الْعَمَلِ فَيَكُونُ وَفْقًا مُرَبَّعًا وَتُحَوِّطُهُ بِاسْمِهِ، وَالْكِتَابَةُ تَكُونُ</w:t>
      </w:r>
    </w:p>
    <w:p>
      <w:pPr>
        <w:jc w:val="right"/>
      </w:pPr>
      <w:r>
        <w:rPr>
          <w:sz w:val="20"/>
        </w:rPr>
        <w:t>بِمَاءِ وَرْدٍ وَزَعْفَرَانَ وَمِسْكٍ مَعَ بَخُورٍ طَيِّبٍ</w:t>
      </w:r>
    </w:p>
    <w:p>
      <w:pPr>
        <w:jc w:val="right"/>
      </w:pPr>
      <w:r>
        <w:rPr>
          <w:sz w:val="20"/>
        </w:rPr>
        <w:t>كَاللُّبَانِ وَعُودِ الصَّلِيبِ</w:t>
      </w:r>
    </w:p>
    <w:p>
      <w:pPr>
        <w:spacing w:before="120"/>
      </w:pPr>
      <w:r>
        <w:rPr>
          <w:b/>
          <w:color w:val="1A237E"/>
          <w:sz w:val="18"/>
        </w:rPr>
        <w:t>latin — Latin Washal Bunyi</w:t>
      </w:r>
    </w:p>
    <w:p>
      <w:r>
        <w:rPr>
          <w:sz w:val="17"/>
        </w:rPr>
        <w:t>Tsumma nalquthu minas-sathrits-tsānismarrūḥāniyyi mubtadi'īna minal-ḥarfits-tsānī wa nasīru bit-tathlīthi hākadzā: [sīn mīm sīn] wa 'alaihi yakūnur-rūḥāniyyu huwa Samsā'īlu... wa takūnus-sā'atu hiyaz-Zuharah...</w:t>
      </w:r>
    </w:p>
    <w:p>
      <w:pPr>
        <w:spacing w:before="120"/>
      </w:pPr>
      <w:r>
        <w:rPr>
          <w:b/>
          <w:color w:val="2E7D32"/>
          <w:sz w:val="18"/>
        </w:rPr>
        <w:t>Terjemahan — Bahasa Indonesia</w:t>
      </w:r>
    </w:p>
    <w:p>
      <w:pPr>
        <w:jc w:val="right"/>
      </w:pPr>
      <w:r>
        <w:rPr>
          <w:sz w:val="20"/>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r>
    </w:p>
    <w:p>
      <w:pPr>
        <w:spacing w:before="120"/>
      </w:pPr>
      <w:r>
        <w:rPr>
          <w:b/>
          <w:color w:val="4E342E"/>
          <w:sz w:val="18"/>
        </w:rPr>
        <w:t>Syarah dan Penjelasan</w:t>
      </w:r>
    </w:p>
    <w:p>
      <w:r>
        <w:rPr>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spacing w:before="120"/>
      </w:pPr>
      <w:r>
        <w:rPr>
          <w:b/>
          <w:color w:val="BF360C"/>
          <w:sz w:val="18"/>
        </w:rPr>
        <w:t>Khususiyah dan Tatacara Praktik</w:t>
      </w:r>
    </w:p>
    <w:p>
      <w:pPr>
        <w:jc w:val="right"/>
      </w:pPr>
      <w:r>
        <w:rPr>
          <w:sz w:val="20"/>
        </w:rPr>
        <w:t>- 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pPr>
        <w:pStyle w:val="Heading1"/>
        <w:jc w:val="center"/>
      </w:pPr>
      <w:r>
        <w:rPr>
          <w:b/>
          <w:color w:val="C62828"/>
          <w:sz w:val="22"/>
        </w:rPr>
        <w:t>HALAMAN 08 — FAEDAH 01 (3/3) — 2 WAFAQ (MUKHAMMAS 5×5 &amp; MURABBA' 4×4)</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وَهَذَا وَفْقُ الْعَمَلِ وَهَذَا الْوَفْقُ الْمُرَبَّعُ الَّذِي نَزَلْنَا فِيهِ الرُّوحَانِيَّ</w:t>
      </w:r>
    </w:p>
    <w:p>
      <w:pPr>
        <w:jc w:val="right"/>
      </w:pPr>
      <w:r>
        <w:rPr>
          <w:sz w:val="20"/>
        </w:rPr>
        <w:t>طَرِيقَةُ الْمَيْسَرَةِ فِي جَلْبِ الْأَرْزَاقِ</w:t>
        <w:br/>
        <w:t>الشَّيْخُ الْبَشِيرُ</w:t>
        <w:br/>
        <w:t>http://www.alanwaralqadria.com</w:t>
        <w:br/>
        <w:t>مُنْتَدَى الْأَنْوَارِ الْقَادِرِيَّةِ وَالْأَرْوَاحِ الرَّحْمَانِيَّةِ</w:t>
      </w:r>
    </w:p>
    <w:p>
      <w:pPr>
        <w:jc w:val="right"/>
      </w:pPr>
      <w:r>
        <w:rPr>
          <w:sz w:val="20"/>
        </w:rPr>
        <w:t>وَعَدَدُ الْعَزِيمَةِ 196 مَرَّةً مَعَ التَّوَجُّهِ إِلَى اللهِ عَزَّ وَجَلَّ بِطَلَبِكَ،</w:t>
      </w:r>
    </w:p>
    <w:p>
      <w:pPr>
        <w:jc w:val="right"/>
      </w:pPr>
      <w:r>
        <w:rPr>
          <w:sz w:val="20"/>
        </w:rPr>
        <w:t>أَسْأَلُ اللهَ عَزَّ وَجَلَّ أَنْ يَنْفَعَكُمْ بِهَذِهِ الذَّخِيرَةِ الْمُبَارَكَةِ إِنَّهُ وَلِيُّ ذَلِكَ وَالْقَادِرُ عَلَيْهِ وَالسَّلَامُ</w:t>
      </w:r>
    </w:p>
    <w:p>
      <w:pPr>
        <w:spacing w:before="120"/>
      </w:pPr>
      <w:r>
        <w:rPr>
          <w:b/>
          <w:color w:val="1A237E"/>
          <w:sz w:val="18"/>
        </w:rPr>
        <w:t>latin — Latin Washal Bunyi</w:t>
      </w:r>
    </w:p>
    <w:p>
      <w:r>
        <w:rPr>
          <w:sz w:val="17"/>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spacing w:before="120"/>
      </w:pPr>
      <w:r>
        <w:rPr>
          <w:b/>
          <w:color w:val="2E7D32"/>
          <w:sz w:val="18"/>
        </w:rPr>
        <w:t>Terjemahan — Bahasa Indonesia</w:t>
      </w:r>
    </w:p>
    <w:p>
      <w:r>
        <w:rPr>
          <w:sz w:val="17"/>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r>
    </w:p>
    <w:p>
      <w:pPr>
        <w:spacing w:before="120"/>
      </w:pPr>
      <w:r>
        <w:rPr>
          <w:b/>
          <w:color w:val="4E342E"/>
          <w:sz w:val="18"/>
        </w:rPr>
        <w:t>Syarah dan Penjelasan</w:t>
      </w:r>
    </w:p>
    <w:p>
      <w:pPr>
        <w:jc w:val="right"/>
      </w:pPr>
      <w:r>
        <w:rPr>
          <w:sz w:val="20"/>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spacing w:before="120"/>
      </w:pPr>
      <w:r>
        <w:rPr>
          <w:b/>
          <w:color w:val="BF360C"/>
          <w:sz w:val="18"/>
        </w:rPr>
        <w:t>Khususiyah dan Tatacara Praktik</w:t>
      </w:r>
    </w:p>
    <w:p>
      <w:r>
        <w:rPr>
          <w:sz w:val="17"/>
        </w:rPr>
        <w:t xml:space="preserve">- 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4572000" cy="3340024"/>
                    </a:xfrm>
                    <a:prstGeom prst="rect"/>
                  </pic:spPr>
                </pic:pic>
              </a:graphicData>
            </a:graphic>
          </wp:inline>
        </w:drawing>
      </w:r>
    </w:p>
    <w:p>
      <w:pPr>
        <w:pStyle w:val="Heading1"/>
        <w:jc w:val="center"/>
      </w:pPr>
      <w:r>
        <w:rPr>
          <w:b/>
          <w:color w:val="1B5E20"/>
          <w:sz w:val="22"/>
        </w:rPr>
        <w:t>HALAMAN 09 — FAEDAH MUHRIQAH 1/2 — فَائِدَةٌ مُحْرِقَةٌ طَارِدَةٌ لِلْجِنِّ</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اَلسَّلَامُ عَلَيْكُمْ وَرَحْمَةُ اللهِ وَبَرَكَاتُهُ</w:t>
      </w:r>
    </w:p>
    <w:p>
      <w:pPr>
        <w:jc w:val="right"/>
      </w:pPr>
      <w:r>
        <w:rPr>
          <w:sz w:val="20"/>
        </w:rPr>
        <w:t>إِخْوَتِي فِي اللهِ أَضَعُ لَكُمْ هَذِهِ الْفَائِدَةَ الْخَاصَّةَ بِإِحْرَاقِ الْجِنِّ وَطَرْدِهِ مِنْ جَسَدِ الْإِنْسَانِ بِإِذْنِ اللهِ وَهِيَ كَالتَّالِي،</w:t>
      </w:r>
    </w:p>
    <w:p>
      <w:pPr>
        <w:jc w:val="right"/>
      </w:pPr>
      <w:r>
        <w:rPr>
          <w:sz w:val="20"/>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pPr>
      <w:r>
        <w:rPr>
          <w:sz w:val="2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pPr>
      <w:r>
        <w:rPr>
          <w:sz w:val="2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pPr>
      <w:r>
        <w:rPr>
          <w:sz w:val="20"/>
        </w:rPr>
        <w:t>وَالبَخُورُ الَّذِي يُوضَعُ مَعَ كُلِّ وَرَقَةٍ هُوَ [٧ وَرَقَاتِ سِدْرٍ، ٧ حَبَّاتِ قَرَنْفُلٍ، قَلِيلٌ مِنَ الْمُصْطَكَى] وَهَذَا مِثَالٌ لِلْقِيَاسِ، فَرَدَدْنَا اسْمَ الْمَرِيضِ وَأُمِّهِ هُوَ حَسَنُ رُقَيَّةَ،</w:t>
      </w:r>
    </w:p>
    <w:p>
      <w:pPr>
        <w:spacing w:before="120"/>
      </w:pPr>
      <w:r>
        <w:rPr>
          <w:b/>
          <w:color w:val="1A237E"/>
          <w:sz w:val="18"/>
        </w:rPr>
        <w:t>latin — Latin Washal Bunyi</w:t>
      </w:r>
    </w:p>
    <w:p>
      <w:r>
        <w:rPr>
          <w:sz w:val="17"/>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spacing w:before="120"/>
      </w:pPr>
      <w:r>
        <w:rPr>
          <w:b/>
          <w:color w:val="2E7D32"/>
          <w:sz w:val="18"/>
        </w:rPr>
        <w:t>Terjemahan — Bahasa Indonesia</w:t>
      </w:r>
    </w:p>
    <w:p>
      <w:pPr>
        <w:jc w:val="right"/>
      </w:pPr>
      <w:r>
        <w:rPr>
          <w:sz w:val="20"/>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r>
    </w:p>
    <w:p>
      <w:pPr>
        <w:spacing w:before="120"/>
      </w:pPr>
      <w:r>
        <w:rPr>
          <w:b/>
          <w:color w:val="4E342E"/>
          <w:sz w:val="18"/>
        </w:rPr>
        <w:t>Syarah dan Penjelasan</w:t>
      </w:r>
    </w:p>
    <w:p>
      <w:pPr>
        <w:jc w:val="right"/>
      </w:pPr>
      <w:r>
        <w:rPr>
          <w:sz w:val="20"/>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spacing w:before="120"/>
      </w:pPr>
      <w:r>
        <w:rPr>
          <w:b/>
          <w:color w:val="BF360C"/>
          <w:sz w:val="18"/>
        </w:rPr>
        <w:t>Khususiyah dan Tatacara Praktik</w:t>
      </w:r>
    </w:p>
    <w:p>
      <w:r>
        <w:rPr>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pPr>
        <w:pStyle w:val="Heading1"/>
        <w:jc w:val="center"/>
      </w:pPr>
      <w:r>
        <w:rPr>
          <w:b/>
          <w:color w:val="C62828"/>
          <w:sz w:val="22"/>
        </w:rPr>
        <w:t>HALAMAN 10 — FAEDAH MUHRIQAH 2/2 — JADWAL &amp; QASAM — حِنْقَايِيلُ</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spacing w:before="120"/>
      </w:pPr>
      <w:r>
        <w:rPr>
          <w:b/>
          <w:color w:val="1A237E"/>
          <w:sz w:val="18"/>
        </w:rPr>
        <w:t>latin — Latin Washal Bunyi</w:t>
      </w:r>
    </w:p>
    <w:p>
      <w:r>
        <w:rPr>
          <w:sz w:val="17"/>
        </w:rPr>
        <w:t>Akhadznā hurūfar-rūhāniy minas-sathrits-tsālitsi wa hiya nūn hā' qāf 'adaduhā mi'atun wa tsamāniyatun wa khamsūna (158) nuthquhā Hinqāyīl... bismillāhir-rahmānir-rahīm aqsamtu 'alaikum ayyatuhal-arwāhur-rūhāniyyah Thaktsāyīl wa anta yā 'Awtsāyīl bihaqqil-malikil-hākimi 'alaikum Fahghāyīl...</w:t>
      </w:r>
    </w:p>
    <w:p>
      <w:pPr>
        <w:spacing w:before="120"/>
      </w:pPr>
      <w:r>
        <w:rPr>
          <w:b/>
          <w:color w:val="2E7D32"/>
          <w:sz w:val="18"/>
        </w:rPr>
        <w:t>Terjemahan — Bahasa Indonesia</w:t>
      </w:r>
    </w:p>
    <w:p>
      <w:pPr>
        <w:jc w:val="right"/>
      </w:pPr>
      <w:r>
        <w:rPr>
          <w:sz w:val="20"/>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r>
    </w:p>
    <w:p>
      <w:pPr>
        <w:spacing w:before="120"/>
      </w:pPr>
      <w:r>
        <w:rPr>
          <w:b/>
          <w:color w:val="4E342E"/>
          <w:sz w:val="18"/>
        </w:rPr>
        <w:t>Syarah dan Penjelasan</w:t>
      </w:r>
    </w:p>
    <w:p>
      <w:pPr>
        <w:jc w:val="right"/>
      </w:pPr>
      <w:r>
        <w:rPr>
          <w:sz w:val="20"/>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spacing w:before="120"/>
      </w:pPr>
      <w:r>
        <w:rPr>
          <w:b/>
          <w:color w:val="BF360C"/>
          <w:sz w:val="18"/>
        </w:rPr>
        <w:t>Khususiyah dan Tatacara Praktik</w:t>
      </w:r>
    </w:p>
    <w:p>
      <w:r>
        <w:rPr>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4572000" cy="3888828"/>
                    </a:xfrm>
                    <a:prstGeom prst="rect"/>
                  </pic:spPr>
                </pic:pic>
              </a:graphicData>
            </a:graphic>
          </wp:inline>
        </w:drawing>
      </w:r>
    </w:p>
    <w:p>
      <w:pPr>
        <w:pStyle w:val="Heading1"/>
        <w:jc w:val="center"/>
      </w:pPr>
      <w:r>
        <w:rPr>
          <w:b/>
          <w:color w:val="1B5E20"/>
          <w:sz w:val="22"/>
        </w:rPr>
        <w:t>HALAMAN 11 — FAEDAH QATHI'AH 1/2 — فَائِدَةٌ قَاطِعَةٌ لِعِلَاجِ الْمَسِّ</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sz w:val="20"/>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pPr>
      <w:r>
        <w:rPr>
          <w:sz w:val="20"/>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spacing w:before="120"/>
      </w:pPr>
      <w:r>
        <w:rPr>
          <w:b/>
          <w:color w:val="1A237E"/>
          <w:sz w:val="18"/>
        </w:rPr>
        <w:t>latin — Latin Washal Bunyi</w:t>
      </w:r>
    </w:p>
    <w:p>
      <w:r>
        <w:rPr>
          <w:sz w:val="17"/>
        </w:rPr>
        <w:t>Fā'idatun qāthi'atun li'ilājil-massi, as-salāmu 'alaikum ..., yuktabul-wafqu fish-shafhatit-tāliyah fī āniyatin nazhīfatin jadīdatin bimā'i wardin wa za'farānin wa miskin wa tudāru bihil-āyātu ...</w:t>
      </w:r>
    </w:p>
    <w:p>
      <w:pPr>
        <w:spacing w:before="120"/>
      </w:pPr>
      <w:r>
        <w:rPr>
          <w:b/>
          <w:color w:val="2E7D32"/>
          <w:sz w:val="18"/>
        </w:rPr>
        <w:t>Terjemahan — Bahasa Indonesia</w:t>
      </w:r>
    </w:p>
    <w:p>
      <w:r>
        <w:rPr>
          <w:sz w:val="17"/>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r>
    </w:p>
    <w:p>
      <w:pPr>
        <w:spacing w:before="120"/>
      </w:pPr>
      <w:r>
        <w:rPr>
          <w:b/>
          <w:color w:val="4E342E"/>
          <w:sz w:val="18"/>
        </w:rPr>
        <w:t>Syarah dan Penjelasan</w:t>
      </w:r>
    </w:p>
    <w:p>
      <w:r>
        <w:rPr>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spacing w:before="120"/>
      </w:pPr>
      <w:r>
        <w:rPr>
          <w:b/>
          <w:color w:val="BF360C"/>
          <w:sz w:val="18"/>
        </w:rPr>
        <w:t>Khususiyah dan Tatacara Praktik</w:t>
      </w:r>
    </w:p>
    <w:p>
      <w:r>
        <w:rPr>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pPr>
        <w:pStyle w:val="Heading1"/>
        <w:jc w:val="center"/>
      </w:pPr>
      <w:r>
        <w:rPr>
          <w:b/>
          <w:color w:val="C62828"/>
          <w:sz w:val="22"/>
        </w:rPr>
        <w:t>HALAMAN 12 — FAEDAH QATHI'AH 2/2 — WAFAQ 3×3</w:t>
      </w:r>
    </w:p>
    <w:p>
      <w:pPr>
        <w:jc w:val="center"/>
      </w:pPr>
      <w:r>
        <w:rPr>
          <w:b/>
          <w:color w:val="C62828"/>
          <w:sz w:val="14"/>
        </w:rPr>
        <w:t>✅ RTL DIPERBAIKI — arab kanan→kiri ١٨|١٢٠٩|٦٠٠ — visual kiri=٦٠٠ kanan=١٨ sesuai crop</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وَفْقٌ لِعِلَاجِ الْمَسِّ</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color="auto" w:fill="FFF8E1"/>
          </w:tcPr>
          <w:p>
            <w:pPr>
              <w:jc w:val="center"/>
            </w:pPr>
            <w:r>
              <w:rPr>
                <w:sz w:val="16"/>
              </w:rPr>
              <w:t>٦٠٠</w:t>
            </w:r>
          </w:p>
        </w:tc>
        <w:tc>
          <w:tcPr>
            <w:tcW w:type="dxa" w:w="3408"/>
            <w:shd w:val="clear" w:color="auto" w:fill="FFF8E1"/>
          </w:tcPr>
          <w:p>
            <w:pPr>
              <w:jc w:val="center"/>
            </w:pPr>
            <w:r>
              <w:rPr>
                <w:sz w:val="16"/>
              </w:rPr>
              <w:t>١٢٠٩</w:t>
            </w:r>
          </w:p>
        </w:tc>
        <w:tc>
          <w:tcPr>
            <w:tcW w:type="dxa" w:w="3408"/>
            <w:shd w:val="clear" w:color="auto" w:fill="FFF8E1"/>
          </w:tcPr>
          <w:p>
            <w:pPr>
              <w:jc w:val="center"/>
            </w:pPr>
            <w:r>
              <w:rPr>
                <w:sz w:val="16"/>
              </w:rPr>
              <w:t>١٨</w:t>
            </w:r>
          </w:p>
        </w:tc>
      </w:tr>
      <w:tr>
        <w:tc>
          <w:tcPr>
            <w:tcW w:type="dxa" w:w="3408"/>
            <w:shd w:val="clear" w:color="auto" w:fill="E8F5E9"/>
          </w:tcPr>
          <w:p>
            <w:pPr>
              <w:jc w:val="center"/>
            </w:pPr>
            <w:r>
              <w:rPr>
                <w:sz w:val="16"/>
              </w:rPr>
              <w:t>٢٧</w:t>
            </w:r>
          </w:p>
        </w:tc>
        <w:tc>
          <w:tcPr>
            <w:tcW w:type="dxa" w:w="3408"/>
            <w:shd w:val="clear" w:color="auto" w:fill="E8F5E9"/>
          </w:tcPr>
          <w:p>
            <w:pPr>
              <w:jc w:val="center"/>
            </w:pPr>
            <w:r>
              <w:rPr>
                <w:sz w:val="16"/>
              </w:rPr>
              <w:t>٦٠٩</w:t>
            </w:r>
          </w:p>
        </w:tc>
        <w:tc>
          <w:tcPr>
            <w:tcW w:type="dxa" w:w="3408"/>
            <w:shd w:val="clear" w:color="auto" w:fill="E8F5E9"/>
          </w:tcPr>
          <w:p>
            <w:pPr>
              <w:jc w:val="center"/>
            </w:pPr>
            <w:r>
              <w:rPr>
                <w:sz w:val="16"/>
              </w:rPr>
              <w:t>١١٩١</w:t>
            </w:r>
          </w:p>
        </w:tc>
      </w:tr>
      <w:tr>
        <w:tc>
          <w:tcPr>
            <w:tcW w:type="dxa" w:w="3408"/>
            <w:shd w:val="clear" w:color="auto" w:fill="FFF3E0"/>
          </w:tcPr>
          <w:p>
            <w:pPr>
              <w:jc w:val="center"/>
            </w:pPr>
            <w:r>
              <w:rPr>
                <w:sz w:val="16"/>
              </w:rPr>
              <w:t>١٢٠٠</w:t>
            </w:r>
          </w:p>
        </w:tc>
        <w:tc>
          <w:tcPr>
            <w:tcW w:type="dxa" w:w="3408"/>
            <w:shd w:val="clear" w:color="auto" w:fill="FFF3E0"/>
          </w:tcPr>
          <w:p>
            <w:pPr>
              <w:jc w:val="center"/>
            </w:pPr>
            <w:r>
              <w:rPr>
                <w:sz w:val="16"/>
              </w:rPr>
              <w:t>٩</w:t>
            </w:r>
          </w:p>
        </w:tc>
        <w:tc>
          <w:tcPr>
            <w:tcW w:type="dxa" w:w="3408"/>
            <w:shd w:val="clear" w:color="auto" w:fill="FFF3E0"/>
          </w:tcPr>
          <w:p>
            <w:pPr>
              <w:jc w:val="center"/>
            </w:pPr>
            <w:r>
              <w:rPr>
                <w:sz w:val="16"/>
              </w:rPr>
              <w:t>٦١٨</w:t>
            </w:r>
          </w:p>
        </w:tc>
      </w:tr>
    </w:tbl>
    <w:p>
      <w:pPr>
        <w:jc w:val="right"/>
      </w:pPr>
      <w:r>
        <w:rPr>
          <w:sz w:val="20"/>
        </w:rPr>
        <w:t>الشَّيْخُ الْبَشِيرُ</w:t>
        <w:br/>
        <w:t>مُنْتَدَى الْأَنْوَارِ الْقَادِرِيَّةِ وَالْأَرْوَاحِ الرَّحْمَانِيَّةِ</w:t>
        <w:br/>
        <w:t>http://www.alanwaralqadria.com</w:t>
      </w:r>
    </w:p>
    <w:p>
      <w:pPr>
        <w:jc w:val="right"/>
      </w:pPr>
      <w:r>
        <w:rPr>
          <w:sz w:val="20"/>
        </w:rPr>
        <w:t>كِتَابَةُ الْآيَاتِ وَالسُّوَرِ تَبْدَأُ مِنْ فَوْقِ الْوَفْقِ مِنْ جِهَةِ الْيَمِينِ اتِّجَاهًا إِلَى الْيَسَارِ، وَفَّقَكُمُ اللهُ لِمَا يُحِبُّهُ وَيَرْضَاهُ</w:t>
      </w:r>
    </w:p>
    <w:p>
      <w:pPr>
        <w:spacing w:before="120"/>
      </w:pPr>
      <w:r>
        <w:rPr>
          <w:b/>
          <w:color w:val="1A237E"/>
          <w:sz w:val="18"/>
        </w:rPr>
        <w:t>latin — Latin Washal Bunyi</w:t>
      </w:r>
    </w:p>
    <w:p>
      <w:r>
        <w:rPr>
          <w:sz w:val="17"/>
        </w:rPr>
        <w:t>Wafqun li'ilājil-massi, kitābatul-āyāti was-suwari tabda'u min fawqil-wafqi min jihatil-yamīni ittijāhan ilal-yasāri, waffaqakumullāhu limā yuhibbuhu wa yardhāh.</w:t>
      </w:r>
    </w:p>
    <w:p>
      <w:pPr>
        <w:spacing w:before="120"/>
      </w:pPr>
      <w:r>
        <w:rPr>
          <w:b/>
          <w:color w:val="2E7D32"/>
          <w:sz w:val="18"/>
        </w:rPr>
        <w:t>Terjemahan — Bahasa Indonesia</w:t>
      </w:r>
    </w:p>
    <w:p>
      <w:r>
        <w:rPr>
          <w:sz w:val="17"/>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r>
    </w:p>
    <w:p>
      <w:pPr>
        <w:spacing w:before="120"/>
      </w:pPr>
      <w:r>
        <w:rPr>
          <w:b/>
          <w:color w:val="4E342E"/>
          <w:sz w:val="18"/>
        </w:rPr>
        <w:t>Syarah dan Penjelasan</w:t>
      </w:r>
    </w:p>
    <w:p>
      <w:r>
        <w:rPr>
          <w:sz w:val="17"/>
        </w:rPr>
        <w:t>Wafaq 3×3 angka Hal12 adalah wafaq 'adadi mu'addal khusus Faedah Qathi'ah — bukan wafaq Ghazali 15. Angka: 18 (baris1 kanan), 1209, 600; 1191,609,27; 618,9,1200 — jika dihitung: 18+609+1200=1827? 600+27+9=6036? Konstanta tidak 15 seperti mutsallats klasik, tapi mizan khass untuk mass. Cara tulis: mulai dari atas kanan ke kiri — sesuai kaidah kuttab Arab (kanan dulu). Doa waffaqakumullah = penutup adab.</w:t>
      </w:r>
    </w:p>
    <w:p>
      <w:pPr>
        <w:spacing w:before="120"/>
      </w:pPr>
      <w:r>
        <w:rPr>
          <w:b/>
          <w:color w:val="BF360C"/>
          <w:sz w:val="18"/>
        </w:rPr>
        <w:t>Khususiyah dan Tatacara Praktik</w:t>
      </w:r>
    </w:p>
    <w:p>
      <w:r>
        <w:rPr>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hal12_crop_sharp.jpg"/>
                    <pic:cNvPicPr/>
                  </pic:nvPicPr>
                  <pic:blipFill>
                    <a:blip r:embed="rId12"/>
                    <a:stretch>
                      <a:fillRect/>
                    </a:stretch>
                  </pic:blipFill>
                  <pic:spPr>
                    <a:xfrm>
                      <a:off x="0" y="0"/>
                      <a:ext cx="4572000" cy="1760521"/>
                    </a:xfrm>
                    <a:prstGeom prst="rect"/>
                  </pic:spPr>
                </pic:pic>
              </a:graphicData>
            </a:graphic>
          </wp:inline>
        </w:drawing>
      </w:r>
    </w:p>
    <w:p>
      <w:pPr>
        <w:pStyle w:val="Heading1"/>
        <w:jc w:val="center"/>
      </w:pPr>
      <w:r>
        <w:rPr>
          <w:b/>
          <w:color w:val="1B5E20"/>
          <w:sz w:val="22"/>
        </w:rPr>
        <w:t>HALAMAN 13 — ZAJR QATHI' 1/3 — الزَّجْرُ الْقَاطِعُ لِأَخْذِ الْعَهْدِ</w:t>
      </w:r>
    </w:p>
    <w:p>
      <w:pPr>
        <w:spacing w:before="120"/>
      </w:pPr>
      <w:r>
        <w:rPr>
          <w:b/>
          <w:color w:val="1B5E20"/>
          <w:sz w:val="18"/>
        </w:rPr>
        <w:t>arab — Arab Berharokat Full</w:t>
      </w:r>
    </w:p>
    <w:p>
      <w:pPr>
        <w:jc w:val="right"/>
      </w:pPr>
      <w:r>
        <w:rPr>
          <w:sz w:val="20"/>
        </w:rPr>
        <w:t>الزَّجْرُ الْقَاطِعُ لِأَخْذِ الْعَهْدِ وَالْمِيثَاقِ عَلَى خَادِمِ الْاِسْتِنْزَالِ</w:t>
      </w:r>
    </w:p>
    <w:p>
      <w:pPr>
        <w:jc w:val="right"/>
      </w:pPr>
      <w:r>
        <w:rPr>
          <w:sz w:val="20"/>
        </w:rPr>
        <w:t>اَلسَّلَامُ عَلَيْكُمْ وَرَحْمَةُ اللهِ وَبَرَكَاتُهُ</w:t>
      </w:r>
    </w:p>
    <w:p>
      <w:pPr>
        <w:jc w:val="right"/>
      </w:pPr>
      <w:r>
        <w:rPr>
          <w:sz w:val="20"/>
        </w:rPr>
        <w:t>إِخْوَتِي فِي اللهِ، كَثِيرًا مَا وَقَعَ لَكُمْ أَنِ اسْتَخْدَمْتُمُ اسْتِنْزَالًا وَحَضَرَ خَادِمُهُ وَسَأَلْتُمْ عَنْ أَمْرٍ فَأَجَابَكُمْ وَوَجَدْتُمْ مَا قَالَهُ كَذِبًا [أَيْ الصَّبِيُّ] وَهَذِهِ الْحَالَةُ تَقَعُ لِمَنْ يَعْمَلُونَ الِاسْتِنْزَالَ عَبْرَ الْوَسِيطِ [أَيْ الصَّبِيِّ]، وَمُعْظَمُ هَذِهِ الِاسْتِنْزَالَاتِ كَاذِبَةٌ وَسَبَبُهُ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[لَيْسَتِ الْإِشَارَةُ هُنَا لِلْمُلُوكِ السَّبْعِ فَهِيَ لَا تَنْزِلُ أَبَدًا تَنْزِلُ فِي اسْتِنْزَالِ نَفْسِي رَبَّانِيٍّ].</w:t>
      </w:r>
    </w:p>
    <w:p>
      <w:pPr>
        <w:jc w:val="right"/>
      </w:pPr>
      <w:r>
        <w:rPr>
          <w:sz w:val="20"/>
        </w:rPr>
        <w:t>وَهَذِهِ فَائِدَةٌ قَاطِعَةٌ لِزَجْرِ خَادِمِ الِاسْتِنْزَالِ وَحَثِّهِمْ عَلَى قَوْلِ الْحَقِّ، وَلَا تُخْبِرِ النَّاظِرَ بِمَا تُرِيدُ فِعْلَهُ كَيْ تَتَأَكَّدَ مِمَّا يَنْظُرُ لَهُ، بَعْدَ مَا تَعْمَلُ الِاسْتِنْزَالَ وَيُخْبِرُكَ بِحُضُورِ الْخَادِمِ تَتْلُو هَذِهِ الْآيَةَ ٧ مَرَّاتٍ وَأَنْتَ مَاسِكٌ بِجَبْهَةِ النَّاظِرِ لِتُثْقِفَهُ، [وَلَوْ أَرَادُوا الْخُرُوجَ لَأَعَدُّوا لَهُ عُدَّةً وَلَكِنْ كَرِهَ اللهُ انْبِعَاثَهُمْ فَثَبَّطَهُمْ وَقِيلَ اقْعُدُوا مَعَ الْقَاعِدِينَ] 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وَأَنْ أَبِي وَهُوَ سَيَفْعَلُ ذَلِكَ لَا مَحَالَةَ أَزْجُرَهُ بِهَذَا الزَّجْرِ الْقَاطِعِ</w:t>
      </w:r>
    </w:p>
    <w:p>
      <w:pPr>
        <w:spacing w:before="120"/>
      </w:pPr>
      <w:r>
        <w:rPr>
          <w:b/>
          <w:color w:val="1A237E"/>
          <w:sz w:val="18"/>
        </w:rPr>
        <w:t>latin — Latin Washal Bunyi</w:t>
      </w:r>
    </w:p>
    <w:p>
      <w:r>
        <w:rPr>
          <w:sz w:val="17"/>
        </w:rPr>
        <w:t>Az-zajrul-qāthi'u li'akhdzil-'ahdi wal-mītsāqi 'alā khādimi al-istinzāli, as-salāmu 'alaikum ..., ikhwatī fillāh katsīram-mā waqa'a lakum anistakhdamtumu istinzālan wa hadhara khādimuhu wa sa'altumuhu 'an amrin fa'ajābakum wa wajadtum mā qālahu kadziban [ay ash-shabiyyu] ...</w:t>
      </w:r>
    </w:p>
    <w:p>
      <w:pPr>
        <w:spacing w:before="120"/>
      </w:pPr>
      <w:r>
        <w:rPr>
          <w:b/>
          <w:color w:val="2E7D32"/>
          <w:sz w:val="18"/>
        </w:rPr>
        <w:t>Terjemahan — Bahasa Indonesia</w:t>
      </w:r>
    </w:p>
    <w:p>
      <w:r>
        <w:rPr>
          <w:sz w:val="17"/>
        </w:rPr>
        <w:t>Bentakan pemutus untuk mengambil janji dan sumpah atas khadam istinzal. Assalamu'alaikum warahmatullahi wabarakatuh. Wahai saudara-saudaraku karena Allah, sering terjadi pada kalian bahwa kalian menggunakan istinzal dan khadamnya hadir dan kalian bertanya tentang suatu perkara lalu ia menjawab kalian dan kalian dapati apa yang dikatakannya dusta [yaitu anak kecil], dan keadaan ini terjadi bagi orang yang melakukan istinzal melalui perantara [yaitu anak kecil], dan kebanyakan istinzal-istinzal ini dusta dan sebabnya adalah entah penanya belum terlatih atau ia telah berlebihan dalam melakukan istinzal dan meminta para khadam dan bertanya kepada mereka tentang hal-hal yang merendahkan kedudukan mereka, terutama jika khadam itu 'ulwi maka ia enggan turun dan masuk menggantikannya khadam suflie yang pendusta. [Bukanlah isyarat di sini untuk tujuh raja, mereka tidak turun sama sekali, turun dalam istinzal nafsi rabbaniy]. Dan ini adalah faedah pemutus untuk membentak khadam istinzal dan mendorong mereka untuk berkata jujur. Jangan beri tahu penglihat tentang apa yang hendak kau lakukan agar kau yakin tentang apa yang ia lihat. Setelah engkau melakukan istinzal dan ia mengabarkan kehadiran khadam, bacalah ayat ini 7 kali sambil memegang dahi penglihat untuk menahannya: [Wa Lau Araadul-Khuruja La-a'addulah 'Uddatan wa Lakin Karihallahu Inbi'atsahum fa Tsabbathahum wa Qila Iq'udu ma'al-Qa'idin]. Setelah itu perintahkan ia dengan dua kalimat syahadat dan shalawat kepada Nabi shallallahu 'alaihi wa sallam, kemudian perintahkan ia untuk datang dengan mushaf yang mulia dan membukanya pada surah Al-Mujadalah dan perintahkan penglihat untuk mulai membaca surah itu agar kau yakin bahwa itu benar, setelah itu perintahkan khadam untuk meletakkan tangan kanannya di atasnya dan berjanji kepadamu untuk berkata jujur. Ayahku telah melakukannya dan dia pasti akan melakukannya, tidak dapat tidak, bentaklah ia dengan bentakan pemutus ini.</w:t>
      </w:r>
    </w:p>
    <w:p>
      <w:pPr>
        <w:spacing w:before="120"/>
      </w:pPr>
      <w:r>
        <w:rPr>
          <w:b/>
          <w:color w:val="4E342E"/>
          <w:sz w:val="18"/>
        </w:rPr>
        <w:t>Syarah dan Penjelasan</w:t>
      </w:r>
    </w:p>
    <w:p>
      <w:r>
        <w:rPr>
          <w:sz w:val="17"/>
        </w:rPr>
        <w:t>Faedah ini Faedah 04 awal (Hal13) — pengantar Zajr Qathi' yang akan berlanjut Hal14 (wafaq hijau 8-bagian). Istinzal via shabiyy = memanggil khadim lewat anak kecil polos (wasith) — praktik klasik, rawan dusta. Penulis membedakan 'ulwi vs suflī: 'ulwi luhur tak turun untuk hal remeh; jika dipaksa turun, suflī pendusta masuk. [Bukan 7 mulūk] = 7 raja jin (Mudzhib, Murrah, Ahmar, Barqan, Syamhūraš, Abyadh, Maymūn) tidak turun dalam istinzal nafsi rabbani — penegasan batas. Ayat At-Taubah 46 = kunci tahan agar khadim tak kabur (la'a'ddū ...). Mushaf &amp; Mujādalah = sumpah di atas mushaf untuk verifikasi jujur — adab bukan sihir.</w:t>
      </w:r>
    </w:p>
    <w:p>
      <w:pPr>
        <w:spacing w:before="120"/>
      </w:pPr>
      <w:r>
        <w:rPr>
          <w:b/>
          <w:color w:val="BF360C"/>
          <w:sz w:val="18"/>
        </w:rPr>
        <w:t>Khususiyah dan Tatacara Praktik</w:t>
      </w:r>
    </w:p>
    <w:p>
      <w:r>
        <w:rPr>
          <w:sz w:val="17"/>
        </w:rPr>
        <w:t>Khasiat: mengikat khadim istinzal agar jujur &amp; tepati janji. Tata cara Hal13 (pengantar): jangan bocorkan niat ke nāzhir, baca ayat 7× sambil pegang dahi, syahadatain + shalawat, mushaf Mujādalah, tangan kanan di atasnya. Zajr lengkap menyusul Hal14. Syarat: thālib harus mutamarris (terlatih), jangan bertanya merendahkan khadim.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